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5311"/>
      </w:tblGrid>
      <w:tr w:rsidR="003F54D6" w:rsidRPr="00A3101C" w:rsidTr="005739C4">
        <w:tc>
          <w:tcPr>
            <w:tcW w:w="135" w:type="pct"/>
            <w:hideMark/>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1</w:t>
            </w:r>
          </w:p>
        </w:tc>
        <w:tc>
          <w:tcPr>
            <w:tcW w:w="4865" w:type="pct"/>
            <w:hideMark/>
          </w:tcPr>
          <w:p w:rsidR="00643407" w:rsidRDefault="00643407" w:rsidP="00643407">
            <w:pPr>
              <w:pStyle w:val="ListParagraph"/>
              <w:ind w:left="0"/>
              <w:rPr>
                <w:rFonts w:eastAsia="Calibri" w:cs="Times New Roman"/>
                <w:color w:val="000000" w:themeColor="text1"/>
                <w:szCs w:val="24"/>
                <w:lang w:val="ro-RO"/>
              </w:rPr>
            </w:pPr>
            <w:r>
              <w:rPr>
                <w:b/>
              </w:rPr>
              <w:t xml:space="preserve">REGULAMENTUL (CE) NR. 703/2015 AL COMISIEI </w:t>
            </w:r>
            <w:r w:rsidRPr="00A73A72">
              <w:rPr>
                <w:rFonts w:eastAsia="Calibri" w:cs="Times New Roman"/>
                <w:b/>
                <w:color w:val="000000" w:themeColor="text1"/>
                <w:szCs w:val="24"/>
                <w:lang w:val="ro-RO"/>
              </w:rPr>
              <w:t>din 30 aprilie 2015 de stabilire a unui cod de rețea pentru normele privind interoperabilitatea și schimbul de date,</w:t>
            </w:r>
            <w:r w:rsidRPr="00A73A72">
              <w:rPr>
                <w:rFonts w:eastAsia="Calibri" w:cs="Times New Roman"/>
                <w:color w:val="000000" w:themeColor="text1"/>
                <w:szCs w:val="24"/>
                <w:lang w:val="ro-RO"/>
              </w:rPr>
              <w:t xml:space="preserve"> (Text cu relevanță pentru SEE) publicat în Jurnalul Oficial al Uniunii Europene (JO) nr. L 113/13 din 1 mai 2015</w:t>
            </w:r>
          </w:p>
          <w:p w:rsidR="00643407" w:rsidRPr="00D23E66" w:rsidRDefault="00643407" w:rsidP="00643407">
            <w:pPr>
              <w:pStyle w:val="ListParagraph"/>
              <w:ind w:left="0"/>
              <w:rPr>
                <w:lang w:val="ro-RO"/>
              </w:rPr>
            </w:pPr>
            <w:r w:rsidRPr="00D23E66">
              <w:rPr>
                <w:b/>
              </w:rPr>
              <w:t xml:space="preserve">Commission Regulation (EU) 2015/703 of 30 April 2015 establishing a network code on interoperability and data exchange rules </w:t>
            </w:r>
            <w:r w:rsidRPr="00D23E66">
              <w:t>(Text with EEA relevance)</w:t>
            </w:r>
            <w:r w:rsidRPr="00222F8B">
              <w:t xml:space="preserve"> </w:t>
            </w:r>
            <w:r w:rsidRPr="00222F8B">
              <w:rPr>
                <w:rFonts w:cs="Times New Roman"/>
                <w:bCs/>
                <w:lang w:val="ro-RO"/>
              </w:rPr>
              <w:t>published in Official Journal of the European Union</w:t>
            </w:r>
            <w:r w:rsidRPr="00222F8B">
              <w:rPr>
                <w:color w:val="444444"/>
                <w:sz w:val="27"/>
                <w:szCs w:val="27"/>
                <w:shd w:val="clear" w:color="auto" w:fill="FFFFFF"/>
              </w:rPr>
              <w:t xml:space="preserve"> </w:t>
            </w:r>
            <w:r w:rsidRPr="00222F8B">
              <w:rPr>
                <w:rFonts w:cs="Times New Roman"/>
                <w:bCs/>
                <w:lang w:val="ro-RO"/>
              </w:rPr>
              <w:t>L 113/13 dated 1 May 2015</w:t>
            </w:r>
            <w:r>
              <w:rPr>
                <w:rFonts w:cs="Times New Roman"/>
                <w:bCs/>
                <w:lang w:val="ro-RO"/>
              </w:rPr>
              <w:t>. (</w:t>
            </w:r>
            <w:hyperlink r:id="rId6" w:history="1">
              <w:r w:rsidRPr="00222F8B">
                <w:rPr>
                  <w:rStyle w:val="Hyperlink"/>
                  <w:lang w:val="ro-RO"/>
                </w:rPr>
                <w:t>https://eur-lex.europa.eu/legal-content/EN/TXT/?qid=1562650374152&amp;uri=CELEX:32015R0703</w:t>
              </w:r>
            </w:hyperlink>
            <w:r w:rsidRPr="00222F8B">
              <w:rPr>
                <w:lang w:val="ro-RO"/>
              </w:rPr>
              <w:t>).</w:t>
            </w:r>
          </w:p>
          <w:p w:rsidR="00643407" w:rsidRDefault="00643407" w:rsidP="00643407">
            <w:pPr>
              <w:pStyle w:val="ListParagraph"/>
              <w:ind w:left="0"/>
              <w:rPr>
                <w:rFonts w:eastAsia="Calibri" w:cs="Times New Roman"/>
                <w:color w:val="000000" w:themeColor="text1"/>
                <w:szCs w:val="24"/>
                <w:lang w:val="ro-RO"/>
              </w:rPr>
            </w:pPr>
          </w:p>
          <w:p w:rsidR="00643407" w:rsidRDefault="00643407" w:rsidP="00643407">
            <w:pPr>
              <w:pStyle w:val="ListParagraph"/>
              <w:ind w:left="0"/>
              <w:rPr>
                <w:rFonts w:eastAsia="Calibri" w:cs="Times New Roman"/>
                <w:color w:val="000000" w:themeColor="text1"/>
                <w:szCs w:val="24"/>
                <w:lang w:val="ro-RO"/>
              </w:rPr>
            </w:pPr>
            <w:r>
              <w:rPr>
                <w:b/>
              </w:rPr>
              <w:t xml:space="preserve">REGULAMENTUL (CE) NR. 2017/459 AL COMISIEI </w:t>
            </w:r>
            <w:r w:rsidRPr="00A73A72">
              <w:rPr>
                <w:rFonts w:eastAsia="Calibri" w:cs="Times New Roman"/>
                <w:color w:val="000000" w:themeColor="text1"/>
                <w:szCs w:val="24"/>
                <w:lang w:val="ro-RO"/>
              </w:rPr>
              <w:t>din 16 martie 2017 de stabilire a unui cod al rețelei privind mecanismele de alocare a capacității în sistemele de transport al gazelor și de abrogare a Regulamentului (UE) nr. 984/2013 (Text cu relevanță pentru SEE) publicat în Jurnalul Oficial al Uniunii Europene L 72/1 din 17 martie</w:t>
            </w:r>
            <w:r>
              <w:rPr>
                <w:rFonts w:eastAsia="Calibri" w:cs="Times New Roman"/>
                <w:color w:val="000000" w:themeColor="text1"/>
                <w:szCs w:val="24"/>
                <w:lang w:val="ro-RO"/>
              </w:rPr>
              <w:t xml:space="preserve"> </w:t>
            </w:r>
            <w:r w:rsidRPr="00A73A72">
              <w:rPr>
                <w:rFonts w:eastAsia="Calibri" w:cs="Times New Roman"/>
                <w:color w:val="000000" w:themeColor="text1"/>
                <w:szCs w:val="24"/>
                <w:lang w:val="ro-RO"/>
              </w:rPr>
              <w:t>2017</w:t>
            </w:r>
          </w:p>
          <w:p w:rsidR="00643407" w:rsidRPr="00D23E66" w:rsidRDefault="00643407" w:rsidP="00643407">
            <w:pPr>
              <w:pStyle w:val="ListParagraph"/>
              <w:ind w:left="0"/>
              <w:rPr>
                <w:lang w:val="ro-RO"/>
              </w:rPr>
            </w:pPr>
            <w:r w:rsidRPr="00222F8B">
              <w:rPr>
                <w:b/>
              </w:rPr>
              <w:t>Commission Regulation (EU) 2017/459 of 16 March 2017 establishing a network code on capacity allocation mechanisms in gas transmission systems and repealing Regulation (EU) No 984</w:t>
            </w:r>
            <w:r>
              <w:rPr>
                <w:b/>
              </w:rPr>
              <w:t xml:space="preserve">/2013 </w:t>
            </w:r>
            <w:r w:rsidRPr="00222F8B">
              <w:t>(Text with EEA relevance)</w:t>
            </w:r>
            <w:r w:rsidRPr="00222F8B">
              <w:rPr>
                <w:rFonts w:cs="Times New Roman"/>
                <w:bCs/>
                <w:lang w:val="ro-RO"/>
              </w:rPr>
              <w:t xml:space="preserve"> published in Official Journal of the European Union</w:t>
            </w:r>
            <w:r w:rsidRPr="00222F8B">
              <w:rPr>
                <w:color w:val="444444"/>
                <w:sz w:val="27"/>
                <w:szCs w:val="27"/>
                <w:shd w:val="clear" w:color="auto" w:fill="FFFFFF"/>
              </w:rPr>
              <w:t xml:space="preserve"> </w:t>
            </w:r>
            <w:r w:rsidRPr="00222F8B">
              <w:rPr>
                <w:rFonts w:cs="Times New Roman"/>
                <w:bCs/>
                <w:lang w:val="ro-RO"/>
              </w:rPr>
              <w:t xml:space="preserve">L </w:t>
            </w:r>
            <w:r>
              <w:rPr>
                <w:rFonts w:cs="Times New Roman"/>
                <w:bCs/>
                <w:lang w:val="ro-RO"/>
              </w:rPr>
              <w:t>72</w:t>
            </w:r>
            <w:r w:rsidRPr="00222F8B">
              <w:rPr>
                <w:rFonts w:cs="Times New Roman"/>
                <w:bCs/>
                <w:lang w:val="ro-RO"/>
              </w:rPr>
              <w:t xml:space="preserve"> dated </w:t>
            </w:r>
            <w:r>
              <w:rPr>
                <w:rFonts w:cs="Times New Roman"/>
                <w:bCs/>
                <w:lang w:val="ro-RO"/>
              </w:rPr>
              <w:t>17</w:t>
            </w:r>
            <w:r w:rsidRPr="00222F8B">
              <w:rPr>
                <w:rFonts w:cs="Times New Roman"/>
                <w:bCs/>
                <w:lang w:val="ro-RO"/>
              </w:rPr>
              <w:t xml:space="preserve"> M</w:t>
            </w:r>
            <w:r>
              <w:rPr>
                <w:rFonts w:cs="Times New Roman"/>
                <w:bCs/>
                <w:lang w:val="ro-RO"/>
              </w:rPr>
              <w:t>arch</w:t>
            </w:r>
            <w:r w:rsidRPr="00222F8B">
              <w:rPr>
                <w:rFonts w:cs="Times New Roman"/>
                <w:bCs/>
                <w:lang w:val="ro-RO"/>
              </w:rPr>
              <w:t xml:space="preserve"> 201</w:t>
            </w:r>
            <w:r>
              <w:rPr>
                <w:rFonts w:cs="Times New Roman"/>
                <w:bCs/>
                <w:lang w:val="ro-RO"/>
              </w:rPr>
              <w:t>7. (</w:t>
            </w:r>
            <w:hyperlink r:id="rId7" w:history="1">
              <w:r w:rsidRPr="00430D49">
                <w:rPr>
                  <w:rStyle w:val="Hyperlink"/>
                  <w:lang w:val="ro-RO"/>
                </w:rPr>
                <w:t>https://eur-lex.europa.eu/legal-content/EN/TXT/?qid=1562651284398 &amp;uri=CELEX:32017R0459</w:t>
              </w:r>
            </w:hyperlink>
            <w:r>
              <w:rPr>
                <w:rFonts w:cs="Times New Roman"/>
                <w:bCs/>
                <w:lang w:val="ro-RO"/>
              </w:rPr>
              <w:t>)</w:t>
            </w:r>
          </w:p>
          <w:p w:rsidR="00643407" w:rsidRDefault="00643407" w:rsidP="00643407">
            <w:pPr>
              <w:pStyle w:val="ListParagraph"/>
              <w:ind w:left="0"/>
              <w:rPr>
                <w:rFonts w:eastAsia="Calibri" w:cs="Times New Roman"/>
                <w:color w:val="000000" w:themeColor="text1"/>
                <w:szCs w:val="24"/>
                <w:lang w:val="ro-RO"/>
              </w:rPr>
            </w:pPr>
          </w:p>
          <w:p w:rsidR="00643407" w:rsidRDefault="00643407" w:rsidP="00643407">
            <w:pPr>
              <w:pStyle w:val="ListParagraph"/>
              <w:ind w:left="0"/>
              <w:rPr>
                <w:rFonts w:eastAsia="Calibri"/>
                <w:color w:val="000000" w:themeColor="text1"/>
                <w:szCs w:val="24"/>
                <w:lang w:val="ro-RO"/>
              </w:rPr>
            </w:pPr>
            <w:r>
              <w:rPr>
                <w:b/>
              </w:rPr>
              <w:t xml:space="preserve">REGULAMENTUL (CE) NR. 2017/460 AL COMISIEI </w:t>
            </w:r>
            <w:r w:rsidRPr="00A73A72">
              <w:rPr>
                <w:rFonts w:eastAsia="Calibri"/>
                <w:color w:val="000000" w:themeColor="text1"/>
                <w:szCs w:val="24"/>
                <w:lang w:val="ro-RO"/>
              </w:rPr>
              <w:t>din 16 martie 2017 de stabilire a unui cod al rețelei privind structurile tarifare armonizate pentru transportul gazelor (Text cu relevanță pentru SEE) publicat în Jurnalul Oficial al Uniunii Europene L 72/29 din 17 martie 2017</w:t>
            </w:r>
          </w:p>
          <w:p w:rsidR="00643407" w:rsidRDefault="00643407" w:rsidP="00643407">
            <w:pPr>
              <w:shd w:val="clear" w:color="auto" w:fill="FFFFFF"/>
              <w:spacing w:after="75"/>
              <w:rPr>
                <w:rFonts w:eastAsiaTheme="minorEastAsia" w:cstheme="minorBidi"/>
                <w:lang w:val="ro-RO" w:eastAsia="ar-SA"/>
              </w:rPr>
            </w:pPr>
            <w:r w:rsidRPr="00222F8B">
              <w:rPr>
                <w:rFonts w:eastAsiaTheme="minorEastAsia" w:cstheme="minorBidi"/>
                <w:b/>
                <w:lang w:eastAsia="ar-SA"/>
              </w:rPr>
              <w:t xml:space="preserve">Commission Regulation (EU) 2017/460 of 16 March 2017 establishing a network code on harmonised transmission tariff structures for gas </w:t>
            </w:r>
            <w:r w:rsidRPr="00222F8B">
              <w:rPr>
                <w:rFonts w:eastAsiaTheme="minorEastAsia" w:cstheme="minorBidi"/>
                <w:lang w:eastAsia="ar-SA"/>
              </w:rPr>
              <w:t>(Text with EEA relevance. )</w:t>
            </w:r>
            <w:r>
              <w:rPr>
                <w:rFonts w:eastAsiaTheme="minorEastAsia" w:cstheme="minorBidi"/>
                <w:lang w:eastAsia="ar-SA"/>
              </w:rPr>
              <w:t xml:space="preserve"> </w:t>
            </w:r>
            <w:r w:rsidRPr="00222F8B">
              <w:rPr>
                <w:bCs/>
                <w:lang w:val="ro-RO"/>
              </w:rPr>
              <w:t>published in Official Journal of the European Union</w:t>
            </w:r>
            <w:r w:rsidRPr="00222F8B">
              <w:rPr>
                <w:color w:val="444444"/>
                <w:sz w:val="27"/>
                <w:szCs w:val="27"/>
                <w:shd w:val="clear" w:color="auto" w:fill="FFFFFF"/>
              </w:rPr>
              <w:t xml:space="preserve"> </w:t>
            </w:r>
            <w:r w:rsidRPr="00222F8B">
              <w:rPr>
                <w:bCs/>
                <w:lang w:val="ro-RO"/>
              </w:rPr>
              <w:t xml:space="preserve">L </w:t>
            </w:r>
            <w:r>
              <w:rPr>
                <w:bCs/>
                <w:lang w:val="ro-RO"/>
              </w:rPr>
              <w:t>72</w:t>
            </w:r>
            <w:r w:rsidRPr="00222F8B">
              <w:rPr>
                <w:bCs/>
                <w:lang w:val="ro-RO"/>
              </w:rPr>
              <w:t xml:space="preserve"> dated </w:t>
            </w:r>
            <w:r>
              <w:rPr>
                <w:bCs/>
                <w:lang w:val="ro-RO"/>
              </w:rPr>
              <w:t>17</w:t>
            </w:r>
            <w:r w:rsidRPr="00222F8B">
              <w:rPr>
                <w:bCs/>
                <w:lang w:val="ro-RO"/>
              </w:rPr>
              <w:t xml:space="preserve"> M</w:t>
            </w:r>
            <w:r>
              <w:rPr>
                <w:bCs/>
                <w:lang w:val="ro-RO"/>
              </w:rPr>
              <w:t>arch</w:t>
            </w:r>
            <w:r w:rsidRPr="00222F8B">
              <w:rPr>
                <w:bCs/>
                <w:lang w:val="ro-RO"/>
              </w:rPr>
              <w:t xml:space="preserve"> 201</w:t>
            </w:r>
            <w:r>
              <w:rPr>
                <w:bCs/>
                <w:lang w:val="ro-RO"/>
              </w:rPr>
              <w:t>7.</w:t>
            </w:r>
            <w:r>
              <w:rPr>
                <w:rFonts w:eastAsiaTheme="minorEastAsia" w:cstheme="minorBidi"/>
                <w:lang w:val="ro-RO" w:eastAsia="ar-SA"/>
              </w:rPr>
              <w:t xml:space="preserve"> (</w:t>
            </w:r>
            <w:hyperlink r:id="rId8" w:history="1">
              <w:r w:rsidRPr="00222F8B">
                <w:rPr>
                  <w:rStyle w:val="Hyperlink"/>
                  <w:lang w:val="ro-RO"/>
                </w:rPr>
                <w:t>https://eur-lex.europa.eu/legal-content/EN/TXT/?qid=1562651147585&amp;uri=CELEX:32017R0460</w:t>
              </w:r>
            </w:hyperlink>
            <w:r>
              <w:rPr>
                <w:rFonts w:eastAsiaTheme="minorEastAsia" w:cstheme="minorBidi"/>
                <w:lang w:val="ro-RO" w:eastAsia="ar-SA"/>
              </w:rPr>
              <w:t>)</w:t>
            </w:r>
          </w:p>
          <w:p w:rsidR="005739C4" w:rsidRPr="00A3101C" w:rsidRDefault="005739C4" w:rsidP="00643407">
            <w:pPr>
              <w:pStyle w:val="ListParagraph"/>
              <w:ind w:left="0"/>
              <w:jc w:val="both"/>
              <w:rPr>
                <w:rFonts w:cs="Times New Roman"/>
                <w:b/>
                <w:lang w:val="ro-RO"/>
              </w:rPr>
            </w:pPr>
          </w:p>
          <w:p w:rsidR="00643407" w:rsidRPr="00D969C8" w:rsidRDefault="00643407" w:rsidP="00643407">
            <w:pPr>
              <w:pStyle w:val="ListParagraph"/>
              <w:ind w:left="0"/>
              <w:jc w:val="both"/>
              <w:rPr>
                <w:rFonts w:cs="Times New Roman"/>
                <w:b/>
              </w:rPr>
            </w:pPr>
            <w:r w:rsidRPr="00D969C8">
              <w:rPr>
                <w:rFonts w:cs="Times New Roman"/>
                <w:b/>
              </w:rPr>
              <w:t xml:space="preserve">REGULAMENTUL (CE) NR. 312/2014 AL COMISIEI </w:t>
            </w:r>
            <w:r w:rsidRPr="00D969C8">
              <w:rPr>
                <w:rFonts w:cs="Times New Roman"/>
                <w:b/>
                <w:lang w:val="en-GB"/>
              </w:rPr>
              <w:t>din 26 martie 2014 de stabilire a unui cod de rețea privind echilibrarea rețelelor de transport de gaz</w:t>
            </w:r>
            <w:r w:rsidRPr="00D969C8">
              <w:rPr>
                <w:rFonts w:eastAsia="Calibri" w:cs="Times New Roman"/>
                <w:b/>
                <w:color w:val="000000" w:themeColor="text1"/>
                <w:lang w:val="ro-RO"/>
              </w:rPr>
              <w:t>, (Text cu relevanță pentru SEE) publicat în Jurnalul Oficial al Uniunii Europene (JO) nr. L 91/15 din 27 martie 2014</w:t>
            </w:r>
          </w:p>
          <w:p w:rsidR="00643407" w:rsidRPr="00D969C8" w:rsidRDefault="00997596" w:rsidP="00643407">
            <w:pPr>
              <w:pStyle w:val="ListParagraph"/>
              <w:ind w:left="0"/>
              <w:jc w:val="both"/>
              <w:rPr>
                <w:rFonts w:cs="Times New Roman"/>
                <w:lang w:val="ro-RO"/>
              </w:rPr>
            </w:pPr>
            <w:r w:rsidRPr="00222F8B">
              <w:rPr>
                <w:b/>
              </w:rPr>
              <w:t xml:space="preserve">Commission Regulation </w:t>
            </w:r>
            <w:r w:rsidR="00643407" w:rsidRPr="00D969C8">
              <w:rPr>
                <w:rFonts w:cs="Times New Roman"/>
                <w:b/>
              </w:rPr>
              <w:t>(EU) No 312/2014 of 26 March 2014 establishing a Network Code on Gas Balancing of Transmission Networks</w:t>
            </w:r>
            <w:r w:rsidR="00643407" w:rsidRPr="00D969C8">
              <w:rPr>
                <w:rFonts w:cs="Times New Roman"/>
              </w:rPr>
              <w:t xml:space="preserve"> (Text with EEA relevance) </w:t>
            </w:r>
            <w:r w:rsidR="00643407" w:rsidRPr="00D969C8">
              <w:rPr>
                <w:rFonts w:cs="Times New Roman"/>
                <w:bCs/>
                <w:lang w:val="ro-RO"/>
              </w:rPr>
              <w:t>published in Official Journal of the European Union</w:t>
            </w:r>
            <w:r w:rsidR="00643407" w:rsidRPr="00D969C8">
              <w:rPr>
                <w:rFonts w:cs="Times New Roman"/>
                <w:color w:val="444444"/>
                <w:shd w:val="clear" w:color="auto" w:fill="FFFFFF"/>
              </w:rPr>
              <w:t xml:space="preserve"> </w:t>
            </w:r>
            <w:r w:rsidR="00643407" w:rsidRPr="00D969C8">
              <w:rPr>
                <w:rFonts w:cs="Times New Roman"/>
                <w:bCs/>
                <w:lang w:val="ro-RO"/>
              </w:rPr>
              <w:t>L 91/15 March, 27 March 2014. (</w:t>
            </w:r>
            <w:hyperlink r:id="rId9" w:history="1">
              <w:r w:rsidR="00643407" w:rsidRPr="00D969C8">
                <w:rPr>
                  <w:rStyle w:val="Hyperlink"/>
                  <w:rFonts w:cs="Times New Roman"/>
                  <w:lang w:val="ro-RO"/>
                </w:rPr>
                <w:t>https://eur-lex.europa.eu/legal-content/EN/TXT/?qid=1594897656923&amp;uri=CELEX:32014R0312</w:t>
              </w:r>
            </w:hyperlink>
            <w:r w:rsidR="00643407" w:rsidRPr="00D969C8">
              <w:rPr>
                <w:rFonts w:cs="Times New Roman"/>
                <w:lang w:val="ro-RO"/>
              </w:rPr>
              <w:t>)</w:t>
            </w:r>
            <w:r>
              <w:rPr>
                <w:rFonts w:cs="Times New Roman"/>
                <w:lang w:val="ro-RO"/>
              </w:rPr>
              <w:t xml:space="preserve"> </w:t>
            </w:r>
          </w:p>
          <w:p w:rsidR="00643407" w:rsidRPr="00B91C10" w:rsidRDefault="00643407" w:rsidP="00DA725A">
            <w:pPr>
              <w:ind w:firstLine="22"/>
              <w:jc w:val="both"/>
              <w:rPr>
                <w:rFonts w:asciiTheme="majorBidi" w:hAnsiTheme="majorBidi" w:cstheme="majorBidi"/>
                <w:b/>
                <w:sz w:val="18"/>
                <w:szCs w:val="18"/>
                <w:lang w:val="it-IT"/>
              </w:rPr>
            </w:pPr>
          </w:p>
        </w:tc>
      </w:tr>
      <w:tr w:rsidR="003F54D6" w:rsidRPr="00B91C10" w:rsidTr="005739C4">
        <w:tc>
          <w:tcPr>
            <w:tcW w:w="135" w:type="pct"/>
            <w:hideMark/>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2</w:t>
            </w:r>
          </w:p>
        </w:tc>
        <w:tc>
          <w:tcPr>
            <w:tcW w:w="4865" w:type="pct"/>
            <w:hideMark/>
          </w:tcPr>
          <w:p w:rsidR="003F54D6" w:rsidRPr="00B91C10" w:rsidRDefault="003F54D6" w:rsidP="00DA725A">
            <w:pPr>
              <w:ind w:firstLine="22"/>
              <w:jc w:val="both"/>
              <w:rPr>
                <w:rFonts w:asciiTheme="majorBidi" w:hAnsiTheme="majorBidi" w:cstheme="majorBidi"/>
                <w:b/>
                <w:sz w:val="18"/>
                <w:szCs w:val="18"/>
                <w:lang w:val="it-IT"/>
              </w:rPr>
            </w:pPr>
            <w:r w:rsidRPr="00B91C10">
              <w:rPr>
                <w:rFonts w:asciiTheme="majorBidi" w:hAnsiTheme="majorBidi" w:cstheme="majorBidi"/>
                <w:b/>
                <w:sz w:val="18"/>
                <w:szCs w:val="18"/>
                <w:lang w:val="it-IT"/>
              </w:rPr>
              <w:t>Titlul proiectului de act normativ national: modificarea Codului rețelelor de gaze naturale , aprobat prin Hotărârea ANRE nr.420/2019</w:t>
            </w:r>
          </w:p>
        </w:tc>
      </w:tr>
      <w:tr w:rsidR="003F54D6" w:rsidRPr="00C27D66" w:rsidTr="005739C4">
        <w:tc>
          <w:tcPr>
            <w:tcW w:w="135" w:type="pct"/>
            <w:hideMark/>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3</w:t>
            </w:r>
          </w:p>
        </w:tc>
        <w:tc>
          <w:tcPr>
            <w:tcW w:w="4865" w:type="pct"/>
            <w:hideMark/>
          </w:tcPr>
          <w:p w:rsidR="003F54D6" w:rsidRPr="00B91C10" w:rsidRDefault="003F54D6" w:rsidP="00DA725A">
            <w:pPr>
              <w:ind w:firstLine="22"/>
              <w:jc w:val="both"/>
              <w:rPr>
                <w:rFonts w:asciiTheme="majorBidi" w:hAnsiTheme="majorBidi" w:cstheme="majorBidi"/>
                <w:b/>
                <w:sz w:val="18"/>
                <w:szCs w:val="18"/>
                <w:lang w:val="it-IT"/>
              </w:rPr>
            </w:pPr>
            <w:r w:rsidRPr="00B91C10">
              <w:rPr>
                <w:rFonts w:asciiTheme="majorBidi" w:hAnsiTheme="majorBidi" w:cstheme="majorBidi"/>
                <w:b/>
                <w:sz w:val="18"/>
                <w:szCs w:val="18"/>
                <w:lang w:val="it-IT"/>
              </w:rPr>
              <w:t>Gradul general de compatibilitate: compatibil</w:t>
            </w:r>
          </w:p>
        </w:tc>
      </w:tr>
      <w:tr w:rsidR="003F54D6" w:rsidRPr="00C27D66" w:rsidTr="005739C4">
        <w:tc>
          <w:tcPr>
            <w:tcW w:w="135" w:type="pct"/>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4</w:t>
            </w:r>
          </w:p>
        </w:tc>
        <w:tc>
          <w:tcPr>
            <w:tcW w:w="4865" w:type="pct"/>
          </w:tcPr>
          <w:p w:rsidR="003F54D6" w:rsidRPr="00B91C10" w:rsidRDefault="003F54D6" w:rsidP="00DA725A">
            <w:pPr>
              <w:ind w:firstLine="22"/>
              <w:jc w:val="both"/>
              <w:rPr>
                <w:rFonts w:asciiTheme="majorBidi" w:hAnsiTheme="majorBidi" w:cstheme="majorBidi"/>
                <w:b/>
                <w:sz w:val="18"/>
                <w:szCs w:val="18"/>
                <w:lang w:val="it-IT"/>
              </w:rPr>
            </w:pPr>
            <w:r w:rsidRPr="00B91C10">
              <w:rPr>
                <w:rFonts w:asciiTheme="majorBidi" w:hAnsiTheme="majorBidi" w:cstheme="majorBidi"/>
                <w:b/>
                <w:sz w:val="18"/>
                <w:szCs w:val="18"/>
                <w:lang w:val="it-IT"/>
              </w:rPr>
              <w:t>Autoritatea/persoana responsabilă :</w:t>
            </w:r>
            <w:r w:rsidRPr="00B91C10">
              <w:rPr>
                <w:rFonts w:asciiTheme="majorBidi" w:hAnsiTheme="majorBidi" w:cstheme="majorBidi"/>
                <w:b/>
                <w:bCs/>
                <w:sz w:val="18"/>
                <w:szCs w:val="18"/>
                <w:lang w:val="ro-MD"/>
              </w:rPr>
              <w:t xml:space="preserve"> Agenția Națională pentru Reglementare în Energetică</w:t>
            </w:r>
          </w:p>
        </w:tc>
      </w:tr>
      <w:tr w:rsidR="003F54D6" w:rsidRPr="00B91C10" w:rsidTr="005739C4">
        <w:tc>
          <w:tcPr>
            <w:tcW w:w="135" w:type="pct"/>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5</w:t>
            </w:r>
          </w:p>
        </w:tc>
        <w:tc>
          <w:tcPr>
            <w:tcW w:w="4865" w:type="pct"/>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Data întocmirii/</w:t>
            </w:r>
            <w:r w:rsidRPr="00B91C10">
              <w:rPr>
                <w:rFonts w:asciiTheme="majorBidi" w:hAnsiTheme="majorBidi" w:cstheme="majorBidi"/>
                <w:b/>
                <w:sz w:val="18"/>
                <w:szCs w:val="18"/>
                <w:u w:val="single"/>
              </w:rPr>
              <w:t>actualizării</w:t>
            </w:r>
            <w:r w:rsidRPr="00B91C10">
              <w:rPr>
                <w:rFonts w:asciiTheme="majorBidi" w:hAnsiTheme="majorBidi" w:cstheme="majorBidi"/>
                <w:b/>
                <w:sz w:val="18"/>
                <w:szCs w:val="18"/>
              </w:rPr>
              <w:t xml:space="preserve">: 30 ianuarie 2025 </w:t>
            </w:r>
          </w:p>
        </w:tc>
      </w:tr>
    </w:tbl>
    <w:p w:rsidR="006E1AE6" w:rsidRDefault="006E1AE6" w:rsidP="00DA725A"/>
    <w:tbl>
      <w:tblPr>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820"/>
        <w:gridCol w:w="1417"/>
        <w:gridCol w:w="4253"/>
      </w:tblGrid>
      <w:tr w:rsidR="00F02F76" w:rsidRPr="00B91C10" w:rsidTr="00605DF1">
        <w:trPr>
          <w:trHeight w:val="538"/>
        </w:trPr>
        <w:tc>
          <w:tcPr>
            <w:tcW w:w="5245" w:type="dxa"/>
          </w:tcPr>
          <w:p w:rsidR="00F02F76" w:rsidRPr="00B91C10" w:rsidRDefault="00F02F76" w:rsidP="00670674">
            <w:pPr>
              <w:rPr>
                <w:rFonts w:asciiTheme="majorBidi" w:hAnsiTheme="majorBidi" w:cstheme="majorBidi"/>
                <w:sz w:val="18"/>
                <w:szCs w:val="18"/>
                <w:lang w:val="it-IT"/>
              </w:rPr>
            </w:pPr>
            <w:r w:rsidRPr="00B91C10">
              <w:rPr>
                <w:rFonts w:asciiTheme="majorBidi" w:hAnsiTheme="majorBidi" w:cstheme="majorBidi"/>
                <w:b/>
                <w:bCs/>
                <w:sz w:val="18"/>
                <w:szCs w:val="18"/>
                <w:lang w:val="ro-RO"/>
              </w:rPr>
              <w:t>Actul Uniunii Europene</w:t>
            </w:r>
          </w:p>
        </w:tc>
        <w:tc>
          <w:tcPr>
            <w:tcW w:w="4820" w:type="dxa"/>
          </w:tcPr>
          <w:p w:rsidR="00F02F76" w:rsidRPr="00B91C10" w:rsidRDefault="00F02F76" w:rsidP="00670674">
            <w:pPr>
              <w:rPr>
                <w:rFonts w:asciiTheme="majorBidi" w:hAnsiTheme="majorBidi" w:cstheme="majorBidi"/>
                <w:sz w:val="18"/>
                <w:szCs w:val="18"/>
              </w:rPr>
            </w:pPr>
            <w:r w:rsidRPr="00B91C10">
              <w:rPr>
                <w:rFonts w:asciiTheme="majorBidi" w:hAnsiTheme="majorBidi" w:cstheme="majorBidi"/>
                <w:b/>
                <w:bCs/>
                <w:sz w:val="18"/>
                <w:szCs w:val="18"/>
                <w:lang w:val="ro-RO"/>
              </w:rPr>
              <w:t>Proiectul de act normativ național</w:t>
            </w:r>
            <w:r w:rsidRPr="00B91C10">
              <w:rPr>
                <w:rFonts w:asciiTheme="majorBidi" w:hAnsiTheme="majorBidi" w:cstheme="majorBidi"/>
                <w:sz w:val="18"/>
                <w:szCs w:val="18"/>
              </w:rPr>
              <w:t xml:space="preserve"> </w:t>
            </w:r>
          </w:p>
        </w:tc>
        <w:tc>
          <w:tcPr>
            <w:tcW w:w="1417" w:type="dxa"/>
          </w:tcPr>
          <w:p w:rsidR="00F02F76" w:rsidRPr="00605DF1" w:rsidRDefault="00F02F76" w:rsidP="00670674">
            <w:pPr>
              <w:rPr>
                <w:rFonts w:asciiTheme="majorBidi" w:hAnsiTheme="majorBidi" w:cstheme="majorBidi"/>
                <w:b/>
                <w:sz w:val="18"/>
                <w:szCs w:val="18"/>
              </w:rPr>
            </w:pPr>
            <w:r w:rsidRPr="00B91C10">
              <w:rPr>
                <w:rFonts w:asciiTheme="majorBidi" w:hAnsiTheme="majorBidi" w:cstheme="majorBidi"/>
                <w:b/>
                <w:sz w:val="18"/>
                <w:szCs w:val="18"/>
              </w:rPr>
              <w:t xml:space="preserve">Gradul de compatibilitate </w:t>
            </w:r>
          </w:p>
        </w:tc>
        <w:tc>
          <w:tcPr>
            <w:tcW w:w="4253" w:type="dxa"/>
          </w:tcPr>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b/>
                <w:sz w:val="18"/>
                <w:szCs w:val="18"/>
              </w:rPr>
              <w:t xml:space="preserve">Observațiile </w:t>
            </w:r>
          </w:p>
          <w:p w:rsidR="00F02F76" w:rsidRPr="00605DF1" w:rsidRDefault="00F02F76" w:rsidP="00670674">
            <w:pPr>
              <w:rPr>
                <w:rFonts w:asciiTheme="majorBidi" w:hAnsiTheme="majorBidi" w:cstheme="majorBidi"/>
                <w:b/>
                <w:sz w:val="18"/>
                <w:szCs w:val="18"/>
              </w:rPr>
            </w:pPr>
            <w:r w:rsidRPr="00B91C10">
              <w:rPr>
                <w:rFonts w:asciiTheme="majorBidi" w:hAnsiTheme="majorBidi" w:cstheme="majorBidi"/>
                <w:b/>
                <w:sz w:val="18"/>
                <w:szCs w:val="18"/>
              </w:rPr>
              <w:t>Comisiei Europene</w:t>
            </w:r>
          </w:p>
        </w:tc>
      </w:tr>
      <w:tr w:rsidR="00F02F76" w:rsidRPr="00C27D66" w:rsidTr="00670674">
        <w:trPr>
          <w:trHeight w:val="616"/>
        </w:trPr>
        <w:tc>
          <w:tcPr>
            <w:tcW w:w="15735" w:type="dxa"/>
            <w:gridSpan w:val="4"/>
            <w:shd w:val="clear" w:color="auto" w:fill="FFFF00"/>
          </w:tcPr>
          <w:p w:rsidR="00F02F76" w:rsidRPr="00B91C10" w:rsidRDefault="00F02F76" w:rsidP="00670674">
            <w:pPr>
              <w:rPr>
                <w:rFonts w:asciiTheme="majorBidi" w:hAnsiTheme="majorBidi" w:cstheme="majorBidi"/>
                <w:b/>
                <w:sz w:val="18"/>
                <w:szCs w:val="18"/>
                <w:lang w:val="it-IT"/>
              </w:rPr>
            </w:pPr>
            <w:r w:rsidRPr="00B91C10">
              <w:rPr>
                <w:rFonts w:asciiTheme="majorBidi" w:hAnsiTheme="majorBidi" w:cstheme="majorBidi"/>
                <w:sz w:val="18"/>
                <w:szCs w:val="18"/>
                <w:lang w:val="it-IT"/>
              </w:rPr>
              <w:t>Codul reţelelor de gaze naturale transpune Regulamentul (UE) Nr.</w:t>
            </w:r>
            <w:r w:rsidR="005739C4">
              <w:rPr>
                <w:rFonts w:asciiTheme="majorBidi" w:hAnsiTheme="majorBidi" w:cstheme="majorBidi"/>
                <w:sz w:val="18"/>
                <w:szCs w:val="18"/>
                <w:lang w:val="it-IT"/>
              </w:rPr>
              <w:t xml:space="preserve"> </w:t>
            </w:r>
            <w:r w:rsidRPr="00B91C10">
              <w:rPr>
                <w:rFonts w:asciiTheme="majorBidi" w:hAnsiTheme="majorBidi" w:cstheme="majorBidi"/>
                <w:sz w:val="18"/>
                <w:szCs w:val="18"/>
                <w:lang w:val="it-IT"/>
              </w:rPr>
              <w:t>2015/703 al Comisiei Europene din 30 aprilie 2015 de stabilire a unui cod de reţea pentru normele privind interoperabilitatea şi schimbul de date, publicat în Jurnalul Oficial al Uniunii Europene (JO) Nr.L 113/13 din 1 mai 2015, adaptat prin Decizia Nr.2018/02/PHLG-EnC al Grupului Permanent de Nivel Înalt al Comunităţii Energetice din 12 ianuarie 2018 privind adoptarea Regulamentului (CE) Nr.2015/703 al Comisiei Europene din 30 aprilie 2015 de stabilire a unui cod de reţea pentru normele privind interoperabilitatea şi schimbul de date.</w:t>
            </w:r>
          </w:p>
        </w:tc>
      </w:tr>
      <w:tr w:rsidR="00F02F76" w:rsidRPr="00B91C10" w:rsidTr="00670674">
        <w:trPr>
          <w:trHeight w:val="1240"/>
        </w:trPr>
        <w:tc>
          <w:tcPr>
            <w:tcW w:w="5245" w:type="dxa"/>
          </w:tcPr>
          <w:p w:rsidR="00F02F76" w:rsidRPr="00DA725A" w:rsidRDefault="00F02F76" w:rsidP="00670674">
            <w:pPr>
              <w:shd w:val="clear" w:color="auto" w:fill="FFFFFF"/>
              <w:jc w:val="center"/>
              <w:rPr>
                <w:i/>
                <w:iCs/>
                <w:sz w:val="18"/>
                <w:szCs w:val="18"/>
                <w:lang w:val="it-IT"/>
              </w:rPr>
            </w:pPr>
            <w:r w:rsidRPr="00DA725A">
              <w:rPr>
                <w:i/>
                <w:iCs/>
                <w:sz w:val="18"/>
                <w:szCs w:val="18"/>
                <w:lang w:val="it-IT"/>
              </w:rPr>
              <w:t>Articolul 2</w:t>
            </w:r>
          </w:p>
          <w:p w:rsidR="00F02F76" w:rsidRPr="00DA725A" w:rsidRDefault="00F02F76" w:rsidP="00670674">
            <w:pPr>
              <w:shd w:val="clear" w:color="auto" w:fill="FFFFFF"/>
              <w:jc w:val="center"/>
              <w:rPr>
                <w:b/>
                <w:bCs/>
                <w:sz w:val="18"/>
                <w:szCs w:val="18"/>
                <w:lang w:val="it-IT"/>
              </w:rPr>
            </w:pPr>
            <w:r w:rsidRPr="00DA725A">
              <w:rPr>
                <w:b/>
                <w:bCs/>
                <w:sz w:val="18"/>
                <w:szCs w:val="18"/>
                <w:lang w:val="it-IT"/>
              </w:rPr>
              <w:t>Definiții</w:t>
            </w:r>
          </w:p>
          <w:p w:rsidR="00F02F76" w:rsidRDefault="00F02F76" w:rsidP="00670674">
            <w:pPr>
              <w:shd w:val="clear" w:color="auto" w:fill="FFFFFF"/>
              <w:jc w:val="both"/>
              <w:rPr>
                <w:sz w:val="18"/>
                <w:szCs w:val="18"/>
                <w:lang w:val="it-IT"/>
              </w:rPr>
            </w:pPr>
            <w:r w:rsidRPr="00DA725A">
              <w:rPr>
                <w:sz w:val="18"/>
                <w:szCs w:val="18"/>
                <w:lang w:val="it-IT"/>
              </w:rPr>
              <w:t xml:space="preserve">În sensul prezentului regulament, se aplică definițiile de la articolul 2 din Regulamentul (CE) nr. 715/2009…  precum și de la articolul 2 din Directiva 2009/73/CE. În plus, se aplică următoarele definiții: </w:t>
            </w:r>
          </w:p>
          <w:p w:rsidR="00F02F76" w:rsidRDefault="00F02F76" w:rsidP="00670674">
            <w:pPr>
              <w:shd w:val="clear" w:color="auto" w:fill="FFFFFF"/>
              <w:jc w:val="both"/>
              <w:rPr>
                <w:sz w:val="18"/>
                <w:szCs w:val="18"/>
                <w:lang w:val="it-IT"/>
              </w:rPr>
            </w:pPr>
          </w:p>
          <w:p w:rsidR="00F02F76" w:rsidRPr="00DA725A" w:rsidRDefault="00F02F76" w:rsidP="00670674">
            <w:pPr>
              <w:shd w:val="clear" w:color="auto" w:fill="FFFFFF"/>
              <w:jc w:val="both"/>
              <w:rPr>
                <w:sz w:val="18"/>
                <w:szCs w:val="18"/>
                <w:lang w:val="it-IT"/>
              </w:rPr>
            </w:pPr>
          </w:p>
          <w:tbl>
            <w:tblPr>
              <w:tblW w:w="4970" w:type="pct"/>
              <w:tblInd w:w="30" w:type="dxa"/>
              <w:shd w:val="clear" w:color="auto" w:fill="FFFFFF"/>
              <w:tblLayout w:type="fixed"/>
              <w:tblCellMar>
                <w:left w:w="0" w:type="dxa"/>
                <w:right w:w="0" w:type="dxa"/>
              </w:tblCellMar>
              <w:tblLook w:val="04A0" w:firstRow="1" w:lastRow="0" w:firstColumn="1" w:lastColumn="0" w:noHBand="0" w:noVBand="1"/>
            </w:tblPr>
            <w:tblGrid>
              <w:gridCol w:w="122"/>
              <w:gridCol w:w="4877"/>
            </w:tblGrid>
            <w:tr w:rsidR="00F02F76" w:rsidRPr="00C27D66" w:rsidTr="00670674">
              <w:tc>
                <w:tcPr>
                  <w:tcW w:w="122" w:type="dxa"/>
                  <w:shd w:val="clear" w:color="auto" w:fill="FFFFFF"/>
                  <w:hideMark/>
                </w:tcPr>
                <w:p w:rsidR="00F02F76" w:rsidRPr="00DA725A" w:rsidRDefault="00F02F76" w:rsidP="00670674">
                  <w:pPr>
                    <w:jc w:val="both"/>
                    <w:rPr>
                      <w:sz w:val="18"/>
                      <w:szCs w:val="18"/>
                    </w:rPr>
                  </w:pPr>
                  <w:r w:rsidRPr="00DA725A">
                    <w:rPr>
                      <w:sz w:val="18"/>
                      <w:szCs w:val="18"/>
                    </w:rPr>
                    <w:t>(a)</w:t>
                  </w:r>
                </w:p>
              </w:tc>
              <w:tc>
                <w:tcPr>
                  <w:tcW w:w="4877" w:type="dxa"/>
                  <w:shd w:val="clear" w:color="auto" w:fill="FFFFFF"/>
                  <w:hideMark/>
                </w:tcPr>
                <w:p w:rsidR="00F02F76" w:rsidRDefault="00F02F76" w:rsidP="00670674">
                  <w:pPr>
                    <w:jc w:val="both"/>
                    <w:rPr>
                      <w:sz w:val="18"/>
                      <w:szCs w:val="18"/>
                      <w:lang w:val="it-IT"/>
                    </w:rPr>
                  </w:pPr>
                  <w:r w:rsidRPr="00DA725A">
                    <w:rPr>
                      <w:sz w:val="18"/>
                      <w:szCs w:val="18"/>
                      <w:lang w:val="it-IT"/>
                    </w:rPr>
                    <w:t xml:space="preserve">„eveniment excepțional” înseamnă orice eveniment neplanificat care nu poate fi controlat sau prevenit în mod rezonabil și care poate provoca, pentru o perioadă limitată, reduceri ale capacității, afectând astfel cantitatea sau calitatea gazului la un anumit punct de interconectare, cu posibile consecințe asupra interacțiunilor dintre </w:t>
                  </w:r>
                  <w:r w:rsidRPr="00DA725A">
                    <w:rPr>
                      <w:sz w:val="18"/>
                      <w:szCs w:val="18"/>
                      <w:lang w:val="it-IT"/>
                    </w:rPr>
                    <w:lastRenderedPageBreak/>
                    <w:t>operatorii de sisteme de transport, precum și dintre operatorii de sisteme de transport și utilizatorii rețelei;</w:t>
                  </w:r>
                </w:p>
                <w:p w:rsidR="00F02F76" w:rsidRPr="00DA725A" w:rsidRDefault="00F02F76" w:rsidP="00670674">
                  <w:pPr>
                    <w:jc w:val="both"/>
                    <w:rPr>
                      <w:sz w:val="18"/>
                      <w:szCs w:val="18"/>
                      <w:lang w:val="it-IT"/>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DA725A" w:rsidTr="00670674">
              <w:tc>
                <w:tcPr>
                  <w:tcW w:w="280" w:type="dxa"/>
                  <w:shd w:val="clear" w:color="auto" w:fill="FFFFFF"/>
                  <w:hideMark/>
                </w:tcPr>
                <w:p w:rsidR="00F02F76" w:rsidRPr="00DA725A" w:rsidRDefault="00F02F76" w:rsidP="00670674">
                  <w:pPr>
                    <w:jc w:val="both"/>
                    <w:rPr>
                      <w:sz w:val="18"/>
                      <w:szCs w:val="18"/>
                    </w:rPr>
                  </w:pPr>
                  <w:r w:rsidRPr="00DA725A">
                    <w:rPr>
                      <w:sz w:val="18"/>
                      <w:szCs w:val="18"/>
                    </w:rPr>
                    <w:t>(b)</w:t>
                  </w:r>
                </w:p>
              </w:tc>
              <w:tc>
                <w:tcPr>
                  <w:tcW w:w="9075" w:type="dxa"/>
                  <w:shd w:val="clear" w:color="auto" w:fill="FFFFFF"/>
                  <w:hideMark/>
                </w:tcPr>
                <w:p w:rsidR="00F02F76" w:rsidRDefault="00F02F76" w:rsidP="00670674">
                  <w:pPr>
                    <w:jc w:val="both"/>
                    <w:rPr>
                      <w:sz w:val="18"/>
                      <w:szCs w:val="18"/>
                      <w:lang w:val="en-GB"/>
                    </w:rPr>
                  </w:pPr>
                  <w:r w:rsidRPr="00DA725A">
                    <w:rPr>
                      <w:sz w:val="18"/>
                      <w:szCs w:val="18"/>
                      <w:lang w:val="en-GB"/>
                    </w:rPr>
                    <w:t>„operator de sistem de transport inițiator” înseamnă operatorul de sistem de transport care inițiază procesul de concordanță prin transmiterea datelor necesare către operatorul de sistem de transport concordant;</w:t>
                  </w:r>
                </w:p>
                <w:p w:rsidR="00F02F76" w:rsidRPr="00DA725A" w:rsidRDefault="00F02F76" w:rsidP="00670674">
                  <w:pPr>
                    <w:jc w:val="both"/>
                    <w:rPr>
                      <w:sz w:val="18"/>
                      <w:szCs w:val="18"/>
                      <w:lang w:val="en-GB"/>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2"/>
              <w:gridCol w:w="4877"/>
            </w:tblGrid>
            <w:tr w:rsidR="00F02F76" w:rsidRPr="00C27D66" w:rsidTr="00670674">
              <w:tc>
                <w:tcPr>
                  <w:tcW w:w="267" w:type="dxa"/>
                  <w:shd w:val="clear" w:color="auto" w:fill="FFFFFF"/>
                  <w:hideMark/>
                </w:tcPr>
                <w:p w:rsidR="00F02F76" w:rsidRPr="00DA725A" w:rsidRDefault="00F02F76" w:rsidP="00670674">
                  <w:pPr>
                    <w:jc w:val="both"/>
                    <w:rPr>
                      <w:sz w:val="18"/>
                      <w:szCs w:val="18"/>
                    </w:rPr>
                  </w:pPr>
                  <w:r w:rsidRPr="00DA725A">
                    <w:rPr>
                      <w:sz w:val="18"/>
                      <w:szCs w:val="18"/>
                    </w:rPr>
                    <w:t>(c)</w:t>
                  </w:r>
                </w:p>
              </w:tc>
              <w:tc>
                <w:tcPr>
                  <w:tcW w:w="9088" w:type="dxa"/>
                  <w:shd w:val="clear" w:color="auto" w:fill="FFFFFF"/>
                  <w:hideMark/>
                </w:tcPr>
                <w:p w:rsidR="00F02F76" w:rsidRPr="00DA725A" w:rsidRDefault="00F02F76" w:rsidP="00670674">
                  <w:pPr>
                    <w:jc w:val="both"/>
                    <w:rPr>
                      <w:sz w:val="18"/>
                      <w:szCs w:val="18"/>
                      <w:lang w:val="it-IT"/>
                    </w:rPr>
                  </w:pPr>
                  <w:r w:rsidRPr="00DA725A">
                    <w:rPr>
                      <w:sz w:val="18"/>
                      <w:szCs w:val="18"/>
                      <w:lang w:val="it-IT"/>
                    </w:rPr>
                    <w:t>„regula valorii inferioare” înseamnă că, în cazul în care cantitățile prelucrate la oricare dintre părțile unui punct de interconectare sunt diferite, cantitatea confirmată va fi egală cu cea mai mică dintre cele două cantități prelucrate;</w:t>
                  </w: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C27D66" w:rsidTr="00670674">
              <w:tc>
                <w:tcPr>
                  <w:tcW w:w="280" w:type="dxa"/>
                  <w:shd w:val="clear" w:color="auto" w:fill="FFFFFF"/>
                  <w:hideMark/>
                </w:tcPr>
                <w:p w:rsidR="00F02F76" w:rsidRPr="00DA725A" w:rsidRDefault="00F02F76" w:rsidP="00670674">
                  <w:pPr>
                    <w:jc w:val="both"/>
                    <w:rPr>
                      <w:sz w:val="18"/>
                      <w:szCs w:val="18"/>
                    </w:rPr>
                  </w:pPr>
                  <w:r w:rsidRPr="00DA725A">
                    <w:rPr>
                      <w:sz w:val="18"/>
                      <w:szCs w:val="18"/>
                    </w:rPr>
                    <w:t>(d)</w:t>
                  </w:r>
                </w:p>
              </w:tc>
              <w:tc>
                <w:tcPr>
                  <w:tcW w:w="9075" w:type="dxa"/>
                  <w:shd w:val="clear" w:color="auto" w:fill="FFFFFF"/>
                  <w:hideMark/>
                </w:tcPr>
                <w:p w:rsidR="00F02F76" w:rsidRDefault="00F02F76" w:rsidP="00670674">
                  <w:pPr>
                    <w:jc w:val="both"/>
                    <w:rPr>
                      <w:sz w:val="18"/>
                      <w:szCs w:val="18"/>
                      <w:lang w:val="it-IT"/>
                    </w:rPr>
                  </w:pPr>
                  <w:r w:rsidRPr="00DA725A">
                    <w:rPr>
                      <w:sz w:val="18"/>
                      <w:szCs w:val="18"/>
                      <w:lang w:val="it-IT"/>
                    </w:rPr>
                    <w:t>„procesul de concordanță” este procesul de comparare și de aliniere a cantităților de gaz prelucrate pentru utilizatorii rețelei la ambele părți ale unui punct de interconectare specific, care are ca rezultat cantități confirmate pentru utilizatorii rețelei;</w:t>
                  </w:r>
                </w:p>
                <w:p w:rsidR="00495CCB" w:rsidRPr="00DA725A" w:rsidRDefault="00495CCB" w:rsidP="00670674">
                  <w:pPr>
                    <w:jc w:val="both"/>
                    <w:rPr>
                      <w:sz w:val="18"/>
                      <w:szCs w:val="18"/>
                      <w:lang w:val="it-IT"/>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2"/>
              <w:gridCol w:w="4877"/>
            </w:tblGrid>
            <w:tr w:rsidR="00F02F76" w:rsidRPr="00DA725A" w:rsidTr="00670674">
              <w:tc>
                <w:tcPr>
                  <w:tcW w:w="267" w:type="dxa"/>
                  <w:shd w:val="clear" w:color="auto" w:fill="FFFFFF"/>
                  <w:hideMark/>
                </w:tcPr>
                <w:p w:rsidR="00F02F76" w:rsidRPr="00DA725A" w:rsidRDefault="00F02F76" w:rsidP="00670674">
                  <w:pPr>
                    <w:jc w:val="both"/>
                    <w:rPr>
                      <w:sz w:val="18"/>
                      <w:szCs w:val="18"/>
                    </w:rPr>
                  </w:pPr>
                  <w:r w:rsidRPr="00DA725A">
                    <w:rPr>
                      <w:sz w:val="18"/>
                      <w:szCs w:val="18"/>
                    </w:rPr>
                    <w:t>(e)</w:t>
                  </w:r>
                </w:p>
              </w:tc>
              <w:tc>
                <w:tcPr>
                  <w:tcW w:w="9088" w:type="dxa"/>
                  <w:shd w:val="clear" w:color="auto" w:fill="FFFFFF"/>
                  <w:hideMark/>
                </w:tcPr>
                <w:p w:rsidR="00F02F76" w:rsidRDefault="00F02F76" w:rsidP="00670674">
                  <w:pPr>
                    <w:jc w:val="both"/>
                    <w:rPr>
                      <w:sz w:val="18"/>
                      <w:szCs w:val="18"/>
                      <w:lang w:val="en-GB"/>
                    </w:rPr>
                  </w:pPr>
                  <w:r w:rsidRPr="00DA725A">
                    <w:rPr>
                      <w:sz w:val="18"/>
                      <w:szCs w:val="18"/>
                      <w:lang w:val="en-GB"/>
                    </w:rPr>
                    <w:t>„operator de sistem de transport concordant” înseamnă operatorul de sistem de transport care realizează procesul de concordanță și care transmite rezultatul procesului de concordanță către operatorul de sistem de transport inițiator;</w:t>
                  </w:r>
                </w:p>
                <w:p w:rsidR="00F02F76" w:rsidRPr="00DA725A" w:rsidRDefault="00F02F76" w:rsidP="00670674">
                  <w:pPr>
                    <w:jc w:val="both"/>
                    <w:rPr>
                      <w:sz w:val="18"/>
                      <w:szCs w:val="18"/>
                      <w:lang w:val="en-GB"/>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8"/>
              <w:gridCol w:w="4891"/>
            </w:tblGrid>
            <w:tr w:rsidR="00F02F76" w:rsidRPr="00C27D66" w:rsidTr="00670674">
              <w:tc>
                <w:tcPr>
                  <w:tcW w:w="240" w:type="dxa"/>
                  <w:shd w:val="clear" w:color="auto" w:fill="FFFFFF"/>
                  <w:hideMark/>
                </w:tcPr>
                <w:p w:rsidR="00F02F76" w:rsidRPr="00DA725A" w:rsidRDefault="00F02F76" w:rsidP="00670674">
                  <w:pPr>
                    <w:jc w:val="both"/>
                    <w:rPr>
                      <w:sz w:val="18"/>
                      <w:szCs w:val="18"/>
                    </w:rPr>
                  </w:pPr>
                  <w:r w:rsidRPr="00DA725A">
                    <w:rPr>
                      <w:sz w:val="18"/>
                      <w:szCs w:val="18"/>
                    </w:rPr>
                    <w:t>(f)</w:t>
                  </w:r>
                </w:p>
              </w:tc>
              <w:tc>
                <w:tcPr>
                  <w:tcW w:w="9115" w:type="dxa"/>
                  <w:shd w:val="clear" w:color="auto" w:fill="FFFFFF"/>
                  <w:hideMark/>
                </w:tcPr>
                <w:p w:rsidR="00F02F76" w:rsidRPr="00DA725A" w:rsidRDefault="00F02F76" w:rsidP="00670674">
                  <w:pPr>
                    <w:jc w:val="both"/>
                    <w:rPr>
                      <w:sz w:val="18"/>
                      <w:szCs w:val="18"/>
                      <w:lang w:val="it-IT"/>
                    </w:rPr>
                  </w:pPr>
                  <w:r w:rsidRPr="00DA725A">
                    <w:rPr>
                      <w:sz w:val="18"/>
                      <w:szCs w:val="18"/>
                      <w:lang w:val="it-IT"/>
                    </w:rPr>
                    <w:t>„cantitate măsurată” înseamnă cantitatea de gaz care, conform echipamentului de măsurare al operatorului de sistem de transport, a trecut fizic printr-un punct de interconectare per perioadă de timp;</w:t>
                  </w:r>
                </w:p>
              </w:tc>
            </w:tr>
          </w:tbl>
          <w:p w:rsidR="00F02F76" w:rsidRPr="00DA725A" w:rsidRDefault="00F02F76" w:rsidP="00670674">
            <w:pPr>
              <w:rPr>
                <w:vanish/>
                <w:sz w:val="18"/>
                <w:szCs w:val="18"/>
              </w:rPr>
            </w:pPr>
          </w:p>
          <w:tbl>
            <w:tblPr>
              <w:tblW w:w="9899" w:type="dxa"/>
              <w:shd w:val="clear" w:color="auto" w:fill="FFFFFF"/>
              <w:tblLayout w:type="fixed"/>
              <w:tblCellMar>
                <w:left w:w="0" w:type="dxa"/>
                <w:right w:w="0" w:type="dxa"/>
              </w:tblCellMar>
              <w:tblLook w:val="04A0" w:firstRow="1" w:lastRow="0" w:firstColumn="1" w:lastColumn="0" w:noHBand="0" w:noVBand="1"/>
            </w:tblPr>
            <w:tblGrid>
              <w:gridCol w:w="159"/>
              <w:gridCol w:w="4870"/>
              <w:gridCol w:w="4870"/>
            </w:tblGrid>
            <w:tr w:rsidR="00F02F76" w:rsidRPr="00C27D66" w:rsidTr="00670674">
              <w:tc>
                <w:tcPr>
                  <w:tcW w:w="159" w:type="dxa"/>
                  <w:shd w:val="clear" w:color="auto" w:fill="FFFFFF"/>
                  <w:hideMark/>
                </w:tcPr>
                <w:p w:rsidR="00F02F76" w:rsidRPr="00DA725A" w:rsidRDefault="00F02F76" w:rsidP="00670674">
                  <w:pPr>
                    <w:jc w:val="both"/>
                    <w:rPr>
                      <w:sz w:val="18"/>
                      <w:szCs w:val="18"/>
                    </w:rPr>
                  </w:pPr>
                  <w:r w:rsidRPr="00DA725A">
                    <w:rPr>
                      <w:sz w:val="18"/>
                      <w:szCs w:val="18"/>
                    </w:rPr>
                    <w:t>(g)</w:t>
                  </w:r>
                </w:p>
              </w:tc>
              <w:tc>
                <w:tcPr>
                  <w:tcW w:w="4870" w:type="dxa"/>
                  <w:shd w:val="clear" w:color="auto" w:fill="FFFFFF"/>
                  <w:hideMark/>
                </w:tcPr>
                <w:p w:rsidR="00F02F76" w:rsidRPr="00DA725A" w:rsidRDefault="00F02F76" w:rsidP="00670674">
                  <w:pPr>
                    <w:jc w:val="both"/>
                    <w:rPr>
                      <w:sz w:val="18"/>
                      <w:szCs w:val="18"/>
                      <w:lang w:val="it-IT"/>
                    </w:rPr>
                  </w:pPr>
                  <w:r w:rsidRPr="00DA725A">
                    <w:rPr>
                      <w:sz w:val="18"/>
                      <w:szCs w:val="18"/>
                      <w:lang w:val="it-IT"/>
                    </w:rPr>
                    <w:t>„cont de echilibrare operațională” înseamnă un cont între operatorii de sisteme de transport adiacenți, care se utilizează la gestionarea diferențelor de direcționare la un punct de interconectare în vederea simplificării contabilizării gazului pentru utilizatorii rețelei vizați de punctul de interconectare;</w:t>
                  </w:r>
                </w:p>
              </w:tc>
              <w:tc>
                <w:tcPr>
                  <w:tcW w:w="4870" w:type="dxa"/>
                  <w:shd w:val="clear" w:color="auto" w:fill="FFFFFF"/>
                </w:tcPr>
                <w:p w:rsidR="00F02F76" w:rsidRPr="00DA725A" w:rsidRDefault="00F02F76" w:rsidP="00670674">
                  <w:pPr>
                    <w:jc w:val="both"/>
                    <w:rPr>
                      <w:sz w:val="18"/>
                      <w:szCs w:val="18"/>
                      <w:lang w:val="it-IT"/>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C27D66" w:rsidTr="00670674">
              <w:tc>
                <w:tcPr>
                  <w:tcW w:w="280" w:type="dxa"/>
                  <w:shd w:val="clear" w:color="auto" w:fill="FFFFFF"/>
                  <w:hideMark/>
                </w:tcPr>
                <w:p w:rsidR="00F02F76" w:rsidRPr="00DA725A" w:rsidRDefault="00F02F76" w:rsidP="00670674">
                  <w:pPr>
                    <w:jc w:val="both"/>
                    <w:rPr>
                      <w:sz w:val="18"/>
                      <w:szCs w:val="18"/>
                    </w:rPr>
                  </w:pPr>
                  <w:r w:rsidRPr="00DA725A">
                    <w:rPr>
                      <w:sz w:val="18"/>
                      <w:szCs w:val="18"/>
                    </w:rPr>
                    <w:t>(h)</w:t>
                  </w:r>
                </w:p>
              </w:tc>
              <w:tc>
                <w:tcPr>
                  <w:tcW w:w="9075" w:type="dxa"/>
                  <w:shd w:val="clear" w:color="auto" w:fill="FFFFFF"/>
                  <w:hideMark/>
                </w:tcPr>
                <w:p w:rsidR="00F02F76" w:rsidRPr="00DA725A" w:rsidRDefault="00F02F76" w:rsidP="00670674">
                  <w:pPr>
                    <w:jc w:val="both"/>
                    <w:rPr>
                      <w:sz w:val="18"/>
                      <w:szCs w:val="18"/>
                      <w:lang w:val="it-IT"/>
                    </w:rPr>
                  </w:pPr>
                  <w:r w:rsidRPr="00DA725A">
                    <w:rPr>
                      <w:sz w:val="18"/>
                      <w:szCs w:val="18"/>
                      <w:lang w:val="it-IT"/>
                    </w:rPr>
                    <w:t>„cantitate prelucrată” înseamnă cantitatea de gaz determinată de operatorul de sistem de transport inițiator și de operatorul de sistem de transport concordant, care ține seama de nominalizarea sau renominalizarea utilizatorului rețelei și de prevederile contractuale definite în contractul de transport relevant și care este utilizată ca bază pentru procesul de concordanță;</w:t>
                  </w: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4898"/>
            </w:tblGrid>
            <w:tr w:rsidR="00F02F76" w:rsidRPr="00C27D66" w:rsidTr="00670674">
              <w:trPr>
                <w:trHeight w:val="80"/>
              </w:trPr>
              <w:tc>
                <w:tcPr>
                  <w:tcW w:w="227" w:type="dxa"/>
                  <w:shd w:val="clear" w:color="auto" w:fill="FFFFFF"/>
                  <w:hideMark/>
                </w:tcPr>
                <w:p w:rsidR="00F02F76" w:rsidRPr="00DA725A" w:rsidRDefault="00F02F76" w:rsidP="00670674">
                  <w:pPr>
                    <w:jc w:val="both"/>
                    <w:rPr>
                      <w:sz w:val="18"/>
                      <w:szCs w:val="18"/>
                    </w:rPr>
                  </w:pPr>
                  <w:r w:rsidRPr="00DA725A">
                    <w:rPr>
                      <w:sz w:val="18"/>
                      <w:szCs w:val="18"/>
                    </w:rPr>
                    <w:t>(i)</w:t>
                  </w:r>
                </w:p>
              </w:tc>
              <w:tc>
                <w:tcPr>
                  <w:tcW w:w="9128" w:type="dxa"/>
                  <w:shd w:val="clear" w:color="auto" w:fill="FFFFFF"/>
                  <w:hideMark/>
                </w:tcPr>
                <w:p w:rsidR="00F02F76" w:rsidRPr="00DA725A" w:rsidRDefault="00F02F76" w:rsidP="00670674">
                  <w:pPr>
                    <w:jc w:val="both"/>
                    <w:rPr>
                      <w:sz w:val="18"/>
                      <w:szCs w:val="18"/>
                      <w:lang w:val="it-IT"/>
                    </w:rPr>
                  </w:pPr>
                  <w:r w:rsidRPr="00DA725A">
                    <w:rPr>
                      <w:sz w:val="18"/>
                      <w:szCs w:val="18"/>
                      <w:lang w:val="it-IT"/>
                    </w:rPr>
                    <w:t>„diferență de direcționare” înseamnă diferența dintre cantitatea de gaz pe care operatorii de sisteme de transport au programat-o să curgă și cantitatea măsurată pentru un punct de interconectare.</w:t>
                  </w:r>
                </w:p>
              </w:tc>
            </w:tr>
          </w:tbl>
          <w:p w:rsidR="00F02F76" w:rsidRPr="00DA725A" w:rsidRDefault="00F02F76" w:rsidP="00670674">
            <w:pPr>
              <w:rPr>
                <w:b/>
                <w:sz w:val="18"/>
                <w:szCs w:val="18"/>
                <w:lang w:val="it-IT"/>
              </w:rPr>
            </w:pPr>
          </w:p>
        </w:tc>
        <w:tc>
          <w:tcPr>
            <w:tcW w:w="4820" w:type="dxa"/>
          </w:tcPr>
          <w:p w:rsidR="00F02F76" w:rsidRPr="00DA725A" w:rsidRDefault="00F02F76" w:rsidP="00670674">
            <w:pPr>
              <w:ind w:firstLine="567"/>
              <w:contextualSpacing/>
              <w:jc w:val="both"/>
              <w:rPr>
                <w:b/>
                <w:sz w:val="18"/>
                <w:szCs w:val="18"/>
                <w:lang w:val="ro-RO"/>
              </w:rPr>
            </w:pPr>
          </w:p>
          <w:p w:rsidR="00F02F76" w:rsidRPr="00C33F84" w:rsidRDefault="00F02F76" w:rsidP="00670674">
            <w:pPr>
              <w:pStyle w:val="cn"/>
              <w:rPr>
                <w:sz w:val="18"/>
                <w:szCs w:val="18"/>
                <w:lang w:val="it-IT"/>
              </w:rPr>
            </w:pPr>
            <w:r w:rsidRPr="00C33F84">
              <w:rPr>
                <w:b/>
                <w:bCs/>
                <w:sz w:val="18"/>
                <w:szCs w:val="18"/>
                <w:lang w:val="it-IT"/>
              </w:rPr>
              <w:t>Secţiunea 2</w:t>
            </w:r>
          </w:p>
          <w:p w:rsidR="00F02F76" w:rsidRPr="00DA725A" w:rsidRDefault="00F02F76" w:rsidP="00670674">
            <w:pPr>
              <w:pStyle w:val="cn"/>
              <w:rPr>
                <w:b/>
                <w:sz w:val="18"/>
                <w:szCs w:val="18"/>
                <w:lang w:val="ro-RO"/>
              </w:rPr>
            </w:pPr>
            <w:r w:rsidRPr="00C33F84">
              <w:rPr>
                <w:b/>
                <w:bCs/>
                <w:sz w:val="18"/>
                <w:szCs w:val="18"/>
                <w:lang w:val="it-IT"/>
              </w:rPr>
              <w:t>Termeni şi noţiuni</w:t>
            </w:r>
          </w:p>
          <w:p w:rsidR="00F02F76" w:rsidRPr="00DA725A" w:rsidRDefault="00F02F76" w:rsidP="00670674">
            <w:pPr>
              <w:contextualSpacing/>
              <w:jc w:val="both"/>
              <w:rPr>
                <w:b/>
                <w:sz w:val="18"/>
                <w:szCs w:val="18"/>
                <w:lang w:val="ro-RO"/>
              </w:rPr>
            </w:pPr>
            <w:r w:rsidRPr="00167092">
              <w:rPr>
                <w:b/>
                <w:bCs/>
                <w:lang w:val="it-IT"/>
              </w:rPr>
              <w:t>5.</w:t>
            </w:r>
            <w:r w:rsidRPr="00167092">
              <w:rPr>
                <w:lang w:val="it-IT"/>
              </w:rPr>
              <w:t xml:space="preserve"> În sensul prezentului Cod se utilizează noţiunile definite în Legea cu privire la gazele naturale nr.108 din 27 mai 2016 (în continuare – </w:t>
            </w:r>
            <w:hyperlink r:id="rId10" w:history="1">
              <w:r w:rsidRPr="00167092">
                <w:rPr>
                  <w:color w:val="0000FF"/>
                  <w:u w:val="single"/>
                  <w:lang w:val="it-IT"/>
                </w:rPr>
                <w:t>Legea nr.108/2016</w:t>
              </w:r>
            </w:hyperlink>
            <w:r w:rsidRPr="00167092">
              <w:rPr>
                <w:lang w:val="it-IT"/>
              </w:rPr>
              <w:t>), precum şi următoarele noţiuni şi definiţii:</w:t>
            </w:r>
          </w:p>
          <w:p w:rsidR="00F02F76" w:rsidRPr="00DA725A" w:rsidRDefault="00F02F76" w:rsidP="00670674">
            <w:pPr>
              <w:ind w:firstLine="567"/>
              <w:contextualSpacing/>
              <w:jc w:val="both"/>
              <w:rPr>
                <w:b/>
                <w:sz w:val="18"/>
                <w:szCs w:val="18"/>
                <w:lang w:val="ro-RO"/>
              </w:rPr>
            </w:pPr>
          </w:p>
          <w:p w:rsidR="00F02F76" w:rsidRPr="00DA725A" w:rsidRDefault="00F02F76" w:rsidP="00670674">
            <w:pPr>
              <w:contextualSpacing/>
              <w:jc w:val="both"/>
              <w:rPr>
                <w:b/>
                <w:sz w:val="18"/>
                <w:szCs w:val="18"/>
                <w:lang w:val="ro-RO"/>
              </w:rPr>
            </w:pPr>
            <w:r w:rsidRPr="00167092">
              <w:rPr>
                <w:b/>
                <w:bCs/>
                <w:sz w:val="18"/>
                <w:szCs w:val="18"/>
                <w:lang w:val="ro-RO"/>
              </w:rPr>
              <w:t xml:space="preserve">eveniment excepțional-  </w:t>
            </w:r>
            <w:r w:rsidRPr="00167092">
              <w:rPr>
                <w:sz w:val="18"/>
                <w:szCs w:val="18"/>
                <w:lang w:val="ro-RO"/>
              </w:rPr>
              <w:t xml:space="preserve">orice eveniment neplanificat care nu poate fi controlat sau prevenit în mod rezonabil şi care poate provoca pentru o perioadă limitată, reduceri ale capacităţii, </w:t>
            </w:r>
            <w:r w:rsidRPr="00167092">
              <w:rPr>
                <w:sz w:val="18"/>
                <w:szCs w:val="18"/>
                <w:lang w:val="ro-RO"/>
              </w:rPr>
              <w:lastRenderedPageBreak/>
              <w:t>afectând astfel cantitatea sau calitatea gazelor naturale recepţionate la un anumit punct de interconectare, cu posibile consecinţe asupra interacţiunilor dintre OST, precum şi dintre OST şi utilizatorii de sistem;</w:t>
            </w:r>
          </w:p>
          <w:p w:rsidR="00F02F76" w:rsidRPr="00DA725A" w:rsidRDefault="00F02F76" w:rsidP="00670674">
            <w:pPr>
              <w:ind w:firstLine="567"/>
              <w:contextualSpacing/>
              <w:jc w:val="both"/>
              <w:rPr>
                <w:b/>
                <w:sz w:val="18"/>
                <w:szCs w:val="18"/>
                <w:lang w:val="ro-RO"/>
              </w:rPr>
            </w:pPr>
          </w:p>
          <w:p w:rsidR="00F02F76" w:rsidRPr="00DA725A" w:rsidRDefault="00F02F76" w:rsidP="00670674">
            <w:pPr>
              <w:contextualSpacing/>
              <w:jc w:val="both"/>
              <w:rPr>
                <w:sz w:val="18"/>
                <w:szCs w:val="18"/>
                <w:lang w:val="ro-RO"/>
              </w:rPr>
            </w:pPr>
            <w:r w:rsidRPr="00DA725A">
              <w:rPr>
                <w:b/>
                <w:sz w:val="18"/>
                <w:szCs w:val="18"/>
                <w:lang w:val="ro-RO"/>
              </w:rPr>
              <w:t>operator al sistemului de transport inițiator</w:t>
            </w:r>
            <w:r w:rsidRPr="00DA725A">
              <w:rPr>
                <w:sz w:val="18"/>
                <w:szCs w:val="18"/>
                <w:lang w:val="ro-RO"/>
              </w:rPr>
              <w:t xml:space="preserve"> – OST care inițiază procesul de concordanță prin transmiterea datelor necesare către OST concordant;</w:t>
            </w:r>
          </w:p>
          <w:p w:rsidR="00F02F76" w:rsidRPr="00DA725A" w:rsidRDefault="00F02F76" w:rsidP="00670674">
            <w:pPr>
              <w:contextualSpacing/>
              <w:jc w:val="both"/>
              <w:rPr>
                <w:sz w:val="18"/>
                <w:szCs w:val="18"/>
                <w:lang w:val="ro-RO"/>
              </w:rPr>
            </w:pPr>
          </w:p>
          <w:p w:rsidR="00F02F76" w:rsidRPr="00DA725A" w:rsidRDefault="00F02F76" w:rsidP="00670674">
            <w:pPr>
              <w:contextualSpacing/>
              <w:jc w:val="both"/>
              <w:rPr>
                <w:sz w:val="18"/>
                <w:szCs w:val="18"/>
                <w:lang w:val="ro-RO"/>
              </w:rPr>
            </w:pPr>
            <w:r w:rsidRPr="00DA725A">
              <w:rPr>
                <w:b/>
                <w:sz w:val="18"/>
                <w:szCs w:val="18"/>
                <w:lang w:val="ro-RO"/>
              </w:rPr>
              <w:t>regula valorii inferioare</w:t>
            </w:r>
            <w:r w:rsidRPr="00DA725A">
              <w:rPr>
                <w:sz w:val="18"/>
                <w:szCs w:val="18"/>
                <w:lang w:val="ro-RO"/>
              </w:rPr>
              <w:t xml:space="preserve"> –  în cazul în care cantitățile prelucrate la oricare dintre părțile unui punct de interconectare sunt diferite, cantitatea confirmată va fi egală cu cea mai mică dintre cele două cantități prelucrate; </w:t>
            </w:r>
          </w:p>
          <w:p w:rsidR="00495CCB" w:rsidRPr="00495CCB" w:rsidRDefault="00F02F76" w:rsidP="00495CCB">
            <w:pPr>
              <w:rPr>
                <w:sz w:val="18"/>
                <w:szCs w:val="18"/>
                <w:lang w:val="ro-RO"/>
              </w:rPr>
            </w:pPr>
            <w:r w:rsidRPr="00DA725A">
              <w:rPr>
                <w:b/>
                <w:sz w:val="18"/>
                <w:szCs w:val="18"/>
                <w:lang w:val="ro-RO"/>
              </w:rPr>
              <w:t>procesul de concordanță</w:t>
            </w:r>
            <w:r w:rsidRPr="00DA725A">
              <w:rPr>
                <w:sz w:val="18"/>
                <w:szCs w:val="18"/>
                <w:lang w:val="ro-RO"/>
              </w:rPr>
              <w:t xml:space="preserve"> – este procesul de comparare și de aliniere a cantităților (volumelor) de gaze naturale prelucrate pentru utilizatorii</w:t>
            </w:r>
            <w:r w:rsidRPr="00DA725A">
              <w:rPr>
                <w:color w:val="000000" w:themeColor="text1"/>
                <w:sz w:val="18"/>
                <w:szCs w:val="18"/>
                <w:lang w:val="ro-RO"/>
              </w:rPr>
              <w:t xml:space="preserve"> de sistem la ambele părți ale unui punct de interconectare specific, care are ca rezultat cantități confirmate pentru utilizatorii de sistem;</w:t>
            </w:r>
          </w:p>
          <w:p w:rsidR="00F02F76" w:rsidRDefault="00F02F76" w:rsidP="00670674">
            <w:pPr>
              <w:ind w:firstLine="34"/>
              <w:contextualSpacing/>
              <w:jc w:val="both"/>
              <w:rPr>
                <w:sz w:val="18"/>
                <w:szCs w:val="18"/>
                <w:lang w:val="ro-RO"/>
              </w:rPr>
            </w:pPr>
            <w:r w:rsidRPr="00DA725A">
              <w:rPr>
                <w:b/>
                <w:sz w:val="18"/>
                <w:szCs w:val="18"/>
                <w:lang w:val="ro-RO"/>
              </w:rPr>
              <w:t>operator al sistemului de transport concordant</w:t>
            </w:r>
            <w:r w:rsidRPr="00DA725A">
              <w:rPr>
                <w:sz w:val="18"/>
                <w:szCs w:val="18"/>
                <w:lang w:val="ro-RO"/>
              </w:rPr>
              <w:t xml:space="preserve"> – OST care realizează procesul de concordanță și care transmite rezultatul procesului de concordanță către OST inițiator; </w:t>
            </w:r>
          </w:p>
          <w:p w:rsidR="00F02F76" w:rsidRDefault="00F02F76" w:rsidP="00670674">
            <w:pPr>
              <w:ind w:firstLine="34"/>
              <w:contextualSpacing/>
              <w:jc w:val="both"/>
              <w:rPr>
                <w:sz w:val="18"/>
                <w:szCs w:val="18"/>
                <w:lang w:val="ro-RO"/>
              </w:rPr>
            </w:pPr>
          </w:p>
          <w:p w:rsidR="00F02F76" w:rsidRDefault="00F02F76" w:rsidP="00670674">
            <w:pPr>
              <w:rPr>
                <w:sz w:val="18"/>
                <w:szCs w:val="18"/>
                <w:lang w:val="ro-RO"/>
              </w:rPr>
            </w:pPr>
            <w:r w:rsidRPr="00DA725A">
              <w:rPr>
                <w:b/>
                <w:sz w:val="18"/>
                <w:szCs w:val="18"/>
                <w:lang w:val="ro-RO"/>
              </w:rPr>
              <w:t>cantitate măsurată</w:t>
            </w:r>
            <w:r w:rsidRPr="00DA725A">
              <w:rPr>
                <w:sz w:val="18"/>
                <w:szCs w:val="18"/>
                <w:lang w:val="ro-RO"/>
              </w:rPr>
              <w:t xml:space="preserve"> – cantitatea de gaze naturale care, conform echipamentului de măsurare al OST a trecut fizic printr-un punct de interconectare într-o perioadă de timp;</w:t>
            </w:r>
          </w:p>
          <w:p w:rsidR="00495CCB" w:rsidRPr="00DA725A" w:rsidRDefault="00495CCB" w:rsidP="00670674">
            <w:pPr>
              <w:rPr>
                <w:sz w:val="18"/>
                <w:szCs w:val="18"/>
                <w:lang w:val="ro-RO"/>
              </w:rPr>
            </w:pPr>
          </w:p>
          <w:p w:rsidR="00F02F76" w:rsidRPr="00DA725A" w:rsidRDefault="00F02F76" w:rsidP="00670674">
            <w:pPr>
              <w:contextualSpacing/>
              <w:jc w:val="both"/>
              <w:rPr>
                <w:color w:val="000000" w:themeColor="text1"/>
                <w:sz w:val="18"/>
                <w:szCs w:val="18"/>
                <w:lang w:val="ro-RO"/>
              </w:rPr>
            </w:pPr>
            <w:r w:rsidRPr="00DA725A">
              <w:rPr>
                <w:b/>
                <w:color w:val="000000" w:themeColor="text1"/>
                <w:sz w:val="18"/>
                <w:szCs w:val="18"/>
                <w:lang w:val="ro-RO"/>
              </w:rPr>
              <w:t>cont de echilibrare operațională</w:t>
            </w:r>
            <w:r w:rsidRPr="00DA725A">
              <w:rPr>
                <w:color w:val="000000" w:themeColor="text1"/>
                <w:sz w:val="18"/>
                <w:szCs w:val="18"/>
                <w:lang w:val="ro-RO"/>
              </w:rPr>
              <w:t xml:space="preserve"> – cont între OST adiacenți, care se utilizează la gestionarea diferențelor de direcționare la un punct de interconectare în vederea simplificării contabilizării gazelor naturale pentru utilizatorii de sistem </w:t>
            </w:r>
            <w:r w:rsidRPr="00DA725A">
              <w:rPr>
                <w:sz w:val="18"/>
                <w:szCs w:val="18"/>
                <w:lang w:val="ro-RO"/>
              </w:rPr>
              <w:t xml:space="preserve">vizați de punctul de interconectare; </w:t>
            </w:r>
          </w:p>
          <w:p w:rsidR="00F02F76" w:rsidRPr="00DA725A" w:rsidRDefault="00F02F76" w:rsidP="00670674">
            <w:pPr>
              <w:contextualSpacing/>
              <w:jc w:val="both"/>
              <w:rPr>
                <w:sz w:val="18"/>
                <w:szCs w:val="18"/>
                <w:lang w:val="ro-RO"/>
              </w:rPr>
            </w:pPr>
            <w:r w:rsidRPr="00DA725A">
              <w:rPr>
                <w:b/>
                <w:sz w:val="18"/>
                <w:szCs w:val="18"/>
                <w:lang w:val="ro-RO"/>
              </w:rPr>
              <w:t>cantitate prelucrată</w:t>
            </w:r>
            <w:r w:rsidRPr="00DA725A">
              <w:rPr>
                <w:sz w:val="18"/>
                <w:szCs w:val="18"/>
                <w:lang w:val="ro-RO"/>
              </w:rPr>
              <w:t xml:space="preserve"> – cantitatea de gaze naturale determinată de OST inițiator și de OST concordant care ține seama de nominalizarea sau renominalizarea utilizatorului de sistem, de prevederile contractului privind prestarea serviciilor de transport și care este utilizată ca bază pentru procesul de concordanță; </w:t>
            </w:r>
          </w:p>
          <w:p w:rsidR="00F02F76" w:rsidRPr="00DA725A" w:rsidRDefault="00F02F76" w:rsidP="00670674">
            <w:pPr>
              <w:contextualSpacing/>
              <w:jc w:val="both"/>
              <w:rPr>
                <w:b/>
                <w:bCs/>
                <w:sz w:val="18"/>
                <w:szCs w:val="18"/>
                <w:lang w:val="it-IT"/>
              </w:rPr>
            </w:pPr>
          </w:p>
          <w:p w:rsidR="00F02F76" w:rsidRPr="00DA725A" w:rsidRDefault="00F02F76" w:rsidP="00670674">
            <w:pPr>
              <w:contextualSpacing/>
              <w:jc w:val="both"/>
              <w:rPr>
                <w:sz w:val="18"/>
                <w:szCs w:val="18"/>
                <w:lang w:val="ro-RO"/>
              </w:rPr>
            </w:pPr>
            <w:r w:rsidRPr="00DA725A">
              <w:rPr>
                <w:b/>
                <w:bCs/>
                <w:sz w:val="18"/>
                <w:szCs w:val="18"/>
                <w:lang w:val="it-IT"/>
              </w:rPr>
              <w:t>„diferență de direcționare”</w:t>
            </w:r>
            <w:r w:rsidRPr="00DA725A">
              <w:rPr>
                <w:sz w:val="18"/>
                <w:szCs w:val="18"/>
                <w:lang w:val="it-IT"/>
              </w:rPr>
              <w:t xml:space="preserve"> înseamnă diferența dintre cantitatea de gaz pe care operatorii de sisteme de transport au programat-o să curgă și cantitatea măsurată pentru un punct de interconectare.</w:t>
            </w:r>
          </w:p>
          <w:p w:rsidR="00F02F76" w:rsidRPr="00DA725A" w:rsidRDefault="00F02F76" w:rsidP="00670674">
            <w:pPr>
              <w:rPr>
                <w:b/>
                <w:sz w:val="18"/>
                <w:szCs w:val="18"/>
                <w:lang w:val="it-IT"/>
              </w:rPr>
            </w:pPr>
          </w:p>
          <w:p w:rsidR="00F02F76" w:rsidRPr="00DA725A" w:rsidRDefault="00F02F76" w:rsidP="00670674">
            <w:pPr>
              <w:contextualSpacing/>
              <w:jc w:val="both"/>
              <w:rPr>
                <w:sz w:val="18"/>
                <w:szCs w:val="18"/>
                <w:lang w:val="ro-RO"/>
              </w:rPr>
            </w:pPr>
            <w:r w:rsidRPr="00DA725A">
              <w:rPr>
                <w:b/>
                <w:sz w:val="18"/>
                <w:szCs w:val="18"/>
                <w:lang w:val="ro-RO"/>
              </w:rPr>
              <w:t>zi gazieră</w:t>
            </w:r>
            <w:r w:rsidRPr="00DA725A">
              <w:rPr>
                <w:sz w:val="18"/>
                <w:szCs w:val="18"/>
                <w:lang w:val="ro-RO"/>
              </w:rPr>
              <w:t xml:space="preserve"> – perioada cuprinsă între ora 5.00 și ora 5.00 UTC a zilei următoare, pentru ora de iarnă, și între ora 4.00 și ora 4.00 UTC a zilei următoare, pentru ora de vară;</w:t>
            </w:r>
          </w:p>
          <w:p w:rsidR="00F02F76" w:rsidRPr="00DA725A" w:rsidRDefault="00F02F76" w:rsidP="00670674">
            <w:pPr>
              <w:shd w:val="clear" w:color="auto" w:fill="FFFFFF"/>
              <w:rPr>
                <w:b/>
                <w:sz w:val="18"/>
                <w:szCs w:val="18"/>
                <w:lang w:val="ro-RO"/>
              </w:rPr>
            </w:pPr>
          </w:p>
          <w:p w:rsidR="00F02F76" w:rsidRPr="00DA725A" w:rsidRDefault="00E85F4B" w:rsidP="00670674">
            <w:pPr>
              <w:shd w:val="clear" w:color="auto" w:fill="FFFFFF"/>
              <w:rPr>
                <w:sz w:val="18"/>
                <w:szCs w:val="18"/>
                <w:lang w:val="ro-RO"/>
              </w:rPr>
            </w:pPr>
            <w:r>
              <w:rPr>
                <w:b/>
                <w:sz w:val="18"/>
                <w:szCs w:val="18"/>
                <w:lang w:val="ro-RO"/>
              </w:rPr>
              <w:lastRenderedPageBreak/>
              <w:t>c</w:t>
            </w:r>
            <w:r w:rsidR="00F02F76" w:rsidRPr="00DA725A">
              <w:rPr>
                <w:b/>
                <w:sz w:val="18"/>
                <w:szCs w:val="18"/>
                <w:lang w:val="ro-RO"/>
              </w:rPr>
              <w:t>apacitate agregată</w:t>
            </w:r>
            <w:r w:rsidR="00F02F76" w:rsidRPr="00DA725A">
              <w:rPr>
                <w:sz w:val="18"/>
                <w:szCs w:val="18"/>
                <w:lang w:val="ro-RO"/>
              </w:rPr>
              <w:t xml:space="preserve"> – PSC oferit printr-un angajament ferm, care constă din capacitatea de intrare și de ieșire corespunzătoare de ambele părți ale unui punct de interconectare;</w:t>
            </w:r>
          </w:p>
          <w:p w:rsidR="00F02F76" w:rsidRPr="00DA725A" w:rsidRDefault="00F02F76" w:rsidP="00670674">
            <w:pPr>
              <w:rPr>
                <w:b/>
                <w:sz w:val="18"/>
                <w:szCs w:val="18"/>
                <w:lang w:val="ro-RO"/>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contextualSpacing/>
              <w:jc w:val="both"/>
              <w:rPr>
                <w:sz w:val="18"/>
                <w:szCs w:val="18"/>
                <w:lang w:val="ro-RO"/>
              </w:rPr>
            </w:pPr>
            <w:r w:rsidRPr="00DA725A">
              <w:rPr>
                <w:b/>
                <w:sz w:val="18"/>
                <w:szCs w:val="18"/>
                <w:lang w:val="ro-RO"/>
              </w:rPr>
              <w:t>punct de interconectare</w:t>
            </w:r>
            <w:r w:rsidRPr="00DA725A">
              <w:rPr>
                <w:sz w:val="18"/>
                <w:szCs w:val="18"/>
                <w:lang w:val="ro-RO"/>
              </w:rPr>
              <w:t xml:space="preserve"> – un punct fizic sau virtual care conectează sisteme de intrare/ieșire adiacente sau care conectează un sistem de intrare/ieșire la o conductă de interconectare, în măsura în care aceste puncte fac obiectul unor proceduri de rezervare de către utilizatorii de sistem;</w:t>
            </w:r>
          </w:p>
          <w:p w:rsidR="00F02F76" w:rsidRPr="00DA725A" w:rsidRDefault="00F02F76" w:rsidP="00670674">
            <w:pPr>
              <w:jc w:val="both"/>
              <w:rPr>
                <w:b/>
                <w:bCs/>
                <w:sz w:val="18"/>
                <w:szCs w:val="18"/>
                <w:lang w:val="it-IT"/>
              </w:rPr>
            </w:pPr>
          </w:p>
          <w:p w:rsidR="00F02F76" w:rsidRPr="00DA725A" w:rsidRDefault="00F02F76" w:rsidP="00670674">
            <w:pPr>
              <w:jc w:val="both"/>
              <w:rPr>
                <w:sz w:val="18"/>
                <w:szCs w:val="18"/>
                <w:lang w:val="it-IT"/>
              </w:rPr>
            </w:pPr>
            <w:r w:rsidRPr="00DA725A">
              <w:rPr>
                <w:b/>
                <w:bCs/>
                <w:sz w:val="18"/>
                <w:szCs w:val="18"/>
                <w:lang w:val="it-IT"/>
              </w:rPr>
              <w:t>punct de interconectare virtual</w:t>
            </w:r>
            <w:r w:rsidRPr="00DA725A">
              <w:rPr>
                <w:sz w:val="18"/>
                <w:szCs w:val="18"/>
                <w:lang w:val="it-IT"/>
              </w:rPr>
              <w:t xml:space="preserve"> – 2 sau mai multe puncte de interconectare, care conectează 2 sisteme de intrare/ieşire adiacente integrate, pentru a furniza un serviciu de capacitate unic;</w:t>
            </w:r>
          </w:p>
          <w:p w:rsidR="00F02F76" w:rsidRPr="00DA725A" w:rsidRDefault="00F02F76" w:rsidP="00670674">
            <w:pPr>
              <w:jc w:val="both"/>
              <w:rPr>
                <w:sz w:val="18"/>
                <w:szCs w:val="18"/>
                <w:highlight w:val="lightGray"/>
                <w:lang w:val="it-IT"/>
              </w:rPr>
            </w:pPr>
          </w:p>
          <w:p w:rsidR="00F02F76" w:rsidRDefault="00F02F76" w:rsidP="00670674">
            <w:pPr>
              <w:jc w:val="both"/>
              <w:rPr>
                <w:sz w:val="18"/>
                <w:szCs w:val="18"/>
                <w:lang w:val="it-IT"/>
              </w:rPr>
            </w:pPr>
            <w:r w:rsidRPr="00DA725A">
              <w:rPr>
                <w:b/>
                <w:bCs/>
                <w:sz w:val="18"/>
                <w:szCs w:val="18"/>
                <w:lang w:val="it-IT"/>
              </w:rPr>
              <w:t>cantitate confirmată</w:t>
            </w:r>
            <w:r w:rsidRPr="00DA725A">
              <w:rPr>
                <w:sz w:val="18"/>
                <w:szCs w:val="18"/>
                <w:lang w:val="it-IT"/>
              </w:rPr>
              <w:t xml:space="preserve"> – cantitatea de gaze naturale confirmată de către un OST pentru a fi programată sau reprogramată de a fi livrată în ziua gazieră </w:t>
            </w:r>
            <w:r w:rsidRPr="00DA725A">
              <w:rPr>
                <w:i/>
                <w:iCs/>
                <w:sz w:val="18"/>
                <w:szCs w:val="18"/>
                <w:lang w:val="it-IT"/>
              </w:rPr>
              <w:t>Z</w:t>
            </w:r>
            <w:r w:rsidRPr="00DA725A">
              <w:rPr>
                <w:sz w:val="18"/>
                <w:szCs w:val="18"/>
                <w:lang w:val="it-IT"/>
              </w:rPr>
              <w:t>;</w:t>
            </w:r>
          </w:p>
          <w:p w:rsidR="00495CCB" w:rsidRPr="00DA725A" w:rsidRDefault="00495CCB" w:rsidP="00670674">
            <w:pPr>
              <w:jc w:val="both"/>
              <w:rPr>
                <w:sz w:val="18"/>
                <w:szCs w:val="18"/>
                <w:lang w:val="it-IT"/>
              </w:rPr>
            </w:pPr>
          </w:p>
          <w:p w:rsidR="00F02F76" w:rsidRPr="00DA725A" w:rsidRDefault="00F02F76" w:rsidP="00670674">
            <w:pPr>
              <w:jc w:val="both"/>
              <w:rPr>
                <w:sz w:val="18"/>
                <w:szCs w:val="18"/>
                <w:lang w:val="it-IT"/>
              </w:rPr>
            </w:pPr>
            <w:r w:rsidRPr="00DA725A">
              <w:rPr>
                <w:b/>
                <w:bCs/>
                <w:sz w:val="18"/>
                <w:szCs w:val="18"/>
                <w:lang w:val="it-IT"/>
              </w:rPr>
              <w:t xml:space="preserve">alocare – </w:t>
            </w:r>
            <w:r w:rsidRPr="00DA725A">
              <w:rPr>
                <w:sz w:val="18"/>
                <w:szCs w:val="18"/>
                <w:lang w:val="it-IT"/>
              </w:rPr>
              <w:t>cantitatea de gaze naturale atribuită utilizatorului de sistem de către un OST ca intrare sau o preluare exprimată în kWh în scopul determinării cantităţii de dezechilibru zilnic.</w:t>
            </w:r>
          </w:p>
          <w:p w:rsidR="00F02F76" w:rsidRDefault="00F02F76" w:rsidP="00670674">
            <w:pPr>
              <w:jc w:val="both"/>
              <w:rPr>
                <w:sz w:val="18"/>
                <w:szCs w:val="18"/>
                <w:lang w:val="it-IT"/>
              </w:rPr>
            </w:pPr>
          </w:p>
          <w:p w:rsidR="00495CCB" w:rsidRPr="005D715C" w:rsidRDefault="00495CCB" w:rsidP="00670674">
            <w:pPr>
              <w:jc w:val="both"/>
              <w:rPr>
                <w:sz w:val="18"/>
                <w:szCs w:val="18"/>
                <w:lang w:val="it-IT"/>
              </w:rPr>
            </w:pPr>
          </w:p>
          <w:p w:rsidR="00F02F76" w:rsidRPr="005D715C" w:rsidRDefault="00F02F76" w:rsidP="00670674">
            <w:pPr>
              <w:ind w:firstLine="41"/>
              <w:jc w:val="both"/>
              <w:rPr>
                <w:sz w:val="18"/>
                <w:szCs w:val="18"/>
                <w:lang w:val="it-IT"/>
              </w:rPr>
            </w:pPr>
            <w:r w:rsidRPr="005D715C">
              <w:rPr>
                <w:b/>
                <w:bCs/>
                <w:sz w:val="18"/>
                <w:szCs w:val="18"/>
                <w:lang w:val="it-IT"/>
              </w:rPr>
              <w:t>ciclu de renominalizare</w:t>
            </w:r>
            <w:r w:rsidRPr="005D715C">
              <w:rPr>
                <w:sz w:val="18"/>
                <w:szCs w:val="18"/>
                <w:lang w:val="it-IT"/>
              </w:rPr>
              <w:t xml:space="preserve"> – proces derulat de către OST pentru a transmite unui utilizator de sistem mesajul referitor la cantităţile confirmate ca urmare a primirii unei renominalizări</w:t>
            </w:r>
            <w:r w:rsidR="00495CCB" w:rsidRPr="005D715C">
              <w:rPr>
                <w:sz w:val="18"/>
                <w:szCs w:val="18"/>
                <w:lang w:val="it-IT"/>
              </w:rPr>
              <w:t>;</w:t>
            </w:r>
          </w:p>
          <w:p w:rsidR="00495CCB" w:rsidRDefault="00495CCB" w:rsidP="00670674">
            <w:pPr>
              <w:ind w:firstLine="41"/>
              <w:jc w:val="both"/>
              <w:rPr>
                <w:sz w:val="18"/>
                <w:szCs w:val="18"/>
                <w:lang w:val="it-IT"/>
              </w:rPr>
            </w:pPr>
          </w:p>
          <w:p w:rsidR="00BB39A6" w:rsidRPr="005D715C" w:rsidRDefault="00BB39A6" w:rsidP="00670674">
            <w:pPr>
              <w:ind w:firstLine="41"/>
              <w:jc w:val="both"/>
              <w:rPr>
                <w:sz w:val="18"/>
                <w:szCs w:val="18"/>
                <w:lang w:val="it-IT"/>
              </w:rPr>
            </w:pPr>
          </w:p>
          <w:p w:rsidR="00495CCB" w:rsidRPr="00605DF1" w:rsidRDefault="002A1CC5" w:rsidP="00605DF1">
            <w:pPr>
              <w:jc w:val="both"/>
              <w:rPr>
                <w:sz w:val="18"/>
                <w:szCs w:val="18"/>
                <w:lang w:val="ro-RO"/>
              </w:rPr>
            </w:pPr>
            <w:r w:rsidRPr="00605DF1">
              <w:rPr>
                <w:b/>
                <w:iCs/>
                <w:sz w:val="18"/>
                <w:szCs w:val="18"/>
                <w:lang w:val="ro-RO"/>
              </w:rPr>
              <w:t>lună gazieră</w:t>
            </w:r>
            <w:r w:rsidRPr="00605DF1">
              <w:rPr>
                <w:sz w:val="18"/>
                <w:szCs w:val="18"/>
                <w:lang w:val="ro-RO"/>
              </w:rPr>
              <w:t xml:space="preserve"> – perioada de timp cuprinsă între prima zi gazieră a lunii curente şi prima zi gazieră a lunii următoare</w:t>
            </w:r>
            <w:r w:rsidR="005D715C" w:rsidRPr="00605DF1">
              <w:rPr>
                <w:sz w:val="18"/>
                <w:szCs w:val="18"/>
                <w:lang w:val="ro-RO"/>
              </w:rPr>
              <w:t>;</w:t>
            </w:r>
          </w:p>
          <w:p w:rsidR="005D715C" w:rsidRPr="00605DF1" w:rsidRDefault="005D715C" w:rsidP="00605DF1">
            <w:pPr>
              <w:jc w:val="both"/>
              <w:rPr>
                <w:sz w:val="18"/>
                <w:szCs w:val="18"/>
                <w:lang w:val="ro-RO"/>
              </w:rPr>
            </w:pPr>
            <w:r w:rsidRPr="00605DF1">
              <w:rPr>
                <w:b/>
                <w:sz w:val="18"/>
                <w:szCs w:val="18"/>
                <w:lang w:val="ro-RO"/>
              </w:rPr>
              <w:t>mecanism alternativ de alocare</w:t>
            </w:r>
            <w:r w:rsidRPr="00605DF1">
              <w:rPr>
                <w:sz w:val="18"/>
                <w:szCs w:val="18"/>
                <w:lang w:val="ro-RO"/>
              </w:rPr>
              <w:t xml:space="preserve"> – mecanism de alocare pentru nivelul de ofertă sau pentru capacitatea incrementală, conceput de la caz la caz de către OST și aprobat de Agenție pentru a răspunde solicitărilor de cerere condiționată;</w:t>
            </w:r>
          </w:p>
          <w:p w:rsidR="00BA10FA" w:rsidRPr="00605DF1" w:rsidRDefault="00BA10FA" w:rsidP="00605DF1">
            <w:pPr>
              <w:jc w:val="both"/>
              <w:rPr>
                <w:sz w:val="18"/>
                <w:szCs w:val="18"/>
                <w:lang w:val="ro-RO"/>
              </w:rPr>
            </w:pPr>
            <w:r w:rsidRPr="00605DF1">
              <w:rPr>
                <w:b/>
                <w:sz w:val="18"/>
                <w:szCs w:val="18"/>
                <w:lang w:val="ro-RO"/>
              </w:rPr>
              <w:t>metoda de calculare a prețurilor de referință</w:t>
            </w:r>
            <w:r w:rsidRPr="00605DF1">
              <w:rPr>
                <w:sz w:val="18"/>
                <w:szCs w:val="18"/>
                <w:lang w:val="ro-RO"/>
              </w:rPr>
              <w:t xml:space="preserve"> – metoda de calculare aplicată acelei părți a venitului aferent serviciilor de transport, care trebuie recuperată din tarifele pentru serviciul de transport al gazelor naturale, bazate pe capacitate, în scopul determinării prețurilor de referință;</w:t>
            </w:r>
          </w:p>
          <w:p w:rsidR="00A505FF" w:rsidRPr="00605DF1" w:rsidRDefault="00A505FF" w:rsidP="00605DF1">
            <w:pPr>
              <w:jc w:val="both"/>
              <w:rPr>
                <w:sz w:val="18"/>
                <w:szCs w:val="18"/>
                <w:lang w:val="it-IT"/>
              </w:rPr>
            </w:pPr>
            <w:r w:rsidRPr="00605DF1">
              <w:rPr>
                <w:b/>
                <w:bCs/>
                <w:sz w:val="18"/>
                <w:szCs w:val="18"/>
                <w:lang w:val="it-IT"/>
              </w:rPr>
              <w:t>obligații intrazilnice</w:t>
            </w:r>
            <w:r w:rsidRPr="00605DF1">
              <w:rPr>
                <w:sz w:val="18"/>
                <w:szCs w:val="18"/>
                <w:lang w:val="it-IT"/>
              </w:rPr>
              <w:t> - un set de reguli impuse de OST utilizatorilor de sistem privind asigurarea balanței dintre cantitățile de gaze naturale intrate și ieșite din sistemul de gaze naturale, ce aparțin utilizatorilor de sistem, într-o zi gazieră;</w:t>
            </w:r>
          </w:p>
          <w:p w:rsidR="00A505FF" w:rsidRPr="00605DF1" w:rsidRDefault="00A505FF" w:rsidP="00605DF1">
            <w:pPr>
              <w:jc w:val="both"/>
              <w:rPr>
                <w:sz w:val="18"/>
                <w:szCs w:val="18"/>
                <w:lang w:val="it-IT"/>
              </w:rPr>
            </w:pPr>
            <w:r w:rsidRPr="00605DF1">
              <w:rPr>
                <w:b/>
                <w:bCs/>
                <w:sz w:val="18"/>
                <w:szCs w:val="18"/>
                <w:lang w:val="it-IT"/>
              </w:rPr>
              <w:lastRenderedPageBreak/>
              <w:t>plată intrazilnică</w:t>
            </w:r>
            <w:r w:rsidRPr="00605DF1">
              <w:rPr>
                <w:sz w:val="18"/>
                <w:szCs w:val="18"/>
                <w:lang w:val="it-IT"/>
              </w:rPr>
              <w:t> – plată percepută sau o plată efectuată de un OST de la, sau către un utilizator de sistem ca rezultat al unei obligații intrazilnice;</w:t>
            </w:r>
          </w:p>
          <w:p w:rsidR="00BB39A6" w:rsidRPr="00605DF1" w:rsidRDefault="00BB39A6" w:rsidP="00605DF1">
            <w:pPr>
              <w:contextualSpacing/>
              <w:jc w:val="both"/>
              <w:rPr>
                <w:sz w:val="18"/>
                <w:szCs w:val="18"/>
                <w:lang w:val="it-IT"/>
              </w:rPr>
            </w:pPr>
            <w:r w:rsidRPr="00605DF1">
              <w:rPr>
                <w:b/>
                <w:bCs/>
                <w:sz w:val="18"/>
                <w:szCs w:val="18"/>
                <w:lang w:val="it-IT"/>
              </w:rPr>
              <w:t>produs de localizare</w:t>
            </w:r>
            <w:r w:rsidRPr="00605DF1">
              <w:rPr>
                <w:sz w:val="18"/>
                <w:szCs w:val="18"/>
                <w:lang w:val="it-IT"/>
              </w:rPr>
              <w:t> – produs flexibil de gaze naturale comercializat pentru a fi destinat livrării într-o locație determinată, în interiorul zonei de echilibrare;</w:t>
            </w:r>
          </w:p>
          <w:p w:rsidR="000C69F5" w:rsidRPr="00605DF1" w:rsidRDefault="000C69F5" w:rsidP="00605DF1">
            <w:pPr>
              <w:contextualSpacing/>
              <w:jc w:val="both"/>
              <w:rPr>
                <w:sz w:val="18"/>
                <w:szCs w:val="18"/>
                <w:lang w:val="it-IT"/>
              </w:rPr>
            </w:pPr>
            <w:r w:rsidRPr="00605DF1">
              <w:rPr>
                <w:b/>
                <w:bCs/>
                <w:sz w:val="18"/>
                <w:szCs w:val="18"/>
                <w:lang w:val="it-IT"/>
              </w:rPr>
              <w:t>produs temporar</w:t>
            </w:r>
            <w:r w:rsidRPr="00605DF1">
              <w:rPr>
                <w:sz w:val="18"/>
                <w:szCs w:val="18"/>
                <w:lang w:val="it-IT"/>
              </w:rPr>
              <w:t> – produs flexibil de gaze naturale comercializat pentru livrare într-o anumită perioadă de timp, în perioada de echilibrare;</w:t>
            </w:r>
          </w:p>
          <w:p w:rsidR="000C69F5" w:rsidRPr="00605DF1" w:rsidRDefault="000C69F5" w:rsidP="00605DF1">
            <w:pPr>
              <w:contextualSpacing/>
              <w:jc w:val="both"/>
              <w:rPr>
                <w:sz w:val="18"/>
                <w:szCs w:val="18"/>
                <w:lang w:val="it-IT"/>
              </w:rPr>
            </w:pPr>
            <w:r w:rsidRPr="00605DF1">
              <w:rPr>
                <w:b/>
                <w:sz w:val="18"/>
                <w:szCs w:val="18"/>
                <w:lang w:val="ro-RO"/>
              </w:rPr>
              <w:t>punct fizic de intrare/ieșire</w:t>
            </w:r>
            <w:r w:rsidRPr="00605DF1">
              <w:rPr>
                <w:sz w:val="18"/>
                <w:szCs w:val="18"/>
                <w:lang w:val="ro-RO"/>
              </w:rPr>
              <w:t xml:space="preserve"> – punct cu o anumită amplasare fizică, prin care gazele naturale sunt măsurate și livrate în/din rețeaua de transport al gazelor naturale;</w:t>
            </w:r>
          </w:p>
          <w:p w:rsidR="00BB39A6" w:rsidRPr="00605DF1" w:rsidRDefault="000C69F5" w:rsidP="00605DF1">
            <w:pPr>
              <w:jc w:val="both"/>
              <w:rPr>
                <w:sz w:val="18"/>
                <w:szCs w:val="18"/>
                <w:lang w:val="ro-RO"/>
              </w:rPr>
            </w:pPr>
            <w:r w:rsidRPr="00605DF1">
              <w:rPr>
                <w:b/>
                <w:sz w:val="18"/>
                <w:szCs w:val="18"/>
                <w:lang w:val="ro-RO"/>
              </w:rPr>
              <w:t xml:space="preserve">punct virtual </w:t>
            </w:r>
            <w:r w:rsidRPr="00605DF1">
              <w:rPr>
                <w:sz w:val="18"/>
                <w:szCs w:val="18"/>
                <w:lang w:val="ro-RO"/>
              </w:rPr>
              <w:t>- punct noțional obţinut prin gruparea mai multor puncte fizice de intrare /ieșire de acelaşi tip;</w:t>
            </w:r>
          </w:p>
          <w:p w:rsidR="000C69F5" w:rsidRPr="00605DF1" w:rsidRDefault="000C69F5" w:rsidP="00605DF1">
            <w:pPr>
              <w:contextualSpacing/>
              <w:jc w:val="both"/>
              <w:rPr>
                <w:sz w:val="18"/>
                <w:szCs w:val="18"/>
                <w:lang w:val="ro-RO"/>
              </w:rPr>
            </w:pPr>
            <w:r w:rsidRPr="00605DF1">
              <w:rPr>
                <w:b/>
                <w:sz w:val="18"/>
                <w:szCs w:val="18"/>
                <w:lang w:val="ro-RO"/>
              </w:rPr>
              <w:t>putere calorifică inferioară</w:t>
            </w:r>
            <w:r w:rsidRPr="00605DF1">
              <w:rPr>
                <w:sz w:val="18"/>
                <w:szCs w:val="18"/>
                <w:lang w:val="ro-RO"/>
              </w:rPr>
              <w:t xml:space="preserve"> – cantitatea de căldură care se degajă în urma arderii complete în aer a unei cantități anumite de gaze naturale, cu condiția că reacția are loc la o presiune constantă, iar toate produsele de ardere se află în stare gazoasă și sunt aduse la aceeași temperatură pe care o au reactanții;</w:t>
            </w:r>
          </w:p>
          <w:p w:rsidR="000C69F5" w:rsidRPr="00605DF1" w:rsidRDefault="000C69F5" w:rsidP="00605DF1">
            <w:pPr>
              <w:jc w:val="both"/>
              <w:rPr>
                <w:sz w:val="18"/>
                <w:szCs w:val="18"/>
                <w:lang w:val="ro-RO"/>
              </w:rPr>
            </w:pPr>
            <w:r w:rsidRPr="00605DF1">
              <w:rPr>
                <w:b/>
                <w:sz w:val="18"/>
                <w:szCs w:val="18"/>
                <w:lang w:val="ro-RO"/>
              </w:rPr>
              <w:t>putere calorifică superioară</w:t>
            </w:r>
            <w:r w:rsidRPr="00605DF1">
              <w:rPr>
                <w:sz w:val="18"/>
                <w:szCs w:val="18"/>
                <w:lang w:val="ro-RO"/>
              </w:rPr>
              <w:t xml:space="preserve"> – cantitatea de căldură pe care o degajă în urma arderii complete în aer o cantitate anumită de gaze naturale, cu condiția că reacția are loc la o presiune constantă, iar produsele de ardere în stare gazoasă și apa în stare lichidă sunt aduse la aceeași temperatură pe care o au reactanții;</w:t>
            </w:r>
          </w:p>
          <w:p w:rsidR="006B2EF9" w:rsidRPr="00605DF1" w:rsidRDefault="006B2EF9" w:rsidP="00605DF1">
            <w:pPr>
              <w:jc w:val="both"/>
              <w:rPr>
                <w:sz w:val="18"/>
                <w:szCs w:val="18"/>
                <w:lang w:val="ro-RO"/>
              </w:rPr>
            </w:pPr>
            <w:r w:rsidRPr="00605DF1">
              <w:rPr>
                <w:b/>
                <w:sz w:val="18"/>
                <w:szCs w:val="18"/>
                <w:lang w:val="ro-RO"/>
              </w:rPr>
              <w:t>regim tarifar fără plafonarea prețului</w:t>
            </w:r>
            <w:r w:rsidRPr="00605DF1">
              <w:rPr>
                <w:sz w:val="18"/>
                <w:szCs w:val="18"/>
                <w:lang w:val="ro-RO"/>
              </w:rPr>
              <w:t xml:space="preserve"> – regim de reglementare (de ex: regimul de plafonare a veniturilor, regimul ratei de rentabilitate și regimul cost plus) în cadrul căruia venitul reglementat al OST este stabilit de către Agenţie;</w:t>
            </w:r>
          </w:p>
          <w:p w:rsidR="00C374B0" w:rsidRPr="00605DF1" w:rsidRDefault="00C374B0" w:rsidP="00605DF1">
            <w:pPr>
              <w:jc w:val="both"/>
              <w:rPr>
                <w:sz w:val="18"/>
                <w:szCs w:val="18"/>
                <w:lang w:val="ro-RO"/>
              </w:rPr>
            </w:pPr>
            <w:r w:rsidRPr="00605DF1">
              <w:rPr>
                <w:b/>
                <w:sz w:val="18"/>
                <w:szCs w:val="18"/>
                <w:lang w:val="ro-RO"/>
              </w:rPr>
              <w:t>utilizarea rețelei în interiorul sistemului</w:t>
            </w:r>
            <w:r w:rsidRPr="00605DF1">
              <w:rPr>
                <w:sz w:val="18"/>
                <w:szCs w:val="18"/>
                <w:lang w:val="ro-RO"/>
              </w:rPr>
              <w:t xml:space="preserve"> – transportul gazelor naturale în interiorul unui sistem de intrare /ieșire către consumatorii instalațiile de utilizare ale cărora sunt racordate la același sistem de intrare / ieșire;</w:t>
            </w:r>
          </w:p>
          <w:p w:rsidR="00C374B0" w:rsidRPr="00605DF1" w:rsidRDefault="00C374B0" w:rsidP="00605DF1">
            <w:pPr>
              <w:jc w:val="both"/>
              <w:rPr>
                <w:sz w:val="18"/>
                <w:szCs w:val="18"/>
                <w:lang w:val="ro-RO"/>
              </w:rPr>
            </w:pPr>
            <w:r w:rsidRPr="00605DF1">
              <w:rPr>
                <w:b/>
                <w:sz w:val="18"/>
                <w:szCs w:val="18"/>
                <w:lang w:val="ro-RO"/>
              </w:rPr>
              <w:t>utilizarea rețelei între sisteme</w:t>
            </w:r>
            <w:r w:rsidRPr="00605DF1">
              <w:rPr>
                <w:sz w:val="18"/>
                <w:szCs w:val="18"/>
                <w:lang w:val="ro-RO"/>
              </w:rPr>
              <w:t xml:space="preserve"> - transportul gazelor naturale în interiorul unui sistem de intrare /ieșire către utilizatorii de sistem al altui sistem de intrare /ieșire;</w:t>
            </w:r>
          </w:p>
          <w:p w:rsidR="00C374B0" w:rsidRPr="00605DF1" w:rsidRDefault="00C374B0" w:rsidP="00605DF1">
            <w:pPr>
              <w:contextualSpacing/>
              <w:jc w:val="both"/>
              <w:rPr>
                <w:b/>
                <w:i/>
                <w:iCs/>
                <w:sz w:val="18"/>
                <w:szCs w:val="18"/>
                <w:lang w:val="it-IT"/>
              </w:rPr>
            </w:pPr>
            <w:r w:rsidRPr="00605DF1">
              <w:rPr>
                <w:b/>
                <w:iCs/>
                <w:sz w:val="18"/>
                <w:szCs w:val="18"/>
                <w:lang w:val="it-IT"/>
              </w:rPr>
              <w:t>venit din prestarea altor servicii decât cele de transport</w:t>
            </w:r>
            <w:r w:rsidRPr="00605DF1">
              <w:rPr>
                <w:b/>
                <w:i/>
                <w:iCs/>
                <w:sz w:val="18"/>
                <w:szCs w:val="18"/>
                <w:lang w:val="it-IT"/>
              </w:rPr>
              <w:t xml:space="preserve"> - </w:t>
            </w:r>
            <w:r w:rsidRPr="00605DF1">
              <w:rPr>
                <w:iCs/>
                <w:sz w:val="18"/>
                <w:szCs w:val="18"/>
                <w:lang w:val="it-IT"/>
              </w:rPr>
              <w:t>acea parte a venitului reglementat sau a venitului-țintă care este recuperată prin alte tarife decât cele privind prestarea serviciului de transport al gazelor naturale;</w:t>
            </w:r>
          </w:p>
          <w:p w:rsidR="00C374B0" w:rsidRPr="00605DF1" w:rsidRDefault="00C374B0" w:rsidP="00605DF1">
            <w:pPr>
              <w:jc w:val="both"/>
              <w:rPr>
                <w:sz w:val="18"/>
                <w:szCs w:val="18"/>
                <w:lang w:val="ro-RO"/>
              </w:rPr>
            </w:pPr>
            <w:r w:rsidRPr="00605DF1">
              <w:rPr>
                <w:b/>
                <w:sz w:val="18"/>
                <w:szCs w:val="18"/>
                <w:lang w:val="ro-RO"/>
              </w:rPr>
              <w:t>venit din prestarea serviciului de transport</w:t>
            </w:r>
            <w:r w:rsidRPr="00605DF1">
              <w:rPr>
                <w:sz w:val="18"/>
                <w:szCs w:val="18"/>
                <w:lang w:val="ro-RO"/>
              </w:rPr>
              <w:t xml:space="preserve"> – acea parte a venitului reglementat sau a venitului-țintă, care este recuperată prin aplicarea tarifelor pentru serviciul de transport al gazelor naturale;</w:t>
            </w:r>
          </w:p>
          <w:p w:rsidR="00F02F76" w:rsidRPr="00605DF1" w:rsidRDefault="00C374B0" w:rsidP="004739CB">
            <w:pPr>
              <w:jc w:val="both"/>
              <w:rPr>
                <w:rFonts w:asciiTheme="majorBidi" w:hAnsiTheme="majorBidi" w:cstheme="majorBidi"/>
                <w:b/>
                <w:color w:val="FF0000"/>
                <w:sz w:val="18"/>
                <w:szCs w:val="18"/>
                <w:lang w:val="ro-RO"/>
              </w:rPr>
            </w:pPr>
            <w:r w:rsidRPr="00605DF1">
              <w:rPr>
                <w:b/>
                <w:sz w:val="18"/>
                <w:szCs w:val="18"/>
                <w:lang w:val="ro-RO"/>
              </w:rPr>
              <w:t>zona de calitate a gazelor naturale</w:t>
            </w:r>
            <w:r w:rsidRPr="00605DF1">
              <w:rPr>
                <w:sz w:val="18"/>
                <w:szCs w:val="18"/>
                <w:lang w:val="ro-RO"/>
              </w:rPr>
              <w:t xml:space="preserve"> – zona pentru care parametrii de calitate ai gazelor naturale se consideră omogeni şi constanți pentru o perioadă determinată de timp, fiind alimentate prin unul sau mai multe puncte fizice de intrare în rețeaua de </w:t>
            </w:r>
            <w:r w:rsidRPr="00605DF1">
              <w:rPr>
                <w:sz w:val="18"/>
                <w:szCs w:val="18"/>
                <w:lang w:val="ro-RO"/>
              </w:rPr>
              <w:lastRenderedPageBreak/>
              <w:t>transport al gazelor naturale sau în rețeaua de distribuție a gazelor naturale;</w:t>
            </w:r>
          </w:p>
        </w:tc>
        <w:tc>
          <w:tcPr>
            <w:tcW w:w="1417" w:type="dxa"/>
          </w:tcPr>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Default="00F02F76" w:rsidP="00670674">
            <w:pPr>
              <w:rPr>
                <w:b/>
                <w:sz w:val="18"/>
                <w:szCs w:val="18"/>
                <w:lang w:val="it-IT"/>
              </w:rPr>
            </w:pPr>
          </w:p>
          <w:p w:rsidR="00605DF1" w:rsidRPr="00DA725A" w:rsidRDefault="00605DF1" w:rsidP="00670674">
            <w:pPr>
              <w:rPr>
                <w:b/>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495CCB" w:rsidRPr="00DA725A" w:rsidRDefault="00495CCB"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Default="00F02F76" w:rsidP="00670674">
            <w:pPr>
              <w:rPr>
                <w:sz w:val="18"/>
                <w:szCs w:val="18"/>
                <w:lang w:val="it-IT"/>
              </w:rPr>
            </w:pPr>
          </w:p>
          <w:p w:rsidR="00E85F4B" w:rsidRPr="00DA725A" w:rsidRDefault="00E85F4B"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tc>
        <w:tc>
          <w:tcPr>
            <w:tcW w:w="4253" w:type="dxa"/>
          </w:tcPr>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Article 2 </w:t>
            </w:r>
          </w:p>
          <w:p w:rsidR="00F02F76" w:rsidRPr="00DA725A" w:rsidRDefault="00F02F76" w:rsidP="00670674">
            <w:pPr>
              <w:jc w:val="both"/>
              <w:rPr>
                <w:b/>
                <w:bCs/>
                <w:sz w:val="18"/>
                <w:szCs w:val="18"/>
              </w:rPr>
            </w:pPr>
            <w:r w:rsidRPr="00DA725A">
              <w:rPr>
                <w:b/>
                <w:bCs/>
                <w:sz w:val="18"/>
                <w:szCs w:val="18"/>
              </w:rPr>
              <w:t xml:space="preserve">Definitions </w:t>
            </w:r>
          </w:p>
          <w:p w:rsidR="00930133" w:rsidRDefault="00F02F76" w:rsidP="00670674">
            <w:pPr>
              <w:jc w:val="both"/>
              <w:rPr>
                <w:sz w:val="18"/>
                <w:szCs w:val="18"/>
              </w:rPr>
            </w:pPr>
            <w:r w:rsidRPr="00DA725A">
              <w:rPr>
                <w:sz w:val="18"/>
                <w:szCs w:val="18"/>
              </w:rPr>
              <w:t>For the purposes of this Regulation, the definitions in Article 2 of Regulation (EC) No 715/2009 ... as well as in Article 2 of Directive 2009/73/EC shall apply. In addition, the fo</w:t>
            </w:r>
            <w:r w:rsidR="00930133">
              <w:rPr>
                <w:sz w:val="18"/>
                <w:szCs w:val="18"/>
              </w:rPr>
              <w:t>llowing definitions shall apply.</w:t>
            </w:r>
          </w:p>
          <w:p w:rsidR="00605DF1" w:rsidRDefault="00605DF1" w:rsidP="00670674">
            <w:pPr>
              <w:jc w:val="both"/>
              <w:rPr>
                <w:sz w:val="18"/>
                <w:szCs w:val="18"/>
              </w:rPr>
            </w:pPr>
          </w:p>
          <w:p w:rsidR="00F02F76" w:rsidRDefault="00F02F76" w:rsidP="00670674">
            <w:pPr>
              <w:jc w:val="both"/>
              <w:rPr>
                <w:sz w:val="18"/>
                <w:szCs w:val="18"/>
              </w:rPr>
            </w:pPr>
            <w:r w:rsidRPr="00DA725A">
              <w:rPr>
                <w:b/>
                <w:bCs/>
                <w:sz w:val="18"/>
                <w:szCs w:val="18"/>
              </w:rPr>
              <w:t>‘exceptional event’</w:t>
            </w:r>
            <w:r w:rsidRPr="00DA725A">
              <w:rPr>
                <w:sz w:val="18"/>
                <w:szCs w:val="18"/>
              </w:rPr>
              <w:t xml:space="preserve"> means any unplanned event that is not reasonably controllable or preventable and that may cause, for a limited period, capacity reductions, affecting thereby the quantity or quality of gas at a given </w:t>
            </w:r>
            <w:r w:rsidRPr="00DA725A">
              <w:rPr>
                <w:sz w:val="18"/>
                <w:szCs w:val="18"/>
              </w:rPr>
              <w:lastRenderedPageBreak/>
              <w:t>interconnection point, with possible consequences on interactions between transmission system operator and network users;</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b/>
                <w:bCs/>
                <w:sz w:val="18"/>
                <w:szCs w:val="18"/>
              </w:rPr>
              <w:t>initiating transmission system operator’</w:t>
            </w:r>
            <w:r w:rsidRPr="00DA725A">
              <w:rPr>
                <w:sz w:val="18"/>
                <w:szCs w:val="18"/>
              </w:rPr>
              <w:t xml:space="preserve"> means the transmission system operator initiating the matching process by sending the necessary data to the matching transmission system operator; (c)</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 </w:t>
            </w:r>
            <w:r w:rsidRPr="00DA725A">
              <w:rPr>
                <w:b/>
                <w:bCs/>
                <w:sz w:val="18"/>
                <w:szCs w:val="18"/>
              </w:rPr>
              <w:t>‘lesser rule’ means that</w:t>
            </w:r>
            <w:r w:rsidRPr="00DA725A">
              <w:rPr>
                <w:sz w:val="18"/>
                <w:szCs w:val="18"/>
              </w:rPr>
              <w:t xml:space="preserve">, in case of different processed quantities at either side of an interconnection point, the confirmed quantity will be equal to the lower of the two processed quantities. </w:t>
            </w:r>
          </w:p>
          <w:p w:rsidR="00F02F76" w:rsidRPr="00DA725A" w:rsidRDefault="00F02F76" w:rsidP="00670674">
            <w:pPr>
              <w:jc w:val="both"/>
              <w:rPr>
                <w:sz w:val="18"/>
                <w:szCs w:val="18"/>
              </w:rPr>
            </w:pPr>
            <w:r w:rsidRPr="00DA725A">
              <w:rPr>
                <w:sz w:val="18"/>
                <w:szCs w:val="18"/>
              </w:rPr>
              <w:t>(d) ‘</w:t>
            </w:r>
            <w:r w:rsidRPr="00DA725A">
              <w:rPr>
                <w:b/>
                <w:bCs/>
                <w:sz w:val="18"/>
                <w:szCs w:val="18"/>
              </w:rPr>
              <w:t>matching process’</w:t>
            </w:r>
            <w:r w:rsidRPr="00DA725A">
              <w:rPr>
                <w:sz w:val="18"/>
                <w:szCs w:val="18"/>
              </w:rPr>
              <w:t xml:space="preserve"> is the process of comparing and aligning processed quantities of gas for net-work users at both sides of a specific interconnection point, which results in confirmed quantities for the network users;</w:t>
            </w:r>
          </w:p>
          <w:p w:rsidR="00F02F76" w:rsidRPr="00DA725A" w:rsidRDefault="00F02F76" w:rsidP="00670674">
            <w:pPr>
              <w:jc w:val="both"/>
              <w:rPr>
                <w:sz w:val="18"/>
                <w:szCs w:val="18"/>
              </w:rPr>
            </w:pPr>
            <w:r w:rsidRPr="00DA725A">
              <w:rPr>
                <w:sz w:val="18"/>
                <w:szCs w:val="18"/>
              </w:rPr>
              <w:t xml:space="preserve"> (e) </w:t>
            </w:r>
            <w:r w:rsidRPr="00DA725A">
              <w:rPr>
                <w:b/>
                <w:bCs/>
                <w:sz w:val="18"/>
                <w:szCs w:val="18"/>
              </w:rPr>
              <w:t>‘matching transmission system operator’</w:t>
            </w:r>
            <w:r w:rsidRPr="00DA725A">
              <w:rPr>
                <w:sz w:val="18"/>
                <w:szCs w:val="18"/>
              </w:rPr>
              <w:t xml:space="preserve"> means the transmission system operator performing the matching process and sending the result of the matching process to the initiating transmission system operator; </w:t>
            </w:r>
          </w:p>
          <w:p w:rsidR="00F02F76" w:rsidRPr="00DA725A" w:rsidRDefault="00F02F76" w:rsidP="00670674">
            <w:pPr>
              <w:jc w:val="both"/>
              <w:rPr>
                <w:sz w:val="18"/>
                <w:szCs w:val="18"/>
              </w:rPr>
            </w:pPr>
            <w:r w:rsidRPr="00DA725A">
              <w:rPr>
                <w:sz w:val="18"/>
                <w:szCs w:val="18"/>
              </w:rPr>
              <w:t xml:space="preserve">(f) </w:t>
            </w:r>
            <w:r w:rsidRPr="00DA725A">
              <w:rPr>
                <w:b/>
                <w:bCs/>
                <w:sz w:val="18"/>
                <w:szCs w:val="18"/>
              </w:rPr>
              <w:t>‘measured quantity’</w:t>
            </w:r>
            <w:r w:rsidRPr="00DA725A">
              <w:rPr>
                <w:sz w:val="18"/>
                <w:szCs w:val="18"/>
              </w:rPr>
              <w:t xml:space="preserve"> means the quantity of gas that, according to the measurement equipment from the transmission system operator, has physically flowed across an interconnection point per time period; </w:t>
            </w:r>
          </w:p>
          <w:p w:rsidR="00F02F76" w:rsidRPr="00DA725A" w:rsidRDefault="00F02F76" w:rsidP="00670674">
            <w:pPr>
              <w:jc w:val="both"/>
              <w:rPr>
                <w:sz w:val="18"/>
                <w:szCs w:val="18"/>
              </w:rPr>
            </w:pPr>
            <w:r w:rsidRPr="00DA725A">
              <w:rPr>
                <w:sz w:val="18"/>
                <w:szCs w:val="18"/>
              </w:rPr>
              <w:t xml:space="preserve">(g) </w:t>
            </w:r>
            <w:r w:rsidRPr="00DA725A">
              <w:rPr>
                <w:b/>
                <w:bCs/>
                <w:sz w:val="18"/>
                <w:szCs w:val="18"/>
              </w:rPr>
              <w:t>‘operational balancing account’</w:t>
            </w:r>
            <w:r w:rsidRPr="00DA725A">
              <w:rPr>
                <w:sz w:val="18"/>
                <w:szCs w:val="18"/>
              </w:rPr>
              <w:t xml:space="preserve"> means an account between adjacent transmission system operators, to be used to manage steering differences at an interconnection point in order to simplify gas accounting for network users involved at the interconnection point; </w:t>
            </w:r>
          </w:p>
          <w:p w:rsidR="00F02F76" w:rsidRPr="00DA725A" w:rsidRDefault="00F02F76" w:rsidP="00670674">
            <w:pPr>
              <w:jc w:val="both"/>
              <w:rPr>
                <w:sz w:val="18"/>
                <w:szCs w:val="18"/>
              </w:rPr>
            </w:pPr>
            <w:r w:rsidRPr="00DA725A">
              <w:rPr>
                <w:sz w:val="18"/>
                <w:szCs w:val="18"/>
              </w:rPr>
              <w:t>(h</w:t>
            </w:r>
            <w:r w:rsidRPr="00DA725A">
              <w:rPr>
                <w:b/>
                <w:bCs/>
                <w:sz w:val="18"/>
                <w:szCs w:val="18"/>
              </w:rPr>
              <w:t>) ‘processed quantity’</w:t>
            </w:r>
            <w:r w:rsidRPr="00DA725A">
              <w:rPr>
                <w:sz w:val="18"/>
                <w:szCs w:val="18"/>
              </w:rPr>
              <w:t xml:space="preserve"> means the quantity of gas determined by the initiating transmission system operator and by the matching transmission system operator, which takes into account the network user’s nomination or re-nomination and contractual provisions as defined under the relevant transport contract and which is used as the basis for the matching process; </w:t>
            </w:r>
          </w:p>
          <w:p w:rsidR="00F02F76" w:rsidRPr="00DA725A" w:rsidRDefault="00F02F76" w:rsidP="00670674">
            <w:pPr>
              <w:jc w:val="both"/>
              <w:rPr>
                <w:sz w:val="18"/>
                <w:szCs w:val="18"/>
              </w:rPr>
            </w:pPr>
            <w:r w:rsidRPr="00DA725A">
              <w:rPr>
                <w:sz w:val="18"/>
                <w:szCs w:val="18"/>
              </w:rPr>
              <w:t xml:space="preserve">(i) </w:t>
            </w:r>
            <w:r w:rsidRPr="00DA725A">
              <w:rPr>
                <w:b/>
                <w:bCs/>
                <w:sz w:val="18"/>
                <w:szCs w:val="18"/>
              </w:rPr>
              <w:t>‘steering difference’</w:t>
            </w:r>
            <w:r w:rsidRPr="00DA725A">
              <w:rPr>
                <w:sz w:val="18"/>
                <w:szCs w:val="18"/>
              </w:rPr>
              <w:t xml:space="preserve"> means the difference between the quantity of gas that the transmission system operators had scheduled to flow and the measured quantity for an interconnection point</w:t>
            </w:r>
          </w:p>
          <w:p w:rsidR="00930133" w:rsidRDefault="00F02F76" w:rsidP="00670674">
            <w:pPr>
              <w:jc w:val="both"/>
              <w:rPr>
                <w:sz w:val="18"/>
                <w:szCs w:val="18"/>
              </w:rPr>
            </w:pPr>
            <w:r w:rsidRPr="00395347">
              <w:rPr>
                <w:b/>
                <w:bCs/>
                <w:sz w:val="18"/>
                <w:szCs w:val="18"/>
              </w:rPr>
              <w:t>(j)</w:t>
            </w:r>
            <w:r w:rsidRPr="00DA725A">
              <w:rPr>
                <w:b/>
                <w:bCs/>
                <w:sz w:val="18"/>
                <w:szCs w:val="18"/>
              </w:rPr>
              <w:t xml:space="preserve"> ‘gas day</w:t>
            </w:r>
            <w:r w:rsidRPr="00DA725A">
              <w:rPr>
                <w:sz w:val="18"/>
                <w:szCs w:val="18"/>
              </w:rPr>
              <w:t>’ means the period from 5:00 to 5:00 UTC the following day for winter time and from 4:00 to 4:00 UTC the following day when daylight saving is applied;</w:t>
            </w:r>
          </w:p>
          <w:p w:rsidR="00F02F76" w:rsidRPr="00DA725A" w:rsidRDefault="00F02F76" w:rsidP="00670674">
            <w:pPr>
              <w:jc w:val="both"/>
              <w:rPr>
                <w:sz w:val="18"/>
                <w:szCs w:val="18"/>
              </w:rPr>
            </w:pPr>
            <w:r w:rsidRPr="00DA725A">
              <w:rPr>
                <w:sz w:val="18"/>
                <w:szCs w:val="18"/>
              </w:rPr>
              <w:t>(k</w:t>
            </w:r>
            <w:r w:rsidRPr="00DA725A">
              <w:rPr>
                <w:b/>
                <w:bCs/>
                <w:sz w:val="18"/>
                <w:szCs w:val="18"/>
              </w:rPr>
              <w:t>) ‘‘interconnection agreement’</w:t>
            </w:r>
            <w:r w:rsidRPr="00DA725A">
              <w:rPr>
                <w:sz w:val="18"/>
                <w:szCs w:val="18"/>
              </w:rPr>
              <w:t xml:space="preserve"> means an agreement entered into by adjacent transmission system operators, whose systems are connected at a particular </w:t>
            </w:r>
            <w:r w:rsidRPr="00DA725A">
              <w:rPr>
                <w:sz w:val="18"/>
                <w:szCs w:val="18"/>
              </w:rPr>
              <w:lastRenderedPageBreak/>
              <w:t>interconnection point, which specifies terms and conditions, operating procedures and provisions, in respect of delivery and/or withdrawal of gas at the interconnection point with the purpose of facilitating efficient interoperability of the interconnected transmission networks;</w:t>
            </w:r>
          </w:p>
          <w:p w:rsidR="00F02F76" w:rsidRPr="00DA725A" w:rsidRDefault="00F02F76" w:rsidP="00670674">
            <w:pPr>
              <w:jc w:val="both"/>
              <w:rPr>
                <w:sz w:val="18"/>
                <w:szCs w:val="18"/>
              </w:rPr>
            </w:pPr>
            <w:r w:rsidRPr="00DA725A">
              <w:rPr>
                <w:sz w:val="18"/>
                <w:szCs w:val="18"/>
              </w:rPr>
              <w:t xml:space="preserve"> (l</w:t>
            </w:r>
            <w:r w:rsidRPr="00DA725A">
              <w:rPr>
                <w:b/>
                <w:bCs/>
                <w:sz w:val="18"/>
                <w:szCs w:val="18"/>
              </w:rPr>
              <w:t xml:space="preserve">) ‘interconnection point’ </w:t>
            </w:r>
            <w:r w:rsidRPr="00DA725A">
              <w:rPr>
                <w:sz w:val="18"/>
                <w:szCs w:val="18"/>
              </w:rPr>
              <w:t xml:space="preserve">means a physical or virtual point connecting adjacent entry-exit systems or connecting an entry-exit system with an interconnector, in so far as these points are subject to booking procedures by network users; </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(m) </w:t>
            </w:r>
            <w:r w:rsidRPr="00DA725A">
              <w:rPr>
                <w:b/>
                <w:bCs/>
                <w:sz w:val="18"/>
                <w:szCs w:val="18"/>
              </w:rPr>
              <w:t>‘virtual interconnection point’</w:t>
            </w:r>
            <w:r w:rsidRPr="00DA725A">
              <w:rPr>
                <w:sz w:val="18"/>
                <w:szCs w:val="18"/>
              </w:rPr>
              <w:t xml:space="preserve"> means two or more interconnection points which connect the same two adjacent entry-exit systems, integrated together for the purposes of providing a single capacity service; </w:t>
            </w:r>
          </w:p>
          <w:p w:rsidR="00F02F76" w:rsidRPr="00DA725A" w:rsidRDefault="00F02F76" w:rsidP="00670674">
            <w:pPr>
              <w:jc w:val="both"/>
              <w:rPr>
                <w:sz w:val="18"/>
                <w:szCs w:val="18"/>
              </w:rPr>
            </w:pPr>
          </w:p>
          <w:p w:rsidR="00F02F76" w:rsidRDefault="00F02F76" w:rsidP="00670674">
            <w:pPr>
              <w:jc w:val="both"/>
              <w:rPr>
                <w:sz w:val="18"/>
                <w:szCs w:val="18"/>
              </w:rPr>
            </w:pPr>
            <w:r w:rsidRPr="00DA725A">
              <w:rPr>
                <w:sz w:val="18"/>
                <w:szCs w:val="18"/>
              </w:rPr>
              <w:t>(n</w:t>
            </w:r>
            <w:r w:rsidRPr="00DA725A">
              <w:rPr>
                <w:b/>
                <w:bCs/>
                <w:sz w:val="18"/>
                <w:szCs w:val="18"/>
              </w:rPr>
              <w:t>) ‘confirmed quantity’</w:t>
            </w:r>
            <w:r w:rsidRPr="00DA725A">
              <w:rPr>
                <w:sz w:val="18"/>
                <w:szCs w:val="18"/>
              </w:rPr>
              <w:t xml:space="preserve"> means the quantity of gas confirmed by a transmission system operator to be scheduled or re-scheduled to flow on gas day D;</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 (o) </w:t>
            </w:r>
            <w:r w:rsidRPr="00DA725A">
              <w:rPr>
                <w:b/>
                <w:bCs/>
                <w:sz w:val="18"/>
                <w:szCs w:val="18"/>
              </w:rPr>
              <w:t>‘allocation’</w:t>
            </w:r>
            <w:r w:rsidRPr="00DA725A">
              <w:rPr>
                <w:sz w:val="18"/>
                <w:szCs w:val="18"/>
              </w:rPr>
              <w:t xml:space="preserve"> means the quantity of gas attributed to a network user by a transmission system operator as an input or an off-take expressed in kWh</w:t>
            </w:r>
            <w:r>
              <w:rPr>
                <w:sz w:val="18"/>
                <w:szCs w:val="18"/>
              </w:rPr>
              <w:t xml:space="preserve"> for the purpose of determining </w:t>
            </w:r>
            <w:r w:rsidRPr="00DA725A">
              <w:rPr>
                <w:sz w:val="18"/>
                <w:szCs w:val="18"/>
              </w:rPr>
              <w:t>the daily imbalance quantity;</w:t>
            </w:r>
          </w:p>
          <w:p w:rsidR="00F02F76" w:rsidRDefault="00F02F76" w:rsidP="00670674">
            <w:pPr>
              <w:jc w:val="both"/>
              <w:rPr>
                <w:sz w:val="18"/>
                <w:szCs w:val="18"/>
              </w:rPr>
            </w:pPr>
            <w:r w:rsidRPr="00DA725A">
              <w:rPr>
                <w:sz w:val="18"/>
                <w:szCs w:val="18"/>
              </w:rPr>
              <w:t xml:space="preserve"> (p) </w:t>
            </w:r>
            <w:r w:rsidRPr="00DA725A">
              <w:rPr>
                <w:b/>
                <w:bCs/>
                <w:sz w:val="18"/>
                <w:szCs w:val="18"/>
              </w:rPr>
              <w:t>‘re-nomination cycle’</w:t>
            </w:r>
            <w:r w:rsidRPr="00DA725A">
              <w:rPr>
                <w:sz w:val="18"/>
                <w:szCs w:val="18"/>
              </w:rPr>
              <w:t xml:space="preserve"> means the process carried out by the transmission system operator in order to provide a network user with the message regarding the confirmed quantities following the receipt of a re-nomination.</w:t>
            </w:r>
          </w:p>
          <w:p w:rsidR="00F12C4B" w:rsidRDefault="00F12C4B" w:rsidP="00670674">
            <w:pPr>
              <w:jc w:val="both"/>
              <w:rPr>
                <w:sz w:val="18"/>
                <w:szCs w:val="18"/>
              </w:rPr>
            </w:pPr>
          </w:p>
          <w:p w:rsidR="00F12C4B" w:rsidRDefault="00F12C4B" w:rsidP="00670674">
            <w:pPr>
              <w:jc w:val="both"/>
              <w:rPr>
                <w:sz w:val="18"/>
                <w:szCs w:val="18"/>
              </w:rPr>
            </w:pPr>
          </w:p>
          <w:p w:rsidR="00F12C4B" w:rsidRPr="00DA725A" w:rsidRDefault="00F12C4B" w:rsidP="00670674">
            <w:pPr>
              <w:jc w:val="both"/>
              <w:rPr>
                <w:b/>
                <w:sz w:val="18"/>
                <w:szCs w:val="18"/>
              </w:rPr>
            </w:pP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rPr>
              <w:lastRenderedPageBreak/>
              <w:t xml:space="preserve"> </w:t>
            </w:r>
            <w:r w:rsidRPr="00B91C10">
              <w:rPr>
                <w:rFonts w:asciiTheme="majorBidi" w:hAnsiTheme="majorBidi" w:cstheme="majorBidi"/>
                <w:b/>
                <w:bCs/>
                <w:sz w:val="18"/>
                <w:szCs w:val="18"/>
                <w:lang w:val="it-IT"/>
              </w:rPr>
              <w:t xml:space="preserve">Articolul 3 </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Dispoziții generale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adiacenți se asigură că cel puțin termenii și condițiile următoare, detaliate la articolele 6-12, sunt reglementate printr-un acord de interconectare pentru fiecare punct de interconectare: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98"/>
              <w:gridCol w:w="4631"/>
            </w:tblGrid>
            <w:tr w:rsidR="00F02F76" w:rsidRPr="00B91C10" w:rsidTr="00670674">
              <w:tc>
                <w:tcPr>
                  <w:tcW w:w="7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6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norme privind controlul fluxului;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3"/>
              <w:gridCol w:w="4796"/>
            </w:tblGrid>
            <w:tr w:rsidR="00F02F76" w:rsidRPr="00C27D66" w:rsidTr="00670674">
              <w:tc>
                <w:tcPr>
                  <w:tcW w:w="4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93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principii de măsurare a cantităților de gaz și a calității gazului;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42"/>
              <w:gridCol w:w="4687"/>
            </w:tblGrid>
            <w:tr w:rsidR="00F02F76" w:rsidRPr="00C27D66" w:rsidTr="00670674">
              <w:tc>
                <w:tcPr>
                  <w:tcW w:w="62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73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 pentru procesul de concordanță;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2"/>
              <w:gridCol w:w="4697"/>
            </w:tblGrid>
            <w:tr w:rsidR="00F02F76" w:rsidRPr="00B91C10" w:rsidTr="00670674">
              <w:tc>
                <w:tcPr>
                  <w:tcW w:w="60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753"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norme privind alocarea cantităților de gaz;</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29"/>
              <w:gridCol w:w="4800"/>
            </w:tblGrid>
            <w:tr w:rsidR="00F02F76" w:rsidRPr="00C27D66" w:rsidTr="00670674">
              <w:tc>
                <w:tcPr>
                  <w:tcW w:w="41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894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proceduri de comunicare în caz de evenimente excepționale;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1"/>
              <w:gridCol w:w="4838"/>
            </w:tblGrid>
            <w:tr w:rsidR="00F02F76" w:rsidRPr="00C27D66" w:rsidTr="00670674">
              <w:tc>
                <w:tcPr>
                  <w:tcW w:w="34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01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soluționarea litigiilor care decurg din acordurile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0"/>
              <w:gridCol w:w="4759"/>
            </w:tblGrid>
            <w:tr w:rsidR="00F02F76" w:rsidRPr="00C27D66" w:rsidTr="00670674">
              <w:tc>
                <w:tcPr>
                  <w:tcW w:w="48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88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procesul de modificare a acordului de interconectare.</w:t>
                  </w:r>
                </w:p>
              </w:tc>
            </w:tr>
          </w:tbl>
          <w:p w:rsidR="00F02F76" w:rsidRPr="00B91C10" w:rsidRDefault="00F02F76" w:rsidP="00670674">
            <w:pPr>
              <w:jc w:val="both"/>
              <w:rPr>
                <w:rFonts w:asciiTheme="majorBidi" w:hAnsiTheme="majorBidi" w:cstheme="majorBidi"/>
                <w:b/>
                <w:sz w:val="18"/>
                <w:szCs w:val="18"/>
                <w:lang w:val="it-IT"/>
              </w:rPr>
            </w:pPr>
          </w:p>
        </w:tc>
        <w:tc>
          <w:tcPr>
            <w:tcW w:w="4820" w:type="dxa"/>
          </w:tcPr>
          <w:p w:rsidR="00F02F76" w:rsidRDefault="00F02F76" w:rsidP="00670674">
            <w:pPr>
              <w:tabs>
                <w:tab w:val="left" w:pos="34"/>
                <w:tab w:val="left" w:pos="567"/>
              </w:tabs>
              <w:jc w:val="center"/>
              <w:outlineLvl w:val="0"/>
              <w:rPr>
                <w:rFonts w:asciiTheme="majorBidi" w:hAnsiTheme="majorBidi" w:cstheme="majorBidi"/>
                <w:b/>
                <w:sz w:val="18"/>
                <w:szCs w:val="18"/>
                <w:lang w:val="ro-RO"/>
              </w:rPr>
            </w:pPr>
            <w:r w:rsidRPr="00DA725A">
              <w:rPr>
                <w:rFonts w:asciiTheme="majorBidi" w:hAnsiTheme="majorBidi" w:cstheme="majorBidi"/>
                <w:b/>
                <w:sz w:val="18"/>
                <w:szCs w:val="18"/>
                <w:lang w:val="ro-RO"/>
              </w:rPr>
              <w:t>Secţiunea 1</w:t>
            </w:r>
          </w:p>
          <w:p w:rsidR="00F02F76" w:rsidRPr="00DA725A" w:rsidRDefault="00F02F76" w:rsidP="00670674">
            <w:pPr>
              <w:tabs>
                <w:tab w:val="left" w:pos="34"/>
                <w:tab w:val="left" w:pos="567"/>
              </w:tabs>
              <w:jc w:val="center"/>
              <w:outlineLvl w:val="0"/>
              <w:rPr>
                <w:rFonts w:asciiTheme="majorBidi" w:hAnsiTheme="majorBidi" w:cstheme="majorBidi"/>
                <w:b/>
                <w:sz w:val="18"/>
                <w:szCs w:val="18"/>
                <w:lang w:val="ro-RO"/>
              </w:rPr>
            </w:pPr>
            <w:r w:rsidRPr="00C33F84">
              <w:rPr>
                <w:b/>
                <w:bCs/>
                <w:lang w:val="ro-RO"/>
              </w:rPr>
              <w:t>Conţinutul acordurilor de interconectare</w:t>
            </w:r>
          </w:p>
          <w:p w:rsidR="00F02F76" w:rsidRPr="00167092" w:rsidRDefault="00F02F76" w:rsidP="00670674">
            <w:pPr>
              <w:pStyle w:val="NormalWeb"/>
              <w:ind w:firstLine="41"/>
              <w:rPr>
                <w:sz w:val="18"/>
                <w:szCs w:val="18"/>
              </w:rPr>
            </w:pPr>
            <w:r w:rsidRPr="00167092">
              <w:rPr>
                <w:b/>
                <w:bCs/>
                <w:sz w:val="18"/>
                <w:szCs w:val="18"/>
              </w:rPr>
              <w:t>60.</w:t>
            </w:r>
            <w:r w:rsidRPr="00167092">
              <w:rPr>
                <w:sz w:val="18"/>
                <w:szCs w:val="18"/>
              </w:rPr>
              <w:t xml:space="preserve"> OST adiacenţi se asigură că cel puţin termenii şi condiţiile următoare, detaliate în prezentul Capitol, sunt reglementate prin acordurile de interconectare existente şi viitoare pentru fiecare punct de interconectare dotat cu echipamente de măsurare: </w:t>
            </w:r>
          </w:p>
          <w:p w:rsidR="00F02F76" w:rsidRPr="00794A1E" w:rsidRDefault="00F02F76" w:rsidP="00670674">
            <w:pPr>
              <w:pStyle w:val="NormalWeb"/>
              <w:ind w:firstLine="41"/>
              <w:rPr>
                <w:sz w:val="18"/>
                <w:szCs w:val="18"/>
                <w:lang w:val="it-IT"/>
              </w:rPr>
            </w:pPr>
            <w:r w:rsidRPr="00794A1E">
              <w:rPr>
                <w:sz w:val="18"/>
                <w:szCs w:val="18"/>
                <w:lang w:val="it-IT"/>
              </w:rPr>
              <w:t xml:space="preserve">1) proceduri privind gestionarea fluxului de gaze naturale; </w:t>
            </w:r>
          </w:p>
          <w:p w:rsidR="00F02F76" w:rsidRPr="00794A1E" w:rsidRDefault="00F02F76" w:rsidP="00670674">
            <w:pPr>
              <w:pStyle w:val="NormalWeb"/>
              <w:ind w:firstLine="41"/>
              <w:rPr>
                <w:sz w:val="18"/>
                <w:szCs w:val="18"/>
              </w:rPr>
            </w:pPr>
            <w:r w:rsidRPr="00794A1E">
              <w:rPr>
                <w:sz w:val="18"/>
                <w:szCs w:val="18"/>
              </w:rPr>
              <w:t xml:space="preserve">2) principii de măsurare a cantităţilor şi a calităţii gazelor naturale; </w:t>
            </w:r>
          </w:p>
          <w:p w:rsidR="00F02F76" w:rsidRPr="00794A1E" w:rsidRDefault="00F02F76" w:rsidP="00670674">
            <w:pPr>
              <w:pStyle w:val="NormalWeb"/>
              <w:ind w:firstLine="41"/>
              <w:rPr>
                <w:sz w:val="18"/>
                <w:szCs w:val="18"/>
              </w:rPr>
            </w:pPr>
            <w:r w:rsidRPr="00794A1E">
              <w:rPr>
                <w:sz w:val="18"/>
                <w:szCs w:val="18"/>
              </w:rPr>
              <w:t xml:space="preserve">3) proceduri privind procesul de concordanţă; </w:t>
            </w:r>
          </w:p>
          <w:p w:rsidR="00F02F76" w:rsidRPr="00794A1E" w:rsidRDefault="00F02F76" w:rsidP="00670674">
            <w:pPr>
              <w:pStyle w:val="NormalWeb"/>
              <w:ind w:firstLine="41"/>
              <w:rPr>
                <w:sz w:val="18"/>
                <w:szCs w:val="18"/>
              </w:rPr>
            </w:pPr>
            <w:r w:rsidRPr="00794A1E">
              <w:rPr>
                <w:sz w:val="18"/>
                <w:szCs w:val="18"/>
              </w:rPr>
              <w:t xml:space="preserve">4) prevederi privind alocarea cantităţilor de gaze naturale; </w:t>
            </w:r>
          </w:p>
          <w:p w:rsidR="00F02F76" w:rsidRPr="00794A1E" w:rsidRDefault="00F02F76" w:rsidP="00670674">
            <w:pPr>
              <w:pStyle w:val="NormalWeb"/>
              <w:ind w:firstLine="41"/>
              <w:rPr>
                <w:sz w:val="18"/>
                <w:szCs w:val="18"/>
              </w:rPr>
            </w:pPr>
            <w:r w:rsidRPr="00794A1E">
              <w:rPr>
                <w:sz w:val="18"/>
                <w:szCs w:val="18"/>
              </w:rPr>
              <w:t xml:space="preserve">5) proceduri de comunicare în caz de situaţii excepţionale; </w:t>
            </w:r>
          </w:p>
          <w:p w:rsidR="00F02F76" w:rsidRPr="00794A1E" w:rsidRDefault="00F02F76" w:rsidP="00670674">
            <w:pPr>
              <w:pStyle w:val="NormalWeb"/>
              <w:ind w:firstLine="41"/>
              <w:rPr>
                <w:sz w:val="18"/>
                <w:szCs w:val="18"/>
              </w:rPr>
            </w:pPr>
            <w:r w:rsidRPr="00794A1E">
              <w:rPr>
                <w:sz w:val="18"/>
                <w:szCs w:val="18"/>
              </w:rPr>
              <w:t>6) procedura de soluţionare a litigiilor care decurg din acordurile de interconectare;</w:t>
            </w:r>
          </w:p>
          <w:p w:rsidR="00F02F76" w:rsidRPr="00794A1E" w:rsidRDefault="00F02F76" w:rsidP="00670674">
            <w:pPr>
              <w:pStyle w:val="NormalWeb"/>
              <w:ind w:firstLine="41"/>
              <w:rPr>
                <w:sz w:val="18"/>
                <w:szCs w:val="18"/>
              </w:rPr>
            </w:pPr>
            <w:r w:rsidRPr="00794A1E">
              <w:rPr>
                <w:sz w:val="18"/>
                <w:szCs w:val="18"/>
              </w:rPr>
              <w:t xml:space="preserve">7) procedura de modificare a acordului de interconectare. </w:t>
            </w:r>
          </w:p>
          <w:p w:rsidR="00F02F76" w:rsidRPr="00DA725A" w:rsidRDefault="00F02F76" w:rsidP="00670674">
            <w:pPr>
              <w:tabs>
                <w:tab w:val="left" w:pos="34"/>
                <w:tab w:val="left" w:pos="567"/>
              </w:tabs>
              <w:jc w:val="both"/>
              <w:outlineLvl w:val="0"/>
              <w:rPr>
                <w:rFonts w:asciiTheme="majorBidi" w:hAnsiTheme="majorBidi" w:cstheme="majorBidi"/>
                <w:sz w:val="18"/>
                <w:szCs w:val="18"/>
                <w:lang w:val="ro-RO"/>
              </w:rPr>
            </w:pPr>
          </w:p>
        </w:tc>
        <w:tc>
          <w:tcPr>
            <w:tcW w:w="1417" w:type="dxa"/>
          </w:tcPr>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tc>
        <w:tc>
          <w:tcPr>
            <w:tcW w:w="4253" w:type="dxa"/>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Article 3 </w:t>
            </w:r>
          </w:p>
          <w:p w:rsidR="00F02F76" w:rsidRPr="00C33F84" w:rsidRDefault="00F02F76" w:rsidP="00670674">
            <w:pPr>
              <w:jc w:val="both"/>
              <w:rPr>
                <w:rFonts w:asciiTheme="majorBidi" w:hAnsiTheme="majorBidi" w:cstheme="majorBidi"/>
                <w:b/>
                <w:bCs/>
                <w:sz w:val="18"/>
                <w:szCs w:val="18"/>
              </w:rPr>
            </w:pPr>
            <w:r w:rsidRPr="00C33F84">
              <w:rPr>
                <w:rFonts w:asciiTheme="majorBidi" w:hAnsiTheme="majorBidi" w:cstheme="majorBidi"/>
                <w:b/>
                <w:bCs/>
                <w:sz w:val="18"/>
                <w:szCs w:val="18"/>
              </w:rPr>
              <w:t xml:space="preserve">General Provisions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Adjacent transmission system operators shall ensure that at least the following terms and conditions detailed in Articles 6 to 12 are covered by any future and existing interconnection agreement in respect of each interconnection point: (a) rules for flow control; (b) measurement principles for gas quantities and quality; (c) rules for the matching process; (d) rules for the allocation of gas quantities; (e) communication procedures in case of exceptional events; (f) settlement of disputes arising from interconnection agreements; (g) amendment process for the interconnection agreement</w:t>
            </w:r>
          </w:p>
        </w:tc>
      </w:tr>
      <w:tr w:rsidR="00F02F76" w:rsidRPr="00B91C10" w:rsidTr="00670674">
        <w:trPr>
          <w:trHeight w:val="423"/>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t>Articolul 4</w:t>
            </w:r>
          </w:p>
          <w:p w:rsidR="00F02F76" w:rsidRPr="00B91C10"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Obligația de informare</w:t>
            </w: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Operatorii de sisteme de transport identifică informațiile cuprinse în acordurile de interconectare care îi afectează în mod direct pe utilizatorii rețelei și îi informează pe aceștia cu privire la informațiile respective.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Înainte de a încheia sau de a modifica un acord de interconectare care conține normele menționate la articolul 3 literele (c), (d) și (e), operatorii de sisteme de transport invită utilizatorii rețelei să prezinte observații cu privire la textul propus al normelor respective, cu cel puțin două luni înainte ca acordul să fie încheiat sau modificat. Operatorii de sisteme de transport țin seama de observațiile utilizatorilor rețelei atunci când își încheie sau își modifică acordul de interconectare.</w:t>
            </w:r>
          </w:p>
          <w:p w:rsidR="00F02F76" w:rsidRPr="00DA725A"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Termenii obligatorii ai acordurilor de interconectare enumerați la articolul 3 sau orice modificări aduse acestor acorduri încheiate după intrarea în vigoare a prezentului regulament se comunică de către operatorii de sisteme de transport autorității lor naționale de reglementare și ENTSOG, în termen de 10 de zile de la încheierea sau de la modificarea acordului. De asemenea, operatorii de sisteme de transport comunică acordurile de interconectare, la cererea autorităților naționale competente ale statului membru, în termen de 10 de zile.</w:t>
            </w:r>
          </w:p>
        </w:tc>
        <w:tc>
          <w:tcPr>
            <w:tcW w:w="4820" w:type="dxa"/>
          </w:tcPr>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62</w:t>
            </w:r>
            <w:r w:rsidRPr="00B91C10">
              <w:rPr>
                <w:rFonts w:asciiTheme="majorBidi" w:hAnsiTheme="majorBidi" w:cstheme="majorBidi"/>
                <w:sz w:val="18"/>
                <w:szCs w:val="18"/>
                <w:lang w:val="ro-RO"/>
              </w:rPr>
              <w:t xml:space="preserve">.OST identifică informațiile cuprinse în acordurile de interconectare care îi afectează în mod direct pe utilizatorii de sistem și îi informează pe aceștia cu privire la informațiile respective.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6</w:t>
            </w:r>
            <w:r>
              <w:rPr>
                <w:rFonts w:asciiTheme="majorBidi" w:hAnsiTheme="majorBidi" w:cstheme="majorBidi"/>
                <w:sz w:val="18"/>
                <w:szCs w:val="18"/>
                <w:lang w:val="ro-RO"/>
              </w:rPr>
              <w:t>3</w:t>
            </w:r>
            <w:r w:rsidRPr="00B91C10">
              <w:rPr>
                <w:rFonts w:asciiTheme="majorBidi" w:hAnsiTheme="majorBidi" w:cstheme="majorBidi"/>
                <w:sz w:val="18"/>
                <w:szCs w:val="18"/>
                <w:lang w:val="ro-RO"/>
              </w:rPr>
              <w:t>.</w:t>
            </w:r>
            <w:r w:rsidRPr="00794A1E">
              <w:rPr>
                <w:lang w:val="it-IT"/>
              </w:rPr>
              <w:t xml:space="preserve"> Înainte de a încheia sau de a modifica un acord de interconectare, care conţine normele menţionate la pct.60, subpunctele 3)-5), OST invită utilizatorii de sistem să prezinte recomandări cu privire la textul propus al normelor respective, cu cel puţin </w:t>
            </w:r>
            <w:r w:rsidRPr="00794A1E">
              <w:rPr>
                <w:i/>
                <w:iCs/>
                <w:lang w:val="it-IT"/>
              </w:rPr>
              <w:t>2 luni</w:t>
            </w:r>
            <w:r w:rsidRPr="00794A1E">
              <w:rPr>
                <w:lang w:val="it-IT"/>
              </w:rPr>
              <w:t xml:space="preserve"> înainte ca acordul să fie încheiat sau modificat. OST iau în consideraţie recomandările utilizatorilor de sistem la încheierea sau modificarea acordului de interconectare</w:t>
            </w:r>
            <w:r w:rsidRPr="00B91C10">
              <w:rPr>
                <w:rFonts w:asciiTheme="majorBidi" w:hAnsiTheme="majorBidi" w:cstheme="majorBidi"/>
                <w:sz w:val="18"/>
                <w:szCs w:val="18"/>
                <w:lang w:val="ro-RO"/>
              </w:rPr>
              <w:t xml:space="preserve"> .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6</w:t>
            </w:r>
            <w:r>
              <w:rPr>
                <w:rFonts w:asciiTheme="majorBidi" w:hAnsiTheme="majorBidi" w:cstheme="majorBidi"/>
                <w:sz w:val="18"/>
                <w:szCs w:val="18"/>
                <w:lang w:val="ro-RO"/>
              </w:rPr>
              <w:t>4.</w:t>
            </w:r>
            <w:r w:rsidRPr="00794A1E">
              <w:rPr>
                <w:sz w:val="18"/>
                <w:szCs w:val="18"/>
                <w:lang w:val="it-IT"/>
              </w:rPr>
              <w:t xml:space="preserve"> Prevederile obligatorii ale acordurilor de interconectare stabilite la pct.60 sau orice modificări aduse acestor acorduri, încheiate după intrarea în vigoare a prezentului Cod, se </w:t>
            </w:r>
            <w:r w:rsidRPr="00794A1E">
              <w:rPr>
                <w:b/>
                <w:bCs/>
                <w:sz w:val="18"/>
                <w:szCs w:val="18"/>
                <w:lang w:val="it-IT"/>
              </w:rPr>
              <w:t>prezintă</w:t>
            </w:r>
            <w:r w:rsidRPr="00794A1E">
              <w:rPr>
                <w:sz w:val="18"/>
                <w:szCs w:val="18"/>
                <w:lang w:val="it-IT"/>
              </w:rPr>
              <w:t xml:space="preserve"> Agenţiei de către OST, în termen de </w:t>
            </w:r>
            <w:r w:rsidRPr="00794A1E">
              <w:rPr>
                <w:i/>
                <w:iCs/>
                <w:sz w:val="18"/>
                <w:szCs w:val="18"/>
                <w:lang w:val="it-IT"/>
              </w:rPr>
              <w:t>10 zile</w:t>
            </w:r>
            <w:r w:rsidRPr="00794A1E">
              <w:rPr>
                <w:sz w:val="18"/>
                <w:szCs w:val="18"/>
                <w:lang w:val="it-IT"/>
              </w:rPr>
              <w:t xml:space="preserve"> de la încheierea/modificarea acordului. De asemenea, OST prezintă în scris acordurile de interconectare, la cererea Organului central de specialitate al administraţiei publice în domeniul energeticii în termen de </w:t>
            </w:r>
            <w:r w:rsidRPr="00794A1E">
              <w:rPr>
                <w:i/>
                <w:iCs/>
                <w:sz w:val="18"/>
                <w:szCs w:val="18"/>
                <w:lang w:val="it-IT"/>
              </w:rPr>
              <w:t>10 zil</w:t>
            </w:r>
            <w:r w:rsidRPr="00B91C10">
              <w:rPr>
                <w:rFonts w:asciiTheme="majorBidi" w:hAnsiTheme="majorBidi" w:cstheme="majorBidi"/>
                <w:sz w:val="18"/>
                <w:szCs w:val="18"/>
                <w:lang w:val="ro-RO"/>
              </w:rPr>
              <w:t>.</w:t>
            </w: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tc>
        <w:tc>
          <w:tcPr>
            <w:tcW w:w="4253" w:type="dxa"/>
          </w:tcPr>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The transmission system operators shall identify the information contained in interconnection agreements that directly affects network users and shall inform them thereof.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Before concluding or amending an interconnection agreement which contains the rules referred to in Article 3(c), (d) and (e), transmission system operators shall invite network users to comment on the proposed text of those rules at least two months before the agreement is concluded or amended. The transmission system operators shall take the network users’ comments into account when concluding or amending their interconnection agreement.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3. The mandatory terms of interconnection agreements listed in Article 3 or any amendments thereof concluded after the entry into force of this Regulation shall be communicated by the transmission system operators to their national regulatory authority and to Entsog within 10 days after conclusion or amendment of the agreement. Transmission system operators shall also communicate interconnection agreements upon request </w:t>
            </w:r>
            <w:r w:rsidRPr="00B91C10">
              <w:rPr>
                <w:rFonts w:asciiTheme="majorBidi" w:hAnsiTheme="majorBidi" w:cstheme="majorBidi"/>
                <w:sz w:val="18"/>
                <w:szCs w:val="18"/>
              </w:rPr>
              <w:lastRenderedPageBreak/>
              <w:t>of competent national authorities of the Contracting Party within 10 days</w:t>
            </w:r>
          </w:p>
        </w:tc>
      </w:tr>
      <w:tr w:rsidR="00F02F76" w:rsidRPr="00B91C10" w:rsidTr="00670674">
        <w:trPr>
          <w:trHeight w:val="1240"/>
        </w:trPr>
        <w:tc>
          <w:tcPr>
            <w:tcW w:w="5245" w:type="dxa"/>
          </w:tcPr>
          <w:p w:rsidR="00F02F76" w:rsidRPr="00F12C4B" w:rsidRDefault="00F02F76" w:rsidP="00670674">
            <w:pPr>
              <w:shd w:val="clear" w:color="auto" w:fill="FFFFFF"/>
              <w:jc w:val="both"/>
              <w:rPr>
                <w:rFonts w:asciiTheme="majorBidi" w:hAnsiTheme="majorBidi" w:cstheme="majorBidi"/>
                <w:i/>
                <w:iCs/>
                <w:color w:val="000000" w:themeColor="text1"/>
                <w:sz w:val="18"/>
                <w:szCs w:val="18"/>
                <w:lang w:val="it-IT"/>
              </w:rPr>
            </w:pPr>
            <w:r w:rsidRPr="00F12C4B">
              <w:rPr>
                <w:rFonts w:asciiTheme="majorBidi" w:hAnsiTheme="majorBidi" w:cstheme="majorBidi"/>
                <w:i/>
                <w:iCs/>
                <w:color w:val="000000" w:themeColor="text1"/>
                <w:sz w:val="18"/>
                <w:szCs w:val="18"/>
                <w:lang w:val="it-IT"/>
              </w:rPr>
              <w:lastRenderedPageBreak/>
              <w:t>Articolul 5</w:t>
            </w:r>
          </w:p>
          <w:p w:rsidR="00F02F76" w:rsidRPr="00F12C4B" w:rsidRDefault="00F02F76" w:rsidP="00670674">
            <w:pPr>
              <w:shd w:val="clear" w:color="auto" w:fill="FFFFFF"/>
              <w:jc w:val="both"/>
              <w:rPr>
                <w:rFonts w:asciiTheme="majorBidi" w:hAnsiTheme="majorBidi" w:cstheme="majorBidi"/>
                <w:b/>
                <w:bCs/>
                <w:color w:val="000000" w:themeColor="text1"/>
                <w:sz w:val="18"/>
                <w:szCs w:val="18"/>
                <w:lang w:val="it-IT"/>
              </w:rPr>
            </w:pPr>
            <w:r w:rsidRPr="00F12C4B">
              <w:rPr>
                <w:rFonts w:asciiTheme="majorBidi" w:hAnsiTheme="majorBidi" w:cstheme="majorBidi"/>
                <w:b/>
                <w:bCs/>
                <w:color w:val="000000" w:themeColor="text1"/>
                <w:sz w:val="18"/>
                <w:szCs w:val="18"/>
                <w:lang w:val="it-IT"/>
              </w:rPr>
              <w:t>Model de acord de interconectare</w:t>
            </w:r>
          </w:p>
          <w:p w:rsidR="00F02F76" w:rsidRPr="00F12C4B" w:rsidRDefault="00F02F76" w:rsidP="00670674">
            <w:pPr>
              <w:shd w:val="clear" w:color="auto" w:fill="FFFFFF"/>
              <w:jc w:val="both"/>
              <w:rPr>
                <w:rFonts w:asciiTheme="majorBidi" w:hAnsiTheme="majorBidi" w:cstheme="majorBidi"/>
                <w:color w:val="000000" w:themeColor="text1"/>
                <w:sz w:val="18"/>
                <w:szCs w:val="18"/>
                <w:lang w:val="it-IT"/>
              </w:rPr>
            </w:pPr>
            <w:r w:rsidRPr="00F12C4B">
              <w:rPr>
                <w:rFonts w:asciiTheme="majorBidi" w:hAnsiTheme="majorBidi" w:cstheme="majorBidi"/>
                <w:color w:val="000000" w:themeColor="text1"/>
                <w:sz w:val="18"/>
                <w:szCs w:val="18"/>
                <w:lang w:val="it-IT"/>
              </w:rPr>
              <w:t>(1)   Până la 30 iunie 2015, ENTSOG elaborează și publică un proiect al modelului de acord de interconectare care acoperă termenii și condițiile implicite stabilite la articolele 6-10.</w:t>
            </w:r>
          </w:p>
          <w:p w:rsidR="00F02F76" w:rsidRPr="00F12C4B" w:rsidRDefault="00F02F76" w:rsidP="00670674">
            <w:pPr>
              <w:shd w:val="clear" w:color="auto" w:fill="FFFFFF"/>
              <w:jc w:val="both"/>
              <w:rPr>
                <w:rFonts w:asciiTheme="majorBidi" w:hAnsiTheme="majorBidi" w:cstheme="majorBidi"/>
                <w:color w:val="000000" w:themeColor="text1"/>
                <w:sz w:val="18"/>
                <w:szCs w:val="18"/>
                <w:lang w:val="it-IT"/>
              </w:rPr>
            </w:pPr>
            <w:r w:rsidRPr="00F12C4B">
              <w:rPr>
                <w:rFonts w:asciiTheme="majorBidi" w:hAnsiTheme="majorBidi" w:cstheme="majorBidi"/>
                <w:color w:val="000000" w:themeColor="text1"/>
                <w:sz w:val="18"/>
                <w:szCs w:val="18"/>
                <w:lang w:val="it-IT"/>
              </w:rPr>
              <w:t>(2)   Orice autoritate națională de reglementare poate prezenta agenției un aviz cu privire la conformitatea modelului cu legislația națională, până la 31 august 2015. Agenția, ținând seama în mod corespunzător de avizele autorităților naționale de reglementare, își prezintă apoi propriul aviz cu privire la modelul ENTSOG până la 31 octombrie 2015. După ce a luat în considerare avizul prezentat de agenție, ENTSOG publică pe site-ul său web modelul final până la 31 decembrie 2015.</w:t>
            </w:r>
          </w:p>
          <w:p w:rsidR="00F02F76" w:rsidRPr="00F12C4B" w:rsidRDefault="00F02F76" w:rsidP="00670674">
            <w:pPr>
              <w:shd w:val="clear" w:color="auto" w:fill="FFFFFF"/>
              <w:jc w:val="both"/>
              <w:rPr>
                <w:rFonts w:asciiTheme="majorBidi" w:hAnsiTheme="majorBidi" w:cstheme="majorBidi"/>
                <w:color w:val="000000" w:themeColor="text1"/>
                <w:sz w:val="18"/>
                <w:szCs w:val="18"/>
                <w:lang w:val="it-IT"/>
              </w:rPr>
            </w:pPr>
            <w:r w:rsidRPr="00F12C4B">
              <w:rPr>
                <w:rFonts w:asciiTheme="majorBidi" w:hAnsiTheme="majorBidi" w:cstheme="majorBidi"/>
                <w:color w:val="000000" w:themeColor="text1"/>
                <w:sz w:val="18"/>
                <w:szCs w:val="18"/>
                <w:lang w:val="it-IT"/>
              </w:rPr>
              <w:t>(3)   Dacă operatorii de sisteme de transport adiacenți nu reușesc să convină asupra unuia sau mai multora dintre termenii și condițiile de la articolele 6-10 în acordul lor de interconectare conform articolului 3, ei încheie un acord de interconectare pe baza modelului ENTSOG cu privire la orice termen asupra căruia nu au reușit să cadă de acord.</w:t>
            </w:r>
          </w:p>
        </w:tc>
        <w:tc>
          <w:tcPr>
            <w:tcW w:w="4820" w:type="dxa"/>
          </w:tcPr>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sz w:val="18"/>
                <w:szCs w:val="18"/>
              </w:rPr>
              <w:t>Prevederi UE neaplicabile.</w:t>
            </w:r>
          </w:p>
        </w:tc>
        <w:tc>
          <w:tcPr>
            <w:tcW w:w="4253" w:type="dxa"/>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Article 5 Interconnection agreement template</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If adjacent transmission system operators fail to agree on one or more of the terms and conditions set out in Articles 6 to 10 in their interconnection agreement in accordance with Article 3, they shall conclude an interconnection agreement on the basis of the Entsog template in respect of any term they failed to agree upon.</w:t>
            </w: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6</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Norme privind controlul fluxului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controlul fluxului, operatorii de sisteme de transport adiacenți: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asigură faptul că sunt stabilite norme pentru facilitarea unui flux controlabil, precis, previzibil și eficient de gaz prin punctul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asigură faptul că sunt stabilite norme pentru direcționarea fluxului de gaz prin punctul de interconectare și pentru reducerea la minimum a deviațiilor de la flux în urma procesului de concordanță;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desemnează operatorul de sistem de transport care este răspunzător de direcționarea fluxului de gaz prin punctul de interconectare. Dacă operatorii de sisteme de transport adiacenți nu reușesc să convină asupra acestei desemnări, operatorul de sistem de transport care exploatează echipamentele de control al fluxului, în cooperare cu celălalt sau cu ceilalți operatori de sisteme de transport, este cel responsabil pentru direcționarea fluxului de gaz prin punctul de interconectare.</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Pentru a direcționa fluxul de gaz, operatorii de sisteme de transport adiacenți decid cu privire la cantitatea și la direcția fluxului de gaz pentru fiecare punct de interconectare și pentru fiecare oră a zilei gaziere.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Operatorul de sistem de transport desemnat în conformitate cu alineatul (1) litera (c) este responsabil cu direcționarea fluxului de gaz </w:t>
            </w:r>
            <w:r w:rsidRPr="00B91C10">
              <w:rPr>
                <w:rFonts w:asciiTheme="majorBidi" w:hAnsiTheme="majorBidi" w:cstheme="majorBidi"/>
                <w:sz w:val="18"/>
                <w:szCs w:val="18"/>
                <w:lang w:val="it-IT"/>
              </w:rPr>
              <w:lastRenderedPageBreak/>
              <w:t>prin punctul de interconectare, cu condiția ca obligațiile contractuale privind presiunea să fie respectate de toți operatorii de sisteme de transport adiacenți: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2"/>
              <w:gridCol w:w="4867"/>
            </w:tblGrid>
            <w:tr w:rsidR="00F02F76" w:rsidRPr="00C27D66" w:rsidTr="00670674">
              <w:tc>
                <w:tcPr>
                  <w:tcW w:w="28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69"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la un nivel de precizie suficient pentru a reduce la minimum diferența de direcționare; și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4"/>
              <w:gridCol w:w="4855"/>
            </w:tblGrid>
            <w:tr w:rsidR="00F02F76" w:rsidRPr="00C27D66" w:rsidTr="00670674">
              <w:tc>
                <w:tcPr>
                  <w:tcW w:w="30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4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la un nivel de stabilitate conform cu utilizarea eficientă a rețelelor de transport de gaz.</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Cantitatea și direcția fluxului de gaz stabilite de către operatorii de sisteme de transport adiacenți reflectă: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59"/>
              <w:gridCol w:w="4670"/>
            </w:tblGrid>
            <w:tr w:rsidR="00F02F76" w:rsidRPr="00B91C10" w:rsidTr="00670674">
              <w:tc>
                <w:tcPr>
                  <w:tcW w:w="65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70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rezultatul procesului de concordanță;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6"/>
              <w:gridCol w:w="4713"/>
            </w:tblGrid>
            <w:tr w:rsidR="00F02F76" w:rsidRPr="00C27D66" w:rsidTr="00670674">
              <w:tc>
                <w:tcPr>
                  <w:tcW w:w="57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78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corecția contului de echilibrare operațională;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orice măsuri eficiente de control al fluxului convenite de operatorii de sisteme de transport adiacenți în scopuri precum sporirea, diminuarea, fluxul minim, divizarea fluxului la punctul de interconectare virtual, dacă există, și/sau schimbarea direcției fluxului sau eficiența costurilor de exploatare;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orice măsură care gestionează restricțiile comerciale transfrontaliere datorate diferențelor de calitate a gazului, în conformitate cu articolul 15, și/sau practicilor de odorizare, în conformitate cu articolul 19.</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Un operator de sistem de transport poate decide să modifice cantitatea de gaz sau direcția fluxului de gaz sau ambele, dacă acest lucru este necesar, pentru: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(a</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 respecta dispozițiile stabilite în legislația privind siguranța de la nivel național sau al Uniunii, aplicabilă punctului de interconectare;</w:t>
                  </w:r>
                </w:p>
                <w:p w:rsidR="00F02F76" w:rsidRPr="00B91C10" w:rsidRDefault="00F02F76" w:rsidP="00670674">
                  <w:pPr>
                    <w:jc w:val="both"/>
                    <w:rPr>
                      <w:rFonts w:asciiTheme="majorBidi" w:hAnsiTheme="majorBidi" w:cstheme="majorBidi"/>
                      <w:sz w:val="18"/>
                      <w:szCs w:val="18"/>
                      <w:lang w:val="it-IT"/>
                    </w:rPr>
                  </w:pPr>
                </w:p>
              </w:tc>
            </w:tr>
          </w:tbl>
          <w:p w:rsidR="00F02F76" w:rsidRPr="00167092" w:rsidRDefault="00F02F76" w:rsidP="00670674">
            <w:pPr>
              <w:jc w:val="both"/>
              <w:rPr>
                <w:rFonts w:asciiTheme="majorBidi" w:hAnsiTheme="majorBidi" w:cstheme="majorBidi"/>
                <w:vanish/>
                <w:sz w:val="18"/>
                <w:szCs w:val="18"/>
                <w:lang w:val="it-IT"/>
              </w:rPr>
            </w:pPr>
          </w:p>
          <w:tbl>
            <w:tblPr>
              <w:tblW w:w="14843" w:type="dxa"/>
              <w:shd w:val="clear" w:color="auto" w:fill="FFFFFF"/>
              <w:tblLayout w:type="fixed"/>
              <w:tblCellMar>
                <w:left w:w="0" w:type="dxa"/>
                <w:right w:w="0" w:type="dxa"/>
              </w:tblCellMar>
              <w:tblLook w:val="04A0" w:firstRow="1" w:lastRow="0" w:firstColumn="1" w:lastColumn="0" w:noHBand="0" w:noVBand="1"/>
            </w:tblPr>
            <w:tblGrid>
              <w:gridCol w:w="122"/>
              <w:gridCol w:w="4907"/>
              <w:gridCol w:w="4907"/>
              <w:gridCol w:w="4907"/>
            </w:tblGrid>
            <w:tr w:rsidR="00F02F76" w:rsidRPr="00C27D66" w:rsidTr="00670674">
              <w:tc>
                <w:tcPr>
                  <w:tcW w:w="122" w:type="dxa"/>
                  <w:shd w:val="clear" w:color="auto" w:fill="FFFFFF"/>
                  <w:hideMark/>
                </w:tcPr>
                <w:p w:rsidR="00F02F76" w:rsidRPr="00167092" w:rsidRDefault="00F02F76" w:rsidP="00670674">
                  <w:pPr>
                    <w:pStyle w:val="ListParagraph"/>
                    <w:numPr>
                      <w:ilvl w:val="0"/>
                      <w:numId w:val="52"/>
                    </w:numPr>
                    <w:jc w:val="both"/>
                    <w:rPr>
                      <w:rFonts w:asciiTheme="majorBidi" w:hAnsiTheme="majorBidi" w:cstheme="majorBidi"/>
                      <w:sz w:val="18"/>
                      <w:szCs w:val="18"/>
                      <w:lang w:val="it-IT"/>
                    </w:rPr>
                  </w:pPr>
                </w:p>
                <w:p w:rsidR="00F02F76" w:rsidRPr="00395347" w:rsidRDefault="00F02F76" w:rsidP="00670674">
                  <w:pPr>
                    <w:pStyle w:val="ListParagraph"/>
                    <w:numPr>
                      <w:ilvl w:val="0"/>
                      <w:numId w:val="52"/>
                    </w:numPr>
                    <w:jc w:val="both"/>
                    <w:rPr>
                      <w:rFonts w:asciiTheme="majorBidi" w:hAnsiTheme="majorBidi" w:cstheme="majorBidi"/>
                      <w:sz w:val="18"/>
                      <w:szCs w:val="18"/>
                    </w:rPr>
                  </w:pPr>
                  <w:r w:rsidRPr="00395347">
                    <w:rPr>
                      <w:rFonts w:asciiTheme="majorBidi" w:hAnsiTheme="majorBidi" w:cstheme="majorBidi"/>
                      <w:sz w:val="18"/>
                      <w:szCs w:val="18"/>
                    </w:rPr>
                    <w:t>b)</w:t>
                  </w:r>
                </w:p>
              </w:tc>
              <w:tc>
                <w:tcPr>
                  <w:tcW w:w="4907"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 respecta cerințele stabilite în planurile de urgență și în planurile de acțiune preventivă elaborate în conformitate cu Regulamentul (UE) nr. 994/2010 al Parlamentului European și al Consiliului</w:t>
                  </w:r>
                  <w:hyperlink r:id="rId11" w:anchor="ntr7-L_2015113RO.01001301-E0007" w:history="1">
                    <w:r w:rsidRPr="00B91C10">
                      <w:rPr>
                        <w:rFonts w:asciiTheme="majorBidi" w:hAnsiTheme="majorBidi" w:cstheme="majorBidi"/>
                        <w:sz w:val="18"/>
                        <w:szCs w:val="18"/>
                        <w:lang w:val="it-IT"/>
                      </w:rPr>
                      <w:t> (</w:t>
                    </w:r>
                    <w:r w:rsidRPr="00B91C10">
                      <w:rPr>
                        <w:rFonts w:asciiTheme="majorBidi" w:hAnsiTheme="majorBidi" w:cstheme="majorBidi"/>
                        <w:sz w:val="18"/>
                        <w:szCs w:val="18"/>
                        <w:vertAlign w:val="superscript"/>
                        <w:lang w:val="it-IT"/>
                      </w:rPr>
                      <w:t>7</w:t>
                    </w:r>
                    <w:r w:rsidRPr="00B91C10">
                      <w:rPr>
                        <w:rFonts w:asciiTheme="majorBidi" w:hAnsiTheme="majorBidi" w:cstheme="majorBidi"/>
                        <w:sz w:val="18"/>
                        <w:szCs w:val="18"/>
                        <w:lang w:val="it-IT"/>
                      </w:rPr>
                      <w:t>)</w:t>
                    </w:r>
                  </w:hyperlink>
                  <w:r w:rsidRPr="00B91C10">
                    <w:rPr>
                      <w:rFonts w:asciiTheme="majorBidi" w:hAnsiTheme="majorBidi" w:cstheme="majorBidi"/>
                      <w:sz w:val="18"/>
                      <w:szCs w:val="18"/>
                      <w:lang w:val="it-IT"/>
                    </w:rPr>
                    <w:t>;</w:t>
                  </w:r>
                  <w:r>
                    <w:rPr>
                      <w:rFonts w:asciiTheme="majorBidi" w:hAnsiTheme="majorBidi" w:cstheme="majorBidi"/>
                      <w:sz w:val="18"/>
                      <w:szCs w:val="18"/>
                      <w:lang w:val="it-IT"/>
                    </w:rPr>
                    <w:t xml:space="preserve"> </w:t>
                  </w:r>
                </w:p>
                <w:p w:rsidR="00F02F76" w:rsidRPr="00B91C10" w:rsidRDefault="00F02F76" w:rsidP="00670674">
                  <w:pPr>
                    <w:jc w:val="both"/>
                    <w:rPr>
                      <w:rFonts w:asciiTheme="majorBidi" w:hAnsiTheme="majorBidi" w:cstheme="majorBidi"/>
                      <w:sz w:val="18"/>
                      <w:szCs w:val="18"/>
                      <w:lang w:val="it-IT"/>
                    </w:rPr>
                  </w:pPr>
                </w:p>
              </w:tc>
              <w:tc>
                <w:tcPr>
                  <w:tcW w:w="4907" w:type="dxa"/>
                  <w:shd w:val="clear" w:color="auto" w:fill="FFFFFF"/>
                </w:tcPr>
                <w:p w:rsidR="00F02F76" w:rsidRPr="00B91C10" w:rsidRDefault="00F02F76" w:rsidP="00670674">
                  <w:pPr>
                    <w:jc w:val="both"/>
                    <w:rPr>
                      <w:rFonts w:asciiTheme="majorBidi" w:hAnsiTheme="majorBidi" w:cstheme="majorBidi"/>
                      <w:sz w:val="18"/>
                      <w:szCs w:val="18"/>
                      <w:lang w:val="it-IT"/>
                    </w:rPr>
                  </w:pPr>
                </w:p>
              </w:tc>
              <w:tc>
                <w:tcPr>
                  <w:tcW w:w="4907" w:type="dxa"/>
                  <w:shd w:val="clear" w:color="auto" w:fill="FFFFFF"/>
                </w:tcPr>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B91C10" w:rsidTr="00670674">
              <w:tc>
                <w:tcPr>
                  <w:tcW w:w="27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76"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a reacționa în cazul în care sistemul operatorului este afectat de un eveniment excepțional.</w:t>
                  </w:r>
                </w:p>
              </w:tc>
            </w:tr>
          </w:tbl>
          <w:p w:rsidR="00F02F76" w:rsidRPr="00B91C10" w:rsidRDefault="00F02F76" w:rsidP="00670674">
            <w:pPr>
              <w:shd w:val="clear" w:color="auto" w:fill="FFFFFF"/>
              <w:jc w:val="both"/>
              <w:rPr>
                <w:rFonts w:asciiTheme="majorBidi" w:hAnsiTheme="majorBidi" w:cstheme="majorBidi"/>
                <w:i/>
                <w:iCs/>
                <w:sz w:val="18"/>
                <w:szCs w:val="18"/>
                <w:lang w:val="en-GB"/>
              </w:rPr>
            </w:pPr>
          </w:p>
        </w:tc>
        <w:tc>
          <w:tcPr>
            <w:tcW w:w="4820" w:type="dxa"/>
          </w:tcPr>
          <w:p w:rsidR="00F02F76" w:rsidRPr="00395347" w:rsidRDefault="00F02F76" w:rsidP="00670674">
            <w:pPr>
              <w:shd w:val="clear" w:color="auto" w:fill="FFFFFF"/>
              <w:jc w:val="center"/>
              <w:rPr>
                <w:rFonts w:asciiTheme="majorBidi" w:hAnsiTheme="majorBidi" w:cstheme="majorBidi"/>
                <w:b/>
                <w:iCs/>
                <w:sz w:val="18"/>
                <w:szCs w:val="18"/>
                <w:lang w:val="it-IT"/>
              </w:rPr>
            </w:pPr>
            <w:r w:rsidRPr="00395347">
              <w:rPr>
                <w:rFonts w:asciiTheme="majorBidi" w:hAnsiTheme="majorBidi" w:cstheme="majorBidi"/>
                <w:b/>
                <w:iCs/>
                <w:sz w:val="18"/>
                <w:szCs w:val="18"/>
                <w:lang w:val="it-IT"/>
              </w:rPr>
              <w:lastRenderedPageBreak/>
              <w:t>Secţiunea 2</w:t>
            </w:r>
          </w:p>
          <w:p w:rsidR="00F02F76" w:rsidRPr="00395347" w:rsidRDefault="00F02F76" w:rsidP="00670674">
            <w:pPr>
              <w:shd w:val="clear" w:color="auto" w:fill="FFFFFF"/>
              <w:jc w:val="center"/>
              <w:rPr>
                <w:rFonts w:asciiTheme="majorBidi" w:hAnsiTheme="majorBidi" w:cstheme="majorBidi"/>
                <w:b/>
                <w:iCs/>
                <w:sz w:val="18"/>
                <w:szCs w:val="18"/>
                <w:lang w:val="it-IT"/>
              </w:rPr>
            </w:pPr>
            <w:r w:rsidRPr="00395347">
              <w:rPr>
                <w:rFonts w:asciiTheme="majorBidi" w:hAnsiTheme="majorBidi" w:cstheme="majorBidi"/>
                <w:b/>
                <w:iCs/>
                <w:sz w:val="18"/>
                <w:szCs w:val="18"/>
                <w:lang w:val="it-IT"/>
              </w:rPr>
              <w:t>Norme privind gestionarea fluxului de gaze naturale</w:t>
            </w:r>
          </w:p>
          <w:p w:rsidR="00F02F76" w:rsidRPr="00C33F84" w:rsidRDefault="00F02F76" w:rsidP="00670674">
            <w:pPr>
              <w:tabs>
                <w:tab w:val="left" w:pos="709"/>
                <w:tab w:val="left" w:pos="993"/>
              </w:tabs>
              <w:jc w:val="both"/>
              <w:outlineLvl w:val="0"/>
              <w:rPr>
                <w:rFonts w:asciiTheme="majorBidi" w:hAnsiTheme="majorBidi" w:cstheme="majorBidi"/>
                <w:sz w:val="18"/>
                <w:szCs w:val="18"/>
                <w:lang w:val="it-IT"/>
              </w:rPr>
            </w:pPr>
            <w:r>
              <w:rPr>
                <w:rFonts w:asciiTheme="majorBidi" w:hAnsiTheme="majorBidi" w:cstheme="majorBidi"/>
                <w:sz w:val="18"/>
                <w:szCs w:val="18"/>
                <w:lang w:val="it-IT"/>
              </w:rPr>
              <w:t>66</w:t>
            </w:r>
            <w:r w:rsidRPr="00B91C10">
              <w:rPr>
                <w:rFonts w:asciiTheme="majorBidi" w:hAnsiTheme="majorBidi" w:cstheme="majorBidi"/>
                <w:sz w:val="18"/>
                <w:szCs w:val="18"/>
                <w:lang w:val="ro-RO"/>
              </w:rPr>
              <w:t>.</w:t>
            </w:r>
            <w:r>
              <w:rPr>
                <w:rFonts w:asciiTheme="majorBidi" w:hAnsiTheme="majorBidi" w:cstheme="majorBidi"/>
                <w:sz w:val="18"/>
                <w:szCs w:val="18"/>
                <w:lang w:val="ro-RO"/>
              </w:rPr>
              <w:t>Pentru</w:t>
            </w:r>
            <w:r w:rsidRPr="00B91C10">
              <w:rPr>
                <w:rFonts w:asciiTheme="majorBidi" w:hAnsiTheme="majorBidi" w:cstheme="majorBidi"/>
                <w:sz w:val="18"/>
                <w:szCs w:val="18"/>
                <w:lang w:val="ro-RO"/>
              </w:rPr>
              <w:t xml:space="preserve"> controlul fluxului de gaze naturale, OST adiacenți: </w:t>
            </w:r>
          </w:p>
          <w:p w:rsidR="00F02F76" w:rsidRDefault="00F02F76" w:rsidP="00670674">
            <w:pPr>
              <w:tabs>
                <w:tab w:val="left" w:pos="993"/>
              </w:tabs>
              <w:jc w:val="both"/>
              <w:outlineLvl w:val="0"/>
              <w:rPr>
                <w:rFonts w:asciiTheme="majorBidi" w:hAnsiTheme="majorBidi" w:cstheme="majorBidi"/>
                <w:sz w:val="18"/>
                <w:szCs w:val="18"/>
                <w:lang w:val="it-IT"/>
              </w:rPr>
            </w:pPr>
            <w:r>
              <w:rPr>
                <w:rFonts w:asciiTheme="majorBidi" w:hAnsiTheme="majorBidi" w:cstheme="majorBidi"/>
                <w:sz w:val="18"/>
                <w:szCs w:val="18"/>
                <w:lang w:val="ro-RO"/>
              </w:rPr>
              <w:t>1)</w:t>
            </w:r>
            <w:r w:rsidRPr="001628E2">
              <w:rPr>
                <w:rFonts w:asciiTheme="majorBidi" w:hAnsiTheme="majorBidi" w:cstheme="majorBidi"/>
                <w:sz w:val="18"/>
                <w:szCs w:val="18"/>
                <w:lang w:val="it-IT"/>
              </w:rPr>
              <w:t>asigură că sunt stabilite norme pentru facilitarea unui flux controlabil, precis, previzibil şi eficient de gaze naturale prin punctul de interconectare;</w:t>
            </w:r>
          </w:p>
          <w:p w:rsidR="00F02F76" w:rsidRPr="001628E2" w:rsidRDefault="00F02F76" w:rsidP="00670674">
            <w:pPr>
              <w:tabs>
                <w:tab w:val="left" w:pos="993"/>
              </w:tabs>
              <w:jc w:val="both"/>
              <w:outlineLvl w:val="0"/>
              <w:rPr>
                <w:rFonts w:asciiTheme="majorBidi" w:hAnsiTheme="majorBidi" w:cstheme="majorBidi"/>
                <w:sz w:val="18"/>
                <w:szCs w:val="18"/>
                <w:lang w:val="it-IT"/>
              </w:rPr>
            </w:pPr>
          </w:p>
          <w:p w:rsidR="00F02F76" w:rsidRPr="001628E2" w:rsidRDefault="00F02F76" w:rsidP="00670674">
            <w:pPr>
              <w:pStyle w:val="NormalWeb"/>
              <w:ind w:firstLine="0"/>
              <w:rPr>
                <w:rFonts w:asciiTheme="majorBidi" w:hAnsiTheme="majorBidi" w:cstheme="majorBidi"/>
                <w:sz w:val="18"/>
                <w:szCs w:val="18"/>
                <w:lang w:val="it-IT"/>
              </w:rPr>
            </w:pPr>
            <w:r w:rsidRPr="001628E2">
              <w:rPr>
                <w:rFonts w:asciiTheme="majorBidi" w:hAnsiTheme="majorBidi" w:cstheme="majorBidi"/>
                <w:sz w:val="18"/>
                <w:szCs w:val="18"/>
                <w:lang w:val="it-IT"/>
              </w:rPr>
              <w:t xml:space="preserve">2) asigură că sunt stabilite norme pentru direcţionarea fluxului de gaze naturale prin punctul de interconectare şi pentru reducerea la minimum a devierilor de la flux în urma procesului de concordanţă; </w:t>
            </w:r>
          </w:p>
          <w:p w:rsidR="00F02F76" w:rsidRPr="001628E2" w:rsidRDefault="00F02F76" w:rsidP="00670674">
            <w:pPr>
              <w:pStyle w:val="NormalWeb"/>
              <w:ind w:firstLine="0"/>
              <w:rPr>
                <w:rFonts w:asciiTheme="majorBidi" w:hAnsiTheme="majorBidi" w:cstheme="majorBidi"/>
                <w:sz w:val="18"/>
                <w:szCs w:val="18"/>
                <w:lang w:val="it-IT"/>
              </w:rPr>
            </w:pPr>
            <w:r w:rsidRPr="001628E2">
              <w:rPr>
                <w:rFonts w:asciiTheme="majorBidi" w:hAnsiTheme="majorBidi" w:cstheme="majorBidi"/>
                <w:sz w:val="18"/>
                <w:szCs w:val="18"/>
                <w:lang w:val="it-IT"/>
              </w:rPr>
              <w:t xml:space="preserve">3) desemnează OST responsabil de direcţionarea fluxului de gaze naturale prin punctul de interconectare. Dacă OST adiacenţi nu reuşesc să convină asupra acestei desemnări, OST care exploatează echipamentele de control al fluxului, în cooperare cu celălalt sau cu ceilalţi OST, este cel responsabil pentru direcţionarea fluxului de gaze naturale prin punctul de interconectare. </w:t>
            </w:r>
          </w:p>
          <w:p w:rsidR="00F02F76" w:rsidRPr="00C33F84" w:rsidRDefault="00F02F76" w:rsidP="00670674">
            <w:pPr>
              <w:tabs>
                <w:tab w:val="left" w:pos="709"/>
                <w:tab w:val="left" w:pos="993"/>
              </w:tabs>
              <w:jc w:val="both"/>
              <w:outlineLvl w:val="0"/>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ro-RO"/>
              </w:rPr>
            </w:pPr>
            <w:r>
              <w:rPr>
                <w:rFonts w:asciiTheme="majorBidi" w:hAnsiTheme="majorBidi" w:cstheme="majorBidi"/>
                <w:sz w:val="18"/>
                <w:szCs w:val="18"/>
                <w:lang w:val="ro-RO"/>
              </w:rPr>
              <w:t>67</w:t>
            </w:r>
            <w:r w:rsidRPr="00B91C10">
              <w:rPr>
                <w:rFonts w:asciiTheme="majorBidi" w:hAnsiTheme="majorBidi" w:cstheme="majorBidi"/>
                <w:sz w:val="18"/>
                <w:szCs w:val="18"/>
                <w:lang w:val="ro-RO"/>
              </w:rPr>
              <w:t>.Pentru a direcționa fluxul de gaze naturale, OST adiacenți decid cu privire la cantitatea și direcția fluxului de gaze naturale pentru fiecare punct de interconectare și pentru fiecare oră a zilei gaziere.</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68</w:t>
            </w:r>
            <w:r w:rsidRPr="00B91C10">
              <w:rPr>
                <w:rFonts w:asciiTheme="majorBidi" w:hAnsiTheme="majorBidi" w:cstheme="majorBidi"/>
                <w:sz w:val="18"/>
                <w:szCs w:val="18"/>
                <w:lang w:val="ro-RO"/>
              </w:rPr>
              <w:t xml:space="preserve">.OST desemnat în conformitate cu pct. </w:t>
            </w:r>
            <w:r w:rsidRPr="008C7E02">
              <w:rPr>
                <w:rFonts w:asciiTheme="majorBidi" w:hAnsiTheme="majorBidi" w:cstheme="majorBidi"/>
                <w:bCs/>
                <w:sz w:val="18"/>
                <w:szCs w:val="18"/>
                <w:lang w:val="ro-RO"/>
              </w:rPr>
              <w:t>66 subpunct 3</w:t>
            </w:r>
            <w:r w:rsidRPr="008C7E02">
              <w:rPr>
                <w:rFonts w:asciiTheme="majorBidi" w:hAnsiTheme="majorBidi" w:cstheme="majorBidi"/>
                <w:b/>
                <w:sz w:val="18"/>
                <w:szCs w:val="18"/>
                <w:lang w:val="ro-RO"/>
              </w:rPr>
              <w:t>)</w:t>
            </w:r>
            <w:r w:rsidRPr="00B91C10">
              <w:rPr>
                <w:rFonts w:asciiTheme="majorBidi" w:hAnsiTheme="majorBidi" w:cstheme="majorBidi"/>
                <w:sz w:val="18"/>
                <w:szCs w:val="18"/>
                <w:lang w:val="ro-RO"/>
              </w:rPr>
              <w:t xml:space="preserve"> este responsabil cu direcționarea fluxului de gaze naturale prin </w:t>
            </w:r>
            <w:r w:rsidRPr="00B91C10">
              <w:rPr>
                <w:rFonts w:asciiTheme="majorBidi" w:hAnsiTheme="majorBidi" w:cstheme="majorBidi"/>
                <w:sz w:val="18"/>
                <w:szCs w:val="18"/>
                <w:lang w:val="ro-RO"/>
              </w:rPr>
              <w:lastRenderedPageBreak/>
              <w:t xml:space="preserve">punctul de interconectare, cu condiția ca obligațiile contractuale privind presiunea să fie respectate de toți OST adiacenți: </w:t>
            </w:r>
          </w:p>
          <w:p w:rsidR="00F02F76" w:rsidRPr="00B91C10" w:rsidRDefault="00F02F76" w:rsidP="00670674">
            <w:pPr>
              <w:pStyle w:val="ListParagraph"/>
              <w:numPr>
                <w:ilvl w:val="0"/>
                <w:numId w:val="3"/>
              </w:numPr>
              <w:tabs>
                <w:tab w:val="left" w:pos="318"/>
                <w:tab w:val="left" w:pos="851"/>
                <w:tab w:val="left" w:pos="1276"/>
              </w:tabs>
              <w:suppressAutoHyphens w:val="0"/>
              <w:ind w:left="0" w:firstLine="34"/>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la un nivel de precizie suficient pentru a reduce la minimum diferența de direcționare; </w:t>
            </w:r>
          </w:p>
          <w:p w:rsidR="00F02F76" w:rsidRPr="00B91C10" w:rsidRDefault="00F02F76" w:rsidP="00670674">
            <w:pPr>
              <w:pStyle w:val="ListParagraph"/>
              <w:numPr>
                <w:ilvl w:val="0"/>
                <w:numId w:val="3"/>
              </w:numPr>
              <w:tabs>
                <w:tab w:val="left" w:pos="318"/>
                <w:tab w:val="left" w:pos="851"/>
                <w:tab w:val="left" w:pos="1276"/>
              </w:tabs>
              <w:suppressAutoHyphens w:val="0"/>
              <w:ind w:left="0" w:firstLine="34"/>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la un nivel de stabilitate conform cu utilizarea eficientă a rețelelor de transport al gazelor naturale. </w:t>
            </w:r>
          </w:p>
          <w:p w:rsidR="00F02F76" w:rsidRDefault="00F02F76" w:rsidP="00670674">
            <w:pPr>
              <w:tabs>
                <w:tab w:val="left" w:pos="318"/>
                <w:tab w:val="left" w:pos="993"/>
                <w:tab w:val="left" w:pos="1276"/>
              </w:tabs>
              <w:jc w:val="both"/>
              <w:outlineLvl w:val="0"/>
              <w:rPr>
                <w:rFonts w:asciiTheme="majorBidi" w:hAnsiTheme="majorBidi" w:cstheme="majorBidi"/>
                <w:sz w:val="18"/>
                <w:szCs w:val="18"/>
                <w:lang w:val="ro-RO"/>
              </w:rPr>
            </w:pPr>
          </w:p>
          <w:p w:rsidR="00F02F76" w:rsidRDefault="00F02F76" w:rsidP="00670674">
            <w:pPr>
              <w:tabs>
                <w:tab w:val="left" w:pos="318"/>
                <w:tab w:val="left" w:pos="993"/>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318"/>
                <w:tab w:val="left" w:pos="993"/>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9</w:t>
            </w:r>
            <w:r w:rsidRPr="00B91C10">
              <w:rPr>
                <w:rFonts w:asciiTheme="majorBidi" w:hAnsiTheme="majorBidi" w:cstheme="majorBidi"/>
                <w:sz w:val="18"/>
                <w:szCs w:val="18"/>
                <w:lang w:val="ro-RO"/>
              </w:rPr>
              <w:t>.Cantitatea</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și direcția fluxului de gaze naturale stabilite de către OST adiacenți reflectă:</w:t>
            </w:r>
          </w:p>
          <w:p w:rsidR="00F02F76" w:rsidRPr="00B91C10" w:rsidRDefault="00F02F76" w:rsidP="00670674">
            <w:pPr>
              <w:pStyle w:val="ListParagraph"/>
              <w:numPr>
                <w:ilvl w:val="0"/>
                <w:numId w:val="4"/>
              </w:numPr>
              <w:tabs>
                <w:tab w:val="left" w:pos="318"/>
                <w:tab w:val="left" w:pos="851"/>
                <w:tab w:val="left" w:pos="993"/>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rezultatul procesului de concordanță; </w:t>
            </w:r>
          </w:p>
          <w:p w:rsidR="00F02F76" w:rsidRPr="00B91C10" w:rsidRDefault="00F02F76" w:rsidP="00670674">
            <w:pPr>
              <w:pStyle w:val="ListParagraph"/>
              <w:numPr>
                <w:ilvl w:val="0"/>
                <w:numId w:val="4"/>
              </w:numPr>
              <w:tabs>
                <w:tab w:val="left" w:pos="318"/>
                <w:tab w:val="left" w:pos="851"/>
                <w:tab w:val="left" w:pos="993"/>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corecția contului de echilibrare operațională; </w:t>
            </w:r>
          </w:p>
          <w:p w:rsidR="00F02F76" w:rsidRPr="00B91C10" w:rsidRDefault="00F02F76" w:rsidP="00670674">
            <w:pPr>
              <w:pStyle w:val="ListParagraph"/>
              <w:numPr>
                <w:ilvl w:val="0"/>
                <w:numId w:val="4"/>
              </w:numPr>
              <w:tabs>
                <w:tab w:val="left" w:pos="318"/>
                <w:tab w:val="left" w:pos="993"/>
                <w:tab w:val="left" w:pos="1276"/>
              </w:tabs>
              <w:suppressAutoHyphens w:val="0"/>
              <w:ind w:left="34"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orice măsuri eficiente de control al fluxului convenite de OST adiacenți în scopuri precum sporirea, diminuarea, fluxul minim, divizarea fluxului la punctul de interconectare virtual, dacă există, și/sau schimbarea direcției fluxului sau eficiența costurilor de exploatare; </w:t>
            </w:r>
          </w:p>
          <w:p w:rsidR="00F02F76" w:rsidRPr="00B91C10" w:rsidRDefault="00F02F76" w:rsidP="00670674">
            <w:pPr>
              <w:pStyle w:val="ListParagraph"/>
              <w:tabs>
                <w:tab w:val="left" w:pos="318"/>
                <w:tab w:val="left" w:pos="993"/>
                <w:tab w:val="left" w:pos="1276"/>
              </w:tabs>
              <w:suppressAutoHyphens w:val="0"/>
              <w:ind w:left="34"/>
              <w:jc w:val="both"/>
              <w:rPr>
                <w:rFonts w:asciiTheme="majorBidi" w:hAnsiTheme="majorBidi" w:cstheme="majorBidi"/>
                <w:sz w:val="18"/>
                <w:szCs w:val="18"/>
                <w:lang w:val="ro-RO"/>
              </w:rPr>
            </w:pPr>
          </w:p>
          <w:p w:rsidR="00F02F76" w:rsidRPr="00C33F84" w:rsidRDefault="00F02F76" w:rsidP="00670674">
            <w:pPr>
              <w:pStyle w:val="ListParagraph"/>
              <w:numPr>
                <w:ilvl w:val="0"/>
                <w:numId w:val="4"/>
              </w:numPr>
              <w:tabs>
                <w:tab w:val="left" w:pos="318"/>
                <w:tab w:val="left" w:pos="851"/>
                <w:tab w:val="left" w:pos="993"/>
                <w:tab w:val="left" w:pos="1276"/>
              </w:tabs>
              <w:ind w:left="0" w:firstLine="0"/>
              <w:jc w:val="both"/>
              <w:rPr>
                <w:rFonts w:asciiTheme="majorBidi" w:hAnsiTheme="majorBidi" w:cstheme="majorBidi"/>
                <w:b/>
                <w:sz w:val="18"/>
                <w:szCs w:val="18"/>
                <w:highlight w:val="lightGray"/>
                <w:lang w:val="ro-RO"/>
              </w:rPr>
            </w:pPr>
            <w:r w:rsidRPr="00C33F84">
              <w:rPr>
                <w:rFonts w:asciiTheme="majorBidi" w:hAnsiTheme="majorBidi" w:cstheme="majorBidi"/>
                <w:sz w:val="18"/>
                <w:szCs w:val="18"/>
                <w:lang w:val="ro-RO"/>
              </w:rPr>
              <w:t xml:space="preserve">orice măsură care gestionează restricțiile comerciale transfrontaliere datorate diferențelor de calitate ale gazelor naturale, în conformitate cu </w:t>
            </w:r>
            <w:r w:rsidRPr="008C7E02">
              <w:rPr>
                <w:rFonts w:asciiTheme="majorBidi" w:hAnsiTheme="majorBidi" w:cstheme="majorBidi"/>
                <w:bCs/>
                <w:sz w:val="18"/>
                <w:szCs w:val="18"/>
                <w:lang w:val="ro-RO"/>
              </w:rPr>
              <w:t>pct. 98-99, și/sau practicilor de odorizare, în conformitate cu pct. 106-108</w:t>
            </w:r>
            <w:r w:rsidRPr="008C7E02">
              <w:rPr>
                <w:rFonts w:asciiTheme="majorBidi" w:hAnsiTheme="majorBidi" w:cstheme="majorBidi"/>
                <w:b/>
                <w:sz w:val="18"/>
                <w:szCs w:val="18"/>
                <w:lang w:val="ro-RO"/>
              </w:rPr>
              <w:t>.</w:t>
            </w:r>
          </w:p>
          <w:p w:rsidR="00F02F76" w:rsidRPr="00B91C10" w:rsidRDefault="00F02F76" w:rsidP="00670674">
            <w:pPr>
              <w:tabs>
                <w:tab w:val="left" w:pos="318"/>
                <w:tab w:val="left" w:pos="993"/>
              </w:tabs>
              <w:ind w:firstLine="34"/>
              <w:jc w:val="both"/>
              <w:outlineLvl w:val="0"/>
              <w:rPr>
                <w:rFonts w:asciiTheme="majorBidi" w:hAnsiTheme="majorBidi" w:cstheme="majorBidi"/>
                <w:sz w:val="18"/>
                <w:szCs w:val="18"/>
                <w:lang w:val="ro-RO"/>
              </w:rPr>
            </w:pPr>
          </w:p>
          <w:p w:rsidR="00F02F76" w:rsidRPr="00B91C10" w:rsidRDefault="00F02F76" w:rsidP="00670674">
            <w:pPr>
              <w:tabs>
                <w:tab w:val="left" w:pos="318"/>
                <w:tab w:val="left" w:pos="993"/>
              </w:tabs>
              <w:ind w:firstLine="34"/>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.Un OST poate decide să modifice cantitatea de gaze naturale sau direcția fluxului de gaze naturale sau ambele, dacă acest lucru este necesar, pentru: </w:t>
            </w:r>
          </w:p>
          <w:p w:rsidR="00F02F76" w:rsidRPr="00B91C10" w:rsidRDefault="00F02F76" w:rsidP="00670674">
            <w:pPr>
              <w:pStyle w:val="ListParagraph"/>
              <w:numPr>
                <w:ilvl w:val="0"/>
                <w:numId w:val="5"/>
              </w:numPr>
              <w:tabs>
                <w:tab w:val="left" w:pos="318"/>
                <w:tab w:val="left" w:pos="993"/>
                <w:tab w:val="left" w:pos="1276"/>
              </w:tabs>
              <w:suppressAutoHyphens w:val="0"/>
              <w:ind w:left="0" w:firstLine="34"/>
              <w:jc w:val="both"/>
              <w:rPr>
                <w:rFonts w:asciiTheme="majorBidi" w:hAnsiTheme="majorBidi" w:cstheme="majorBidi"/>
                <w:sz w:val="18"/>
                <w:szCs w:val="18"/>
                <w:lang w:val="ro-RO"/>
              </w:rPr>
            </w:pPr>
            <w:r w:rsidRPr="00C33F84">
              <w:rPr>
                <w:rFonts w:asciiTheme="majorBidi" w:hAnsiTheme="majorBidi" w:cstheme="majorBidi"/>
                <w:sz w:val="18"/>
                <w:szCs w:val="18"/>
                <w:lang w:val="ro-RO"/>
              </w:rPr>
              <w:t xml:space="preserve"> a respecta dispoziţiile stabilite în legislaţia naţională (Regulamentul privind situaţiile excepţionale pe piaţa gazelor naturale, Planul de acţiuni pentru situaţii excepţionale pe piaţa gazelor naturale, aprobate prin </w:t>
            </w:r>
            <w:hyperlink r:id="rId12" w:history="1">
              <w:r w:rsidRPr="00C33F84">
                <w:rPr>
                  <w:rStyle w:val="Hyperlink"/>
                  <w:rFonts w:asciiTheme="majorBidi" w:hAnsiTheme="majorBidi" w:cstheme="majorBidi"/>
                  <w:sz w:val="18"/>
                  <w:szCs w:val="18"/>
                  <w:lang w:val="ro-RO"/>
                </w:rPr>
                <w:t>Hotărârea Guvernului nr.207 din 3 aprilie 2019</w:t>
              </w:r>
            </w:hyperlink>
            <w:r w:rsidRPr="00C33F84">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5"/>
              </w:numPr>
              <w:tabs>
                <w:tab w:val="left" w:pos="318"/>
                <w:tab w:val="left" w:pos="993"/>
                <w:tab w:val="left" w:pos="1276"/>
              </w:tabs>
              <w:suppressAutoHyphens w:val="0"/>
              <w:ind w:left="0" w:firstLine="34"/>
              <w:jc w:val="both"/>
              <w:rPr>
                <w:rFonts w:asciiTheme="majorBidi" w:hAnsiTheme="majorBidi" w:cstheme="majorBidi"/>
                <w:b/>
                <w:sz w:val="18"/>
                <w:szCs w:val="18"/>
                <w:lang w:val="ro-RO"/>
              </w:rPr>
            </w:pPr>
            <w:r w:rsidRPr="00B91C10">
              <w:rPr>
                <w:rFonts w:asciiTheme="majorBidi" w:hAnsiTheme="majorBidi" w:cstheme="majorBidi"/>
                <w:sz w:val="18"/>
                <w:szCs w:val="18"/>
                <w:lang w:val="ro-RO"/>
              </w:rPr>
              <w:t>a respecta cerințele stabilite în planurile de urgență și în planurile de acțiune preventiv elaborate în conformitate cu legislația Comunității Energetice aplicată privind securitatea și aprovizionarea cu gaze naturale;</w:t>
            </w:r>
            <w:r w:rsidRPr="00B91C10">
              <w:rPr>
                <w:rFonts w:asciiTheme="majorBidi" w:hAnsiTheme="majorBidi" w:cstheme="majorBidi"/>
                <w:b/>
                <w:sz w:val="18"/>
                <w:szCs w:val="18"/>
                <w:lang w:val="ro-RO"/>
              </w:rPr>
              <w:t xml:space="preserve"> </w:t>
            </w:r>
          </w:p>
          <w:p w:rsidR="00F02F76" w:rsidRPr="00395347" w:rsidRDefault="00F02F76" w:rsidP="00670674">
            <w:pPr>
              <w:pStyle w:val="ListParagraph"/>
              <w:numPr>
                <w:ilvl w:val="0"/>
                <w:numId w:val="5"/>
              </w:numPr>
              <w:tabs>
                <w:tab w:val="left" w:pos="318"/>
                <w:tab w:val="left" w:pos="993"/>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 reacționa în cazul în care rețeaua de gaze naturale a operatorului de sistem este afectată de un eveniment excepțional. </w:t>
            </w: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b/>
                <w:sz w:val="18"/>
                <w:szCs w:val="18"/>
                <w:lang w:val="it-IT"/>
              </w:rPr>
            </w:pPr>
          </w:p>
        </w:tc>
        <w:tc>
          <w:tcPr>
            <w:tcW w:w="4253" w:type="dxa"/>
          </w:tcPr>
          <w:p w:rsidR="00F02F76" w:rsidRPr="00395347" w:rsidRDefault="00F02F76" w:rsidP="00670674">
            <w:pPr>
              <w:jc w:val="center"/>
              <w:rPr>
                <w:rFonts w:asciiTheme="majorBidi" w:hAnsiTheme="majorBidi" w:cstheme="majorBidi"/>
                <w:b/>
                <w:sz w:val="18"/>
                <w:szCs w:val="18"/>
              </w:rPr>
            </w:pPr>
            <w:r w:rsidRPr="00395347">
              <w:rPr>
                <w:rFonts w:asciiTheme="majorBidi" w:hAnsiTheme="majorBidi" w:cstheme="majorBidi"/>
                <w:b/>
                <w:sz w:val="18"/>
                <w:szCs w:val="18"/>
              </w:rPr>
              <w:lastRenderedPageBreak/>
              <w:t>Article 6</w:t>
            </w:r>
          </w:p>
          <w:p w:rsidR="00F02F76" w:rsidRPr="00395347" w:rsidRDefault="00F02F76" w:rsidP="00670674">
            <w:pPr>
              <w:jc w:val="center"/>
              <w:rPr>
                <w:rFonts w:asciiTheme="majorBidi" w:hAnsiTheme="majorBidi" w:cstheme="majorBidi"/>
                <w:b/>
                <w:bCs/>
                <w:sz w:val="18"/>
                <w:szCs w:val="18"/>
              </w:rPr>
            </w:pPr>
            <w:r w:rsidRPr="00395347">
              <w:rPr>
                <w:rFonts w:asciiTheme="majorBidi" w:hAnsiTheme="majorBidi" w:cstheme="majorBidi"/>
                <w:b/>
                <w:bCs/>
                <w:sz w:val="18"/>
                <w:szCs w:val="18"/>
              </w:rPr>
              <w:t>Rules for flow contro</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In respect of flow control, the adjacent transmission system operators shall: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ensure that rules are established in order to facilitate a controllable, accurate, predictable and efficient gas flow across the interconnection point;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ensure that rules are established for steering the gas flow across the interconnection point and for minimising the deviations from the flow pursuant to the matching process;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designate the transmission system operator who is responsible for steering the gas flow across the interconnection point. If the adjacent transmission system operators fail to agree on this designation, the transmission system operator that operates the flow control equipment shall, in cooperation with the other transmission system operator(s), be responsible for steering the gas flow across the interconnection point.</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In order to steer the gas flow, the adjacent transmission system operators shall decide on the quantity and direction of the gas flow for each interconnection point and for each hour of the gas day.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The transmission system operator designated pursuant to point (c) of paragraph 1 shall be responsible for steering </w:t>
            </w:r>
            <w:r w:rsidRPr="00B91C10">
              <w:rPr>
                <w:rFonts w:asciiTheme="majorBidi" w:hAnsiTheme="majorBidi" w:cstheme="majorBidi"/>
                <w:sz w:val="18"/>
                <w:szCs w:val="18"/>
              </w:rPr>
              <w:lastRenderedPageBreak/>
              <w:t>the gas flow across the interconnection point provided that contractual obligations regarding pressure are complied with by all adjacent transmission system operators: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at a level of accuracy sufficient to minimise the steering difference; and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at a level of stability in line with the efficient use of the gas transmission networks. </w:t>
            </w:r>
          </w:p>
          <w:p w:rsidR="00F02F76" w:rsidRDefault="00F02F76" w:rsidP="00670674">
            <w:pPr>
              <w:jc w:val="both"/>
              <w:rPr>
                <w:rFonts w:asciiTheme="majorBidi" w:hAnsiTheme="majorBidi" w:cstheme="majorBidi"/>
                <w:sz w:val="18"/>
                <w:szCs w:val="18"/>
              </w:rPr>
            </w:pPr>
            <w:r>
              <w:rPr>
                <w:rFonts w:asciiTheme="majorBidi" w:hAnsiTheme="majorBidi" w:cstheme="majorBidi"/>
                <w:sz w:val="18"/>
                <w:szCs w:val="18"/>
              </w:rPr>
              <w:t>3.</w:t>
            </w:r>
            <w:r w:rsidRPr="00B91C10">
              <w:rPr>
                <w:rFonts w:asciiTheme="majorBidi" w:hAnsiTheme="majorBidi" w:cstheme="majorBidi"/>
                <w:sz w:val="18"/>
                <w:szCs w:val="18"/>
              </w:rPr>
              <w:t xml:space="preserve"> The quantity and direction of the gas flow decided by the adjacent transmission system operators shall reflect: (a) the result of the matching process;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the operational balancing account correction;</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any efficient flow control arrangements between the adjacent transmission system operators for purposes such as ramp-up, ramp-down, minimum flow, split of the flow at the virtual interconnection point if any, and/or switch of flow direction or operational cost efficiency;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any arrangement managing cross-border trade restrictions due to gas quality differences pursuant to Article 15 and/or odourisation practices pursuant to Article 19.</w:t>
            </w:r>
          </w:p>
          <w:p w:rsidR="00F02F76" w:rsidRDefault="00F02F76" w:rsidP="00670674">
            <w:pPr>
              <w:jc w:val="both"/>
              <w:rPr>
                <w:rFonts w:asciiTheme="majorBidi" w:hAnsiTheme="majorBidi" w:cstheme="majorBidi"/>
                <w:sz w:val="18"/>
                <w:szCs w:val="18"/>
              </w:rPr>
            </w:pPr>
            <w:r>
              <w:rPr>
                <w:rFonts w:asciiTheme="majorBidi" w:hAnsiTheme="majorBidi" w:cstheme="majorBidi"/>
                <w:sz w:val="18"/>
                <w:szCs w:val="18"/>
              </w:rPr>
              <w:t>4.</w:t>
            </w:r>
            <w:r w:rsidRPr="00B91C10">
              <w:rPr>
                <w:rFonts w:asciiTheme="majorBidi" w:hAnsiTheme="majorBidi" w:cstheme="majorBidi"/>
                <w:sz w:val="18"/>
                <w:szCs w:val="18"/>
              </w:rPr>
              <w:t xml:space="preserve">A transmission system operator may decide to alter the quantity of gas or the gas flow direction or both, if this is needed, in order to: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(a) comply with provisions laid down in national or Union safety legislation applicable to the interconnection point; (b) comply with requirements laid down in Emergency Plans and Preventive Action Plans developed in accordance with applicable Energy Community legislation on security of gas supply; (c) react in case the operator’s system is affected by an exceptional event.</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Articolul 7</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Principii de măsurare a cantității și a calității gazului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principiile de măsurare a volumului, a energiei și a calității gazului, operatorii de sisteme de transport adiacenți se asigură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54"/>
              <w:gridCol w:w="4875"/>
            </w:tblGrid>
            <w:tr w:rsidR="00F02F76" w:rsidRPr="00C27D66" w:rsidTr="00670674">
              <w:tc>
                <w:tcPr>
                  <w:tcW w:w="2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8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detaliile privind standardele de măsurare aplicabile la punctul de interconectare sunt stabilite;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operatorul de sistem de transport responsabil de instalarea, exploatarea și întreținerea echipamentului de măsurare este identificat. Acest operator are obligația de a pune la dispoziția </w:t>
                  </w:r>
                  <w:r w:rsidRPr="00B91C10">
                    <w:rPr>
                      <w:rFonts w:asciiTheme="majorBidi" w:hAnsiTheme="majorBidi" w:cstheme="majorBidi"/>
                      <w:sz w:val="18"/>
                      <w:szCs w:val="18"/>
                      <w:lang w:val="it-IT"/>
                    </w:rPr>
                    <w:lastRenderedPageBreak/>
                    <w:t>celuilalt sau celorlalți operatori de sisteme de transport adiacenți, la timp și cu o frecvență specificată, toate informațiile și datele referitoare la măsurarea fluxurilor de gaz la punctul de interconectare.</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(2)   Instalarea, exploatarea și întreținerea echipamentului de măsurare la un punct de interconectare țin seama de cerințele tehnice impuse de reglementările naționale operatorilor de sisteme de transport adiacenți.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Operatorii de sisteme de transport adiacenți convin asupra principiilor de măsurare, care trebuie să includă cel puțin: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stației de măsurare, inclusiv echipamentele de măsurare și de analiză care urmează să fie folosite și detalii privind orice echipament secundar care ar putea fi folosit în caz de defecțiune;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parametrii de calitate a gazului și volumul și energia care se măsoară, precum și intervalul și marja maximă de eroare sau de incertitudine admisă cu care funcționează echipamentul de măsurare, frecvența măsurătorilor, unitățile de măsură folosite și standardele în conformitate cu care se realizează măsurătoarea, precum și orice factori de conversie utilizați;</w:t>
                  </w:r>
                </w:p>
                <w:p w:rsidR="00F02F76" w:rsidRDefault="00F02F76" w:rsidP="00670674">
                  <w:pPr>
                    <w:jc w:val="both"/>
                    <w:rPr>
                      <w:rFonts w:asciiTheme="majorBidi" w:hAnsiTheme="majorBidi" w:cstheme="majorBidi"/>
                      <w:sz w:val="18"/>
                      <w:szCs w:val="18"/>
                      <w:lang w:val="en-GB"/>
                    </w:rPr>
                  </w:pP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2"/>
              <w:gridCol w:w="4867"/>
            </w:tblGrid>
            <w:tr w:rsidR="00F02F76" w:rsidRPr="00C27D66" w:rsidTr="00670674">
              <w:tc>
                <w:tcPr>
                  <w:tcW w:w="28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7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procedurile și metodele utilizate pentru a calcula parametrii care nu sunt măsurați direct;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metodei de calcul în ceea ce privește eroarea sau incertitudinea maximă admisă la determinarea energiei transportate;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7"/>
              <w:gridCol w:w="4852"/>
            </w:tblGrid>
            <w:tr w:rsidR="00F02F76" w:rsidRPr="00C27D66" w:rsidTr="00670674">
              <w:tc>
                <w:tcPr>
                  <w:tcW w:w="31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041"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procesului de validare a datelor utilizat pentru parametrii măsurați;</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măsurile de validare a măsurătorii și de asigurare a calității, inclusiv procedurile de verificare și de ajustare care urmează să fie convenite între operatorii de sisteme de transport adiacenți;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modul, inclusiv frecvența și conținutul, în care se pun la dispoziție datele în rândul operatorilor de sisteme de transport adiacenți în ceea ce privește parametrii măsurați;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(h)</w:t>
                  </w:r>
                </w:p>
              </w:tc>
              <w:tc>
                <w:tcPr>
                  <w:tcW w:w="914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lista specifică a semnalelor și alarmelor care trebuie transmise de operatorul sau operatorii de sisteme de transport adiacenți care exploatează echipamentele de măsurare către celălalt sau ceilalți operatori de sisteme de transport adiacenți;</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B91C10"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8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it-IT"/>
                    </w:rPr>
                    <w:t xml:space="preserve">metoda de determinare a unei corecții pentru o măsurătoare și procedurile ulterioare care ar putea fi necesare într-o situație temporară în care se constată că echipamentul de măsurare realizează sau a realizat înregistrări eronate (fie mai puțin, fie mai mult față de </w:t>
                  </w:r>
                  <w:r w:rsidRPr="00B91C10">
                    <w:rPr>
                      <w:rFonts w:asciiTheme="majorBidi" w:hAnsiTheme="majorBidi" w:cstheme="majorBidi"/>
                      <w:sz w:val="18"/>
                      <w:szCs w:val="18"/>
                      <w:lang w:val="it-IT"/>
                    </w:rPr>
                    <w:lastRenderedPageBreak/>
                    <w:t xml:space="preserve">intervalul său de incertitudine definit). </w:t>
                  </w:r>
                  <w:r w:rsidRPr="00B91C10">
                    <w:rPr>
                      <w:rFonts w:asciiTheme="majorBidi" w:hAnsiTheme="majorBidi" w:cstheme="majorBidi"/>
                      <w:sz w:val="18"/>
                      <w:szCs w:val="18"/>
                      <w:lang w:val="en-GB"/>
                    </w:rPr>
                    <w:t>Operatorul de sistem de transport respectiv ia măsuri corespunzătoare pentru a pune capăt acestei situații;</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7"/>
              <w:gridCol w:w="4922"/>
            </w:tblGrid>
            <w:tr w:rsidR="00F02F76" w:rsidRPr="00C27D66" w:rsidTr="00670674">
              <w:tc>
                <w:tcPr>
                  <w:tcW w:w="182" w:type="dxa"/>
                  <w:shd w:val="clear" w:color="auto" w:fill="FFFFFF"/>
                  <w:hideMark/>
                </w:tcPr>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(j</w:t>
                  </w:r>
                </w:p>
              </w:tc>
              <w:tc>
                <w:tcPr>
                  <w:tcW w:w="917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care se aplică între operatorii de sisteme de transport adiacenți în cazul defectării echipamentului de măsurare;</w:t>
                  </w:r>
                </w:p>
              </w:tc>
            </w:tr>
            <w:tr w:rsidR="00F02F76" w:rsidRPr="00C27D66" w:rsidTr="00670674">
              <w:tc>
                <w:tcPr>
                  <w:tcW w:w="182" w:type="dxa"/>
                  <w:shd w:val="clear" w:color="auto" w:fill="FFFFFF"/>
                </w:tcPr>
                <w:p w:rsidR="00F02F76" w:rsidRPr="00167092" w:rsidRDefault="00F02F76" w:rsidP="00670674">
                  <w:pPr>
                    <w:jc w:val="both"/>
                    <w:rPr>
                      <w:rFonts w:asciiTheme="majorBidi" w:hAnsiTheme="majorBidi" w:cstheme="majorBidi"/>
                      <w:sz w:val="18"/>
                      <w:szCs w:val="18"/>
                      <w:lang w:val="it-IT"/>
                    </w:rPr>
                  </w:pPr>
                </w:p>
              </w:tc>
              <w:tc>
                <w:tcPr>
                  <w:tcW w:w="9173" w:type="dxa"/>
                  <w:shd w:val="clear" w:color="auto" w:fill="FFFFFF"/>
                </w:tcPr>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(k)</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care se aplică între operatorii de sisteme de transport adiacenți în ceea ce privește:</w:t>
                  </w:r>
                </w:p>
                <w:tbl>
                  <w:tblPr>
                    <w:tblW w:w="5000" w:type="pct"/>
                    <w:tblLayout w:type="fixed"/>
                    <w:tblCellMar>
                      <w:left w:w="0" w:type="dxa"/>
                      <w:right w:w="0" w:type="dxa"/>
                    </w:tblCellMar>
                    <w:tblLook w:val="04A0" w:firstRow="1" w:lastRow="0" w:firstColumn="1" w:lastColumn="0" w:noHBand="0" w:noVBand="1"/>
                  </w:tblPr>
                  <w:tblGrid>
                    <w:gridCol w:w="342"/>
                    <w:gridCol w:w="4645"/>
                  </w:tblGrid>
                  <w:tr w:rsidR="00F02F76" w:rsidRPr="00C27D66" w:rsidTr="00670674">
                    <w:tc>
                      <w:tcPr>
                        <w:tcW w:w="62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67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accesul la instalația de măsurare;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95"/>
                    <w:gridCol w:w="4692"/>
                  </w:tblGrid>
                  <w:tr w:rsidR="00F02F76" w:rsidRPr="00C27D66" w:rsidTr="00670674">
                    <w:tc>
                      <w:tcPr>
                        <w:tcW w:w="5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875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verificări suplimentare ale instalației de măsurare;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481"/>
                    <w:gridCol w:w="4506"/>
                  </w:tblGrid>
                  <w:tr w:rsidR="00F02F76" w:rsidRPr="00B91C10" w:rsidTr="00670674">
                    <w:tc>
                      <w:tcPr>
                        <w:tcW w:w="88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41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modificarea instalației de măsurare;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18"/>
                    <w:gridCol w:w="4769"/>
                  </w:tblGrid>
                  <w:tr w:rsidR="00F02F76" w:rsidRPr="00C27D66" w:rsidTr="00670674">
                    <w:tc>
                      <w:tcPr>
                        <w:tcW w:w="39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w:t>
                        </w:r>
                      </w:p>
                    </w:tc>
                    <w:tc>
                      <w:tcPr>
                        <w:tcW w:w="8902"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prezența în timpul lucrărilor de calibrare și de întreținere a instalației de măsurare.</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Dacă operatorii de sisteme de transport adiacenți nu își respectă obligațiile prevăzute la alineatele (1) și (3):</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operatorul de sistem de transport care deține controlul echipamentului de măsurare este responsabil cu instalarea, exploatarea și întreținerea acestui echipament și cu punerea la dispoziția celuilalt operator de sistem de transport, în timp util, a datelor privind măsurarea fluxului de gaz la punctul de interconectare;</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se aplică standardul european EN1776 „Alimentare cu gaz. Stații de măsurare gaze naturale. </w:t>
                  </w:r>
                  <w:r w:rsidRPr="00B91C10">
                    <w:rPr>
                      <w:rFonts w:asciiTheme="majorBidi" w:hAnsiTheme="majorBidi" w:cstheme="majorBidi"/>
                      <w:sz w:val="18"/>
                      <w:szCs w:val="18"/>
                    </w:rPr>
                    <w:t>Prescripții funcționale”, în versiunea aplicabilă în momentul respectiv.</w:t>
                  </w:r>
                </w:p>
              </w:tc>
            </w:tr>
          </w:tbl>
          <w:p w:rsidR="00F02F76" w:rsidRPr="00B91C10" w:rsidRDefault="00F02F76" w:rsidP="00670674">
            <w:pPr>
              <w:shd w:val="clear" w:color="auto" w:fill="FFFFFF"/>
              <w:jc w:val="both"/>
              <w:rPr>
                <w:rFonts w:asciiTheme="majorBidi" w:hAnsiTheme="majorBidi" w:cstheme="majorBidi"/>
                <w:i/>
                <w:iCs/>
                <w:sz w:val="18"/>
                <w:szCs w:val="18"/>
                <w:lang w:val="en-GB"/>
              </w:rPr>
            </w:pPr>
          </w:p>
        </w:tc>
        <w:tc>
          <w:tcPr>
            <w:tcW w:w="4820" w:type="dxa"/>
          </w:tcPr>
          <w:p w:rsidR="00F02F76" w:rsidRPr="00395347" w:rsidRDefault="00F02F76" w:rsidP="00670674">
            <w:pPr>
              <w:shd w:val="clear" w:color="auto" w:fill="FFFFFF"/>
              <w:jc w:val="center"/>
              <w:rPr>
                <w:rFonts w:asciiTheme="majorBidi" w:hAnsiTheme="majorBidi" w:cstheme="majorBidi"/>
                <w:b/>
                <w:bCs/>
                <w:sz w:val="18"/>
                <w:szCs w:val="18"/>
                <w:lang w:val="it-IT"/>
              </w:rPr>
            </w:pPr>
            <w:r w:rsidRPr="00395347">
              <w:rPr>
                <w:rFonts w:asciiTheme="majorBidi" w:hAnsiTheme="majorBidi" w:cstheme="majorBidi"/>
                <w:b/>
                <w:bCs/>
                <w:sz w:val="18"/>
                <w:szCs w:val="18"/>
                <w:lang w:val="it-IT"/>
              </w:rPr>
              <w:lastRenderedPageBreak/>
              <w:t>Secţiunea 3</w:t>
            </w:r>
          </w:p>
          <w:p w:rsidR="00F02F76" w:rsidRPr="00395347" w:rsidRDefault="00F02F76" w:rsidP="00670674">
            <w:pPr>
              <w:shd w:val="clear" w:color="auto" w:fill="FFFFFF"/>
              <w:jc w:val="center"/>
              <w:rPr>
                <w:rFonts w:asciiTheme="majorBidi" w:hAnsiTheme="majorBidi" w:cstheme="majorBidi"/>
                <w:b/>
                <w:bCs/>
                <w:sz w:val="18"/>
                <w:szCs w:val="18"/>
                <w:lang w:val="it-IT"/>
              </w:rPr>
            </w:pPr>
            <w:r w:rsidRPr="00395347">
              <w:rPr>
                <w:rFonts w:asciiTheme="majorBidi" w:hAnsiTheme="majorBidi" w:cstheme="majorBidi"/>
                <w:b/>
                <w:bCs/>
                <w:sz w:val="18"/>
                <w:szCs w:val="18"/>
                <w:lang w:val="it-IT"/>
              </w:rPr>
              <w:t>Principii de măsurare a cantităţii şi determinării calităţii gazelor naturale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1</w:t>
            </w:r>
            <w:r w:rsidRPr="00B91C10">
              <w:rPr>
                <w:rFonts w:asciiTheme="majorBidi" w:hAnsiTheme="majorBidi" w:cstheme="majorBidi"/>
                <w:sz w:val="18"/>
                <w:szCs w:val="18"/>
                <w:lang w:val="ro-RO"/>
              </w:rPr>
              <w:t>.</w:t>
            </w:r>
            <w:r>
              <w:rPr>
                <w:rFonts w:asciiTheme="majorBidi" w:hAnsiTheme="majorBidi" w:cstheme="majorBidi"/>
                <w:sz w:val="18"/>
                <w:szCs w:val="18"/>
                <w:lang w:val="ro-RO"/>
              </w:rPr>
              <w:t>Referitor la</w:t>
            </w:r>
            <w:r w:rsidRPr="00B91C10">
              <w:rPr>
                <w:rFonts w:asciiTheme="majorBidi" w:hAnsiTheme="majorBidi" w:cstheme="majorBidi"/>
                <w:sz w:val="18"/>
                <w:szCs w:val="18"/>
                <w:lang w:val="ro-RO"/>
              </w:rPr>
              <w:t xml:space="preserve"> principiile de măsurare a cantității și calității gazelor naturale, OST adiacenți se asigură că: </w:t>
            </w:r>
          </w:p>
          <w:p w:rsidR="00F02F76" w:rsidRPr="00B91C10" w:rsidRDefault="00F02F76" w:rsidP="00670674">
            <w:pPr>
              <w:pStyle w:val="ListParagraph"/>
              <w:numPr>
                <w:ilvl w:val="0"/>
                <w:numId w:val="6"/>
              </w:numPr>
              <w:tabs>
                <w:tab w:val="left" w:pos="318"/>
                <w:tab w:val="left" w:pos="1276"/>
              </w:tabs>
              <w:suppressAutoHyphens w:val="0"/>
              <w:ind w:left="34"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detaliile privind standardele de măsurare aplicabile la punctul de interconectare sunt stabilite; </w:t>
            </w:r>
          </w:p>
          <w:p w:rsidR="00F02F76" w:rsidRPr="00395347" w:rsidRDefault="00F02F76" w:rsidP="00670674">
            <w:pPr>
              <w:pStyle w:val="ListParagraph"/>
              <w:numPr>
                <w:ilvl w:val="0"/>
                <w:numId w:val="6"/>
              </w:numPr>
              <w:tabs>
                <w:tab w:val="left" w:pos="318"/>
                <w:tab w:val="left" w:pos="1276"/>
              </w:tabs>
              <w:suppressAutoHyphens w:val="0"/>
              <w:ind w:left="34"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OST responsabil de instalarea, exploatarea și întreținerea echipamentului de măsurare este identificat. Acest operator de sistem are obligația de a pune la dispoziția celuilalt sau celorlalți </w:t>
            </w:r>
            <w:r w:rsidRPr="00B91C10">
              <w:rPr>
                <w:rFonts w:asciiTheme="majorBidi" w:hAnsiTheme="majorBidi" w:cstheme="majorBidi"/>
                <w:sz w:val="18"/>
                <w:szCs w:val="18"/>
                <w:lang w:val="ro-RO"/>
              </w:rPr>
              <w:lastRenderedPageBreak/>
              <w:t>OST adiacenți, la timp și cu o frecvență specificată, toate informațiile și datele referitoare la măsurarea fluxurilor de gaze naturale la punctul de interconectare.</w:t>
            </w:r>
          </w:p>
          <w:p w:rsidR="00F02F76" w:rsidRPr="00B91C10" w:rsidRDefault="00F02F76" w:rsidP="00670674">
            <w:pPr>
              <w:pStyle w:val="ListParagraph"/>
              <w:tabs>
                <w:tab w:val="left" w:pos="318"/>
                <w:tab w:val="left" w:pos="1276"/>
              </w:tabs>
              <w:suppressAutoHyphens w:val="0"/>
              <w:ind w:left="34"/>
              <w:jc w:val="both"/>
              <w:rPr>
                <w:rFonts w:asciiTheme="majorBidi" w:hAnsiTheme="majorBidi" w:cstheme="majorBidi"/>
                <w:b/>
                <w:sz w:val="18"/>
                <w:szCs w:val="18"/>
                <w:lang w:val="it-IT"/>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2</w:t>
            </w:r>
            <w:r w:rsidRPr="00B91C10">
              <w:rPr>
                <w:rFonts w:asciiTheme="majorBidi" w:hAnsiTheme="majorBidi" w:cstheme="majorBidi"/>
                <w:sz w:val="18"/>
                <w:szCs w:val="18"/>
                <w:lang w:val="ro-RO"/>
              </w:rPr>
              <w:t>.Instalarea, exploatarea și întreținerea echipamentului de măsurare la un punct de interconectare țin seama de cerințele tehnice impuse de reglementările naționale ale OST adiacenți.</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w:t>
            </w:r>
          </w:p>
          <w:p w:rsidR="00F02F76" w:rsidRPr="00B91C10" w:rsidRDefault="00F02F76" w:rsidP="00670674">
            <w:pPr>
              <w:tabs>
                <w:tab w:val="left" w:pos="460"/>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.OST adiacenți convin asupra principiilor de măsurare, care trebuie să includă cel puțin: </w:t>
            </w: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descrierea stației de măsurare, inclusiv echipamentele de măsurare și de analiză care urmează să fie folosite și detalii privind orice echipament secundar care ar putea fi folosit în caz de defecțiune; </w:t>
            </w:r>
          </w:p>
          <w:p w:rsidR="00F02F76" w:rsidRPr="00B91C10" w:rsidRDefault="00F02F76" w:rsidP="00670674">
            <w:pPr>
              <w:pStyle w:val="ListParagraph"/>
              <w:numPr>
                <w:ilvl w:val="0"/>
                <w:numId w:val="7"/>
              </w:numPr>
              <w:tabs>
                <w:tab w:val="left" w:pos="460"/>
                <w:tab w:val="left" w:pos="74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parametrii de calitate a gazelor naturale, volumul și energia care se măsoară, precum și intervalul și marja maximă de eroare sau de incertitudine admisă cu care funcționează echipamentul de măsurare, frecvența măsurătorilor, unitățile de măsură folosite și standardele în conformitate cu care se realizează măsurătoarea, precum și orice factori de conversie utilizați; </w:t>
            </w: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procedurile și metodele utilizate pentru a calcula parametrii care nu sunt măsurați direct;</w:t>
            </w: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descriere a metodei de calcul în ceea ce privește eroarea sau incertitudinea maximă admisă la determinarea cantității (volumelor) sau a energiei transportate; </w:t>
            </w:r>
          </w:p>
          <w:p w:rsidR="00F02F76"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descriere a procesului de validare a datelor utilizat pentru parametrii măsurați; </w:t>
            </w:r>
          </w:p>
          <w:p w:rsidR="00F02F76" w:rsidRDefault="00F02F76" w:rsidP="00670674">
            <w:pPr>
              <w:tabs>
                <w:tab w:val="left" w:pos="460"/>
                <w:tab w:val="left" w:pos="993"/>
                <w:tab w:val="left" w:pos="1134"/>
              </w:tabs>
              <w:jc w:val="both"/>
              <w:rPr>
                <w:rFonts w:asciiTheme="majorBidi" w:hAnsiTheme="majorBidi" w:cstheme="majorBidi"/>
                <w:sz w:val="18"/>
                <w:szCs w:val="18"/>
                <w:lang w:val="ro-RO"/>
              </w:rPr>
            </w:pPr>
          </w:p>
          <w:p w:rsidR="00F02F76" w:rsidRPr="00395347" w:rsidRDefault="00F02F76" w:rsidP="00670674">
            <w:pPr>
              <w:tabs>
                <w:tab w:val="left" w:pos="460"/>
                <w:tab w:val="left" w:pos="993"/>
                <w:tab w:val="left" w:pos="1134"/>
              </w:tabs>
              <w:jc w:val="both"/>
              <w:rPr>
                <w:rFonts w:asciiTheme="majorBidi" w:hAnsiTheme="majorBidi" w:cstheme="majorBidi"/>
                <w:sz w:val="18"/>
                <w:szCs w:val="18"/>
                <w:lang w:val="ro-RO"/>
              </w:rPr>
            </w:pP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validarea măsurărilor și măsurile de asigurare a calității, inclusiv procedurile de verificare și de ajustare care urmează să fie convenite între OST adiacenți; </w:t>
            </w:r>
          </w:p>
          <w:p w:rsidR="00F02F76" w:rsidRPr="00B91C10" w:rsidRDefault="00F02F76" w:rsidP="00670674">
            <w:pPr>
              <w:pStyle w:val="ListParagraph"/>
              <w:numPr>
                <w:ilvl w:val="0"/>
                <w:numId w:val="7"/>
              </w:numPr>
              <w:tabs>
                <w:tab w:val="left" w:pos="601"/>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modul, inclusiv frecvența și conținutul, în care se pun la dispoziție datele în rândul OST adiacenți în ceea ce privește parametrii măsurați; </w:t>
            </w:r>
          </w:p>
          <w:p w:rsidR="00F02F76" w:rsidRPr="00B91C10" w:rsidRDefault="00F02F76" w:rsidP="00670674">
            <w:pPr>
              <w:pStyle w:val="ListParagraph"/>
              <w:numPr>
                <w:ilvl w:val="0"/>
                <w:numId w:val="7"/>
              </w:numPr>
              <w:tabs>
                <w:tab w:val="left" w:pos="601"/>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lista specifică a semnalelor și alarmelor care trebuie transmise </w:t>
            </w:r>
            <w:r w:rsidRPr="00B91C10">
              <w:rPr>
                <w:rFonts w:asciiTheme="majorBidi" w:hAnsiTheme="majorBidi" w:cstheme="majorBidi"/>
                <w:strike/>
                <w:sz w:val="18"/>
                <w:szCs w:val="18"/>
                <w:lang w:val="ro-RO"/>
              </w:rPr>
              <w:t>de operatorul sau</w:t>
            </w:r>
            <w:r w:rsidRPr="00B91C10">
              <w:rPr>
                <w:rFonts w:asciiTheme="majorBidi" w:hAnsiTheme="majorBidi" w:cstheme="majorBidi"/>
                <w:sz w:val="18"/>
                <w:szCs w:val="18"/>
                <w:lang w:val="ro-RO"/>
              </w:rPr>
              <w:t xml:space="preserve"> OST adiacenți care exploatează echipamentele de măsurare către celălalt sau ceilalți OST adiacenți; </w:t>
            </w:r>
          </w:p>
          <w:p w:rsidR="00F02F76" w:rsidRPr="00B91C10" w:rsidRDefault="00F02F76" w:rsidP="00670674">
            <w:pPr>
              <w:pStyle w:val="ListParagraph"/>
              <w:tabs>
                <w:tab w:val="left" w:pos="601"/>
                <w:tab w:val="left" w:pos="1134"/>
              </w:tabs>
              <w:suppressAutoHyphens w:val="0"/>
              <w:ind w:left="176"/>
              <w:jc w:val="both"/>
              <w:rPr>
                <w:rFonts w:asciiTheme="majorBidi" w:hAnsiTheme="majorBidi" w:cstheme="majorBidi"/>
                <w:sz w:val="18"/>
                <w:szCs w:val="18"/>
                <w:lang w:val="ro-RO"/>
              </w:rPr>
            </w:pPr>
          </w:p>
          <w:p w:rsidR="00F02F76" w:rsidRPr="00B91C10" w:rsidRDefault="00F02F76" w:rsidP="00670674">
            <w:pPr>
              <w:pStyle w:val="ListParagraph"/>
              <w:numPr>
                <w:ilvl w:val="0"/>
                <w:numId w:val="7"/>
              </w:numPr>
              <w:tabs>
                <w:tab w:val="left" w:pos="601"/>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metoda de determinare a unei corecții pentru o măsurătoare și procedurile ulterioare care ar putea fi necesare într-o situație temporară în care se constată că echipamentul de măsurare realizează sau a realizat înregistrări eronate fie mai puțin, fie mai mult față de intervalul său de incertitudine definit). </w:t>
            </w:r>
            <w:r w:rsidRPr="00B91C10">
              <w:rPr>
                <w:rFonts w:asciiTheme="majorBidi" w:hAnsiTheme="majorBidi" w:cstheme="majorBidi"/>
                <w:sz w:val="18"/>
                <w:szCs w:val="18"/>
                <w:lang w:val="ro-RO"/>
              </w:rPr>
              <w:lastRenderedPageBreak/>
              <w:t xml:space="preserve">OST respectiv ia măsuri corespunzătoare pentru a pune capăt acestei situații; </w:t>
            </w:r>
          </w:p>
          <w:p w:rsidR="00F02F76" w:rsidRPr="00B91C10" w:rsidRDefault="00F02F76" w:rsidP="00670674">
            <w:pPr>
              <w:pStyle w:val="ListParagraph"/>
              <w:tabs>
                <w:tab w:val="left" w:pos="601"/>
                <w:tab w:val="left" w:pos="1134"/>
              </w:tabs>
              <w:suppressAutoHyphens w:val="0"/>
              <w:ind w:left="176"/>
              <w:jc w:val="both"/>
              <w:rPr>
                <w:rFonts w:asciiTheme="majorBidi" w:hAnsiTheme="majorBidi" w:cstheme="majorBidi"/>
                <w:sz w:val="18"/>
                <w:szCs w:val="18"/>
                <w:lang w:val="ro-RO"/>
              </w:rPr>
            </w:pPr>
          </w:p>
          <w:p w:rsidR="00F02F76" w:rsidRPr="00B91C10" w:rsidRDefault="00F02F76" w:rsidP="00670674">
            <w:pPr>
              <w:pStyle w:val="ListParagraph"/>
              <w:numPr>
                <w:ilvl w:val="0"/>
                <w:numId w:val="7"/>
              </w:numPr>
              <w:tabs>
                <w:tab w:val="left" w:pos="601"/>
                <w:tab w:val="left" w:pos="1134"/>
                <w:tab w:val="left" w:pos="1276"/>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normele care se aplică între OST adiacenți în cazul defectării echipamentului de măsurare; </w:t>
            </w:r>
          </w:p>
          <w:p w:rsidR="00F02F76" w:rsidRPr="00B91C10" w:rsidRDefault="00F02F76" w:rsidP="00670674">
            <w:pPr>
              <w:pStyle w:val="ListParagraph"/>
              <w:numPr>
                <w:ilvl w:val="0"/>
                <w:numId w:val="7"/>
              </w:numPr>
              <w:tabs>
                <w:tab w:val="left" w:pos="601"/>
                <w:tab w:val="left" w:pos="1134"/>
                <w:tab w:val="left" w:pos="1276"/>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normele care se aplică între OST adiacenți în ceea ce privește: </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accesul la echipamentul de măsurare; </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verificări suplimentare ale echipamentului de măsurare;</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modificarea echipamentului de măsurare; </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prezența în timpul lucrărilor de calibrare și de întreținere a echipamentului de măsurare. </w:t>
            </w:r>
          </w:p>
          <w:p w:rsidR="00F02F76" w:rsidRPr="00B91C10" w:rsidRDefault="00F02F76" w:rsidP="00670674">
            <w:pPr>
              <w:pStyle w:val="ListParagraph"/>
              <w:tabs>
                <w:tab w:val="left" w:pos="318"/>
                <w:tab w:val="left" w:pos="1276"/>
              </w:tabs>
              <w:suppressAutoHyphens w:val="0"/>
              <w:ind w:left="34"/>
              <w:jc w:val="both"/>
              <w:rPr>
                <w:rFonts w:asciiTheme="majorBidi" w:hAnsiTheme="majorBidi" w:cstheme="majorBidi"/>
                <w:sz w:val="18"/>
                <w:szCs w:val="18"/>
                <w:lang w:val="ro-RO"/>
              </w:rPr>
            </w:pPr>
          </w:p>
          <w:p w:rsidR="00F02F76" w:rsidRDefault="00F02F76" w:rsidP="00670674">
            <w:pPr>
              <w:pStyle w:val="ListParagraph"/>
              <w:tabs>
                <w:tab w:val="left" w:pos="318"/>
                <w:tab w:val="left" w:pos="1276"/>
              </w:tabs>
              <w:suppressAutoHyphens w:val="0"/>
              <w:ind w:left="34"/>
              <w:jc w:val="both"/>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74.Dacă OST adiacenți nu își respectă obligațiile prevăzute la pct. 71 ) și 73:</w:t>
            </w:r>
            <w:r w:rsidRPr="00B91C10">
              <w:rPr>
                <w:rFonts w:asciiTheme="majorBidi" w:hAnsiTheme="majorBidi" w:cstheme="majorBidi"/>
                <w:sz w:val="18"/>
                <w:szCs w:val="18"/>
                <w:lang w:val="ro-RO"/>
              </w:rPr>
              <w:t xml:space="preserve"> </w:t>
            </w:r>
          </w:p>
          <w:p w:rsidR="00F02F76" w:rsidRPr="00855178" w:rsidRDefault="00F02F76" w:rsidP="00670674">
            <w:pPr>
              <w:pStyle w:val="ListParagraph"/>
              <w:numPr>
                <w:ilvl w:val="0"/>
                <w:numId w:val="9"/>
              </w:numPr>
              <w:tabs>
                <w:tab w:val="left" w:pos="318"/>
                <w:tab w:val="left" w:pos="851"/>
                <w:tab w:val="left" w:pos="993"/>
              </w:tabs>
              <w:suppressAutoHyphens w:val="0"/>
              <w:ind w:left="0"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OST care deține controlul echipamentului de măsurare este responsabil de instalarea, exploatarea și întreținerea acestui echipament și de punerea la dispoziția celuilalt OST,  în cel mai scurt timp, a datelor privind măsurarea fluxului de gaze naturale la punctul de interconectare; </w:t>
            </w:r>
          </w:p>
          <w:p w:rsidR="00F02F76" w:rsidRPr="00B91C10" w:rsidRDefault="00F02F76" w:rsidP="00670674">
            <w:pPr>
              <w:pStyle w:val="ListParagraph"/>
              <w:tabs>
                <w:tab w:val="left" w:pos="318"/>
                <w:tab w:val="left" w:pos="851"/>
                <w:tab w:val="left" w:pos="993"/>
              </w:tabs>
              <w:suppressAutoHyphens w:val="0"/>
              <w:ind w:left="0"/>
              <w:jc w:val="both"/>
              <w:rPr>
                <w:rFonts w:asciiTheme="majorBidi" w:hAnsiTheme="majorBidi" w:cstheme="majorBidi"/>
                <w:b/>
                <w:sz w:val="18"/>
                <w:szCs w:val="18"/>
                <w:lang w:val="it-IT"/>
              </w:rPr>
            </w:pPr>
          </w:p>
          <w:p w:rsidR="00F02F76" w:rsidRPr="00C33F84" w:rsidRDefault="00F02F76" w:rsidP="00670674">
            <w:pPr>
              <w:pStyle w:val="ListParagraph"/>
              <w:numPr>
                <w:ilvl w:val="0"/>
                <w:numId w:val="9"/>
              </w:numPr>
              <w:tabs>
                <w:tab w:val="left" w:pos="318"/>
                <w:tab w:val="left" w:pos="851"/>
                <w:tab w:val="left" w:pos="993"/>
              </w:tabs>
              <w:suppressAutoHyphens w:val="0"/>
              <w:ind w:left="0"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se aplică standardul </w:t>
            </w:r>
            <w:r>
              <w:rPr>
                <w:rFonts w:asciiTheme="majorBidi" w:hAnsiTheme="majorBidi" w:cstheme="majorBidi"/>
                <w:sz w:val="18"/>
                <w:szCs w:val="18"/>
                <w:lang w:val="ro-RO"/>
              </w:rPr>
              <w:t xml:space="preserve">SM </w:t>
            </w:r>
            <w:r w:rsidRPr="00B91C10">
              <w:rPr>
                <w:rFonts w:asciiTheme="majorBidi" w:hAnsiTheme="majorBidi" w:cstheme="majorBidi"/>
                <w:sz w:val="18"/>
                <w:szCs w:val="18"/>
                <w:lang w:val="ro-RO"/>
              </w:rPr>
              <w:t xml:space="preserve">EN1776 </w:t>
            </w:r>
            <w:r w:rsidRPr="00C33F84">
              <w:rPr>
                <w:rFonts w:asciiTheme="majorBidi" w:hAnsiTheme="majorBidi" w:cstheme="majorBidi"/>
                <w:bCs/>
                <w:sz w:val="18"/>
                <w:szCs w:val="18"/>
                <w:lang w:val="ro-RO"/>
              </w:rPr>
              <w:t>Infrastructura pentru gaze. Sisteme de măsurare a gazelor. Prescripţii funcţionale.</w:t>
            </w:r>
          </w:p>
        </w:tc>
        <w:tc>
          <w:tcPr>
            <w:tcW w:w="1417" w:type="dxa"/>
          </w:tcPr>
          <w:p w:rsidR="00F02F76" w:rsidRPr="00C33F84" w:rsidRDefault="00F02F76" w:rsidP="00670674">
            <w:pPr>
              <w:rPr>
                <w:rFonts w:asciiTheme="majorBidi" w:hAnsiTheme="majorBidi" w:cstheme="majorBidi"/>
                <w:b/>
                <w:sz w:val="18"/>
                <w:szCs w:val="18"/>
                <w:lang w:val="it-IT"/>
              </w:rPr>
            </w:pPr>
          </w:p>
          <w:p w:rsidR="00F02F76" w:rsidRPr="00C33F84" w:rsidRDefault="00F02F76" w:rsidP="00670674">
            <w:pPr>
              <w:rPr>
                <w:rFonts w:asciiTheme="majorBidi" w:hAnsiTheme="majorBidi" w:cstheme="majorBidi"/>
                <w:b/>
                <w:sz w:val="18"/>
                <w:szCs w:val="18"/>
                <w:lang w:val="it-IT"/>
              </w:rPr>
            </w:pPr>
          </w:p>
          <w:p w:rsidR="00F02F76" w:rsidRPr="00C33F84"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395347" w:rsidRDefault="00F02F76" w:rsidP="00670674">
            <w:pPr>
              <w:jc w:val="center"/>
              <w:rPr>
                <w:rFonts w:asciiTheme="majorBidi" w:hAnsiTheme="majorBidi" w:cstheme="majorBidi"/>
                <w:b/>
                <w:sz w:val="18"/>
                <w:szCs w:val="18"/>
              </w:rPr>
            </w:pPr>
            <w:r w:rsidRPr="00395347">
              <w:rPr>
                <w:rFonts w:asciiTheme="majorBidi" w:hAnsiTheme="majorBidi" w:cstheme="majorBidi"/>
                <w:b/>
                <w:sz w:val="18"/>
                <w:szCs w:val="18"/>
              </w:rPr>
              <w:lastRenderedPageBreak/>
              <w:t>Article 7</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Measurement principles for gas quantity and quality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respect of the measurement principles for volume, energy and gas quality, the adjacent transmission system operators shall ensure that: (a) the details of the measurement standards applicable at the interconnection point are established;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transmission system operator responsible for the installation, operation and maintenance of the measurement equipment is identified. This operator shall </w:t>
            </w:r>
            <w:r w:rsidRPr="00B91C10">
              <w:rPr>
                <w:rFonts w:asciiTheme="majorBidi" w:hAnsiTheme="majorBidi" w:cstheme="majorBidi"/>
                <w:sz w:val="18"/>
                <w:szCs w:val="18"/>
              </w:rPr>
              <w:lastRenderedPageBreak/>
              <w:t xml:space="preserve">have the obligation to make all information and data in respect of the measurement of gas flows at the interconnection point available to the other adjacent transmission system operator(s) in a timely manner and at a frequency specified.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installation, operation and maintenance of measurement equipment at an interconnection point shall take into account the technical requirements imposed by national regulations on the adjacent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adjacent transmission system operators shall agree on measurement principles which shall at least include: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a description of the metering station including measurement and analysis equipment to be used and details of any secondary equipment that may be used in case of failure;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gas quality parameters and volume and energy that shall be measured, as well as the range and the maximum permissible error or uncertainty margin within which the measurement equipment shall operate, the frequency of measurements, in what units and according to what standards the measurement shall be made as well as any conversion factors used;</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the procedures and methods that shall be used to calculate those parameters which are not directly measured;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a description of the method of calculation in respect of the maximum permissible error or uncertainty in the determination of energy transported;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a description of the data validation process in use for the measured parameters;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the measurement validation and quality assurance arrangements, including verification and adjustment procedures to be agreed between the adjacent transmission system operators;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(g) the way data, including frequency and content, is provided among the adjacent transmission system operators in respect of the measured parameters;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(h) the specific list of signals and alarms to be provided by the adjacent transmission system operator(s) who operate(s) the measurement equipment to the other adjacent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the method of determining a correction to a measurement and any subsequent procedures that may be necessary in a temporary situation where the measurement equipment is found to be or have been in </w:t>
            </w:r>
            <w:r w:rsidRPr="00B91C10">
              <w:rPr>
                <w:rFonts w:asciiTheme="majorBidi" w:hAnsiTheme="majorBidi" w:cstheme="majorBidi"/>
                <w:sz w:val="18"/>
                <w:szCs w:val="18"/>
              </w:rPr>
              <w:lastRenderedPageBreak/>
              <w:t xml:space="preserve">error (either under-reading or over-reading outside of its defined uncertainty range). This transmission system operator shall take appropriate action to end this situation.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(j) rules that shall apply between adjacent transmission system operators in the event of failure of the measurement equipment;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(k) rules that shall apply between the adjacent transmission system operators for: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 access to the measurement facility;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additional verifications of measurement facility;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(iii) modification of the measurement facility; (iv) attendance during calibration and maintenance work at the measurement facility.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If the adjacent transmission system operators fail to comply with their obligations provided for in paragraphs 1 and 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 transmission system operator in control of the measurement equipment shall be responsible for the installation, operation and maintenance of such equipment and for providing the other transmission system operator with the data regarding the measurement of gas flows at the interconnection point in a timely manner;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(b) the European standard EN1776 ‘Gas Supply Natural Gas Measuring Stations Functional Requirements’ in the version applicable at the time shall apply.</w:t>
            </w:r>
          </w:p>
        </w:tc>
      </w:tr>
      <w:tr w:rsidR="00F02F76" w:rsidRPr="00B91C10" w:rsidTr="00670674">
        <w:trPr>
          <w:trHeight w:val="7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8</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Norme pentru procesul de concordanță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procesul de concordanță, operatorii de sisteme de transport adiacenți stabilesc:</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 care detaliază procesul de concordanță, ținând seama, acolo unde este relevant, de dispozițiile privind nominalizarea zilnică-orară;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care reglementează comunicarea și prelucrarea datelor relevante între operatorii de sisteme de transport adiacenți pentru a calcula cantitățile prelucrate și cantitățile confirmate de gaz pentru utilizatorii rețelei, precum și cantitatea de gaz care trebuie programată să curgă la punctul (punctele) de interconectare.</w:t>
                  </w:r>
                </w:p>
              </w:tc>
            </w:tr>
          </w:tbl>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Nominalizările și renominalizările se gestionează în conformitate cu următoarele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aplicarea unei reguli de concordanță duce la cantități confirmate identice pentru fiecare pereche de utilizatori ai rețelei la ambele părți ale punctului de interconectare atunci când cantitățile prelucrate nu sunt aliniate;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sisteme de transport adiacenți pot conveni să mențină sau să implementeze o altă regulă de concordanță decât regula valorii inferioare, cu condiția ca această regulă să fie publicată și ca utilizatorii rețelei să fie invitați să prezinte observații cu privire la regula de concordanță propusă în termen de cel puțin două luni de la publicarea regulii de concordanță;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sisteme de transport adiacenți precizează rolurile care le revin în procesul de concordanță, indicând dacă sunt operatorul de sistem de transport inițiator sau cel concordant;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293"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adiacenți precizează calendarul aplicabil pentru procesul de concordanță în cadrul ciclului de nominalizare sau renominalizare, având în vedere că întregul proces de concordanță nu trebuie să dureze mai mult de două ore de la începutul ciclului de nominalizare sau renominalizare, și iau în considerare următoarele:</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00"/>
                    <w:gridCol w:w="4887"/>
                  </w:tblGrid>
                  <w:tr w:rsidR="00F02F76" w:rsidRPr="00C27D66" w:rsidTr="00670674">
                    <w:tc>
                      <w:tcPr>
                        <w:tcW w:w="1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23"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datele care trebuie schimbate între operatorii de sisteme de transport adiacenți pentru ca aceștia să poată informa utilizatorii rețelei cu privire la cantitățile lor confirmate înainte de încheierea ciclului de nominalizare sau renominalizare, incluzând cel puțin datele menționate la alineatul (4) litera (b);</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3"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procesul de schimb de date definit la punctul (i) de mai sus permite operatorilor de sisteme de transport adiacenți să efectueze toate etapele de calcul și de comunicare în mod corect și la timp.</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La prelucrarea nominalizărilor pentru un punct de interconectare, operatorii de sisteme de transport adiacenți se asigură că fluxul de gaz la ambele părți ale punctului de interconectare este calculat pe o bază consecventă care ține seama de orice reducere temporară a capacității ca urmare a oricăreia dintre condițiile menționate la articolul 6 alineatul (4) la una sau la ambele părți ale punctului de interconectare.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Fiecare acord de interconectare precizează, în cadrul dispozițiilor sale privind schimbul de date pentru procesul de concordanță: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2"/>
              <w:gridCol w:w="4897"/>
            </w:tblGrid>
            <w:tr w:rsidR="00F02F76" w:rsidRPr="00C27D66" w:rsidTr="00670674">
              <w:tc>
                <w:tcPr>
                  <w:tcW w:w="2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2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utilizarea schimbului de date între operatorii de sisteme de transport adiacenți pentru procesul de concordanță;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B91C10"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armonizate cuprinse în schimbul de date pentru procesul de concordanță, care trebuie să conțină cel puțin următoarele:</w:t>
                  </w:r>
                </w:p>
                <w:tbl>
                  <w:tblPr>
                    <w:tblW w:w="5000" w:type="pct"/>
                    <w:tblLayout w:type="fixed"/>
                    <w:tblCellMar>
                      <w:left w:w="0" w:type="dxa"/>
                      <w:right w:w="0" w:type="dxa"/>
                    </w:tblCellMar>
                    <w:tblLook w:val="04A0" w:firstRow="1" w:lastRow="0" w:firstColumn="1" w:lastColumn="0" w:noHBand="0" w:noVBand="1"/>
                  </w:tblPr>
                  <w:tblGrid>
                    <w:gridCol w:w="280"/>
                    <w:gridCol w:w="4707"/>
                  </w:tblGrid>
                  <w:tr w:rsidR="00F02F76" w:rsidRPr="00B91C10" w:rsidTr="00670674">
                    <w:tc>
                      <w:tcPr>
                        <w:tcW w:w="50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78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identificarea punctului de interconectare;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0"/>
                    <w:gridCol w:w="4847"/>
                  </w:tblGrid>
                  <w:tr w:rsidR="00F02F76" w:rsidRPr="00C27D66" w:rsidTr="00670674">
                    <w:tc>
                      <w:tcPr>
                        <w:tcW w:w="244"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49"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datele de identificare ale utilizatorului rețelei sau, dacă este cazul, datele de identificare ale portofoliului acestuia;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3"/>
                  </w:tblGrid>
                  <w:tr w:rsidR="00F02F76" w:rsidRPr="00C27D66" w:rsidTr="00670674">
                    <w:tc>
                      <w:tcPr>
                        <w:tcW w:w="2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(iii)</w:t>
                        </w:r>
                      </w:p>
                    </w:tc>
                    <w:tc>
                      <w:tcPr>
                        <w:tcW w:w="9023"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datele de identificare ale părții care livrează gaz către sau primește gaz de la utilizatorul rețelei sau, dacă este cazul, datele de identificare ale portofoliului acesteia;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9"/>
                    <w:gridCol w:w="4778"/>
                  </w:tblGrid>
                  <w:tr w:rsidR="00F02F76" w:rsidRPr="00C27D66" w:rsidTr="00670674">
                    <w:tc>
                      <w:tcPr>
                        <w:tcW w:w="373"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w:t>
                        </w:r>
                      </w:p>
                    </w:tc>
                    <w:tc>
                      <w:tcPr>
                        <w:tcW w:w="8920"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ora de începere și de încheiere a fluxului de gaz pentru care se realizează concordanța;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937"/>
                    <w:gridCol w:w="4050"/>
                  </w:tblGrid>
                  <w:tr w:rsidR="00F02F76" w:rsidRPr="00B91C10" w:rsidTr="00670674">
                    <w:tc>
                      <w:tcPr>
                        <w:tcW w:w="17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w:t>
                        </w:r>
                      </w:p>
                    </w:tc>
                    <w:tc>
                      <w:tcPr>
                        <w:tcW w:w="7558"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ziua gazieră;</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475"/>
                    <w:gridCol w:w="4512"/>
                  </w:tblGrid>
                  <w:tr w:rsidR="00F02F76" w:rsidRPr="00B91C10" w:rsidTr="00670674">
                    <w:tc>
                      <w:tcPr>
                        <w:tcW w:w="87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(vi)</w:t>
                        </w:r>
                      </w:p>
                    </w:tc>
                    <w:tc>
                      <w:tcPr>
                        <w:tcW w:w="842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cantitățile prelucrate și confirmate;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772"/>
                    <w:gridCol w:w="4215"/>
                  </w:tblGrid>
                  <w:tr w:rsidR="00F02F76" w:rsidRPr="00B91C10" w:rsidTr="00670674">
                    <w:tc>
                      <w:tcPr>
                        <w:tcW w:w="142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(vii)</w:t>
                        </w:r>
                      </w:p>
                    </w:tc>
                    <w:tc>
                      <w:tcPr>
                        <w:tcW w:w="7867" w:type="dxa"/>
                        <w:shd w:val="clear" w:color="auto" w:fill="auto"/>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direcția fluxului de gaz.</w:t>
                        </w: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rPr>
                      <w:rFonts w:asciiTheme="majorBidi" w:hAnsiTheme="majorBidi" w:cstheme="majorBidi"/>
                      <w:sz w:val="18"/>
                      <w:szCs w:val="18"/>
                    </w:rPr>
                  </w:pPr>
                </w:p>
              </w:tc>
            </w:tr>
          </w:tbl>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lastRenderedPageBreak/>
              <w:t>(5)   Cu excepția cazului în care există dispoziții contrare convenite de operatorii de sisteme de transport adiacenți în acordul lor de interconectare, se aplică următoarele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11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491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folosesc regula valorii inferioare. Aplicarea regulii valorii inferioare ca regulă implicită poate fi restricționată doar în cazul în care sunt îndeplinite condițiile de la punctul 2.2.3.1 din anexa I la Regulamentul (CE) nr. 715/2009, iar aplicarea sa ar împiedica oferirea de capacitate fermă rezultată din procedurile de gestionare a congestiei;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operatorul de sistem de transport care deține controlul echipamentului de control al fluxului este operatorul de sistem de transport concordant;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sisteme de transport realizează procesul de concordanță în următoarele etape consecutive:</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F02F76" w:rsidRPr="00C27D66" w:rsidTr="00670674">
                    <w:tc>
                      <w:tcPr>
                        <w:tcW w:w="1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2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calcularea și transmiterea cantităților de gaz prelucrate de către operatorul de sistem de transport inițiator, în termen de patruzeci și cinci de minute de la începerea ciclului de nominalizare sau de renominalizare;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calcularea și transmiterea cantităților de gaz confirmate de către operatorul de sistem de transport concordant, în termen de nouăzeci de minute de la începerea ciclului de nominalizare sau de renominalizare;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4"/>
                  </w:tblGrid>
                  <w:tr w:rsidR="00F02F76" w:rsidRPr="00C27D66" w:rsidTr="00670674">
                    <w:tc>
                      <w:tcPr>
                        <w:tcW w:w="2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902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transmiterea cantităților de gaz confirmate către utilizatorii rețelei și planificarea fluxului de gaz prin punctul de interconectare de către operatorii de sisteme de transport adiacenți, în termen de două ore de la începutul ciclului de nominalizare sau de renominalizare. Aceste etape succesive trebuie să se realizeze fără a aduce atingere regulii privind duratele minime ale întreruperilor, menționată la articolul 22 din Regulamentul (UE) nr. 984/2013 și la alineatul (2) litera (d) din prezentul articol.</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shd w:val="clear" w:color="auto" w:fill="FFFFFF"/>
              <w:jc w:val="center"/>
              <w:rPr>
                <w:rFonts w:asciiTheme="majorBidi" w:hAnsiTheme="majorBidi" w:cstheme="majorBidi"/>
                <w:b/>
                <w:bCs/>
                <w:sz w:val="18"/>
                <w:szCs w:val="18"/>
                <w:lang w:val="it-IT"/>
              </w:rPr>
            </w:pPr>
          </w:p>
        </w:tc>
        <w:tc>
          <w:tcPr>
            <w:tcW w:w="4820" w:type="dxa"/>
          </w:tcPr>
          <w:p w:rsidR="00F02F76" w:rsidRPr="00B91C10" w:rsidRDefault="00F02F76" w:rsidP="00670674">
            <w:pPr>
              <w:jc w:val="center"/>
              <w:outlineLvl w:val="0"/>
              <w:rPr>
                <w:rFonts w:asciiTheme="majorBidi" w:hAnsiTheme="majorBidi" w:cstheme="majorBidi"/>
                <w:bCs/>
                <w:sz w:val="18"/>
                <w:szCs w:val="18"/>
                <w:lang w:val="ro-RO"/>
              </w:rPr>
            </w:pPr>
            <w:r w:rsidRPr="00B91C10">
              <w:rPr>
                <w:rFonts w:asciiTheme="majorBidi" w:hAnsiTheme="majorBidi" w:cstheme="majorBidi"/>
                <w:bCs/>
                <w:sz w:val="18"/>
                <w:szCs w:val="18"/>
                <w:lang w:val="ro-RO"/>
              </w:rPr>
              <w:lastRenderedPageBreak/>
              <w:t>Secțiunea 4</w:t>
            </w:r>
          </w:p>
          <w:p w:rsidR="00F02F76" w:rsidRPr="00B91C10" w:rsidRDefault="00F02F76" w:rsidP="00670674">
            <w:pPr>
              <w:contextualSpacing/>
              <w:jc w:val="center"/>
              <w:rPr>
                <w:rFonts w:asciiTheme="majorBidi" w:hAnsiTheme="majorBidi" w:cstheme="majorBidi"/>
                <w:b/>
                <w:sz w:val="18"/>
                <w:szCs w:val="18"/>
                <w:lang w:val="ro-RO"/>
              </w:rPr>
            </w:pPr>
            <w:r w:rsidRPr="00B91C10">
              <w:rPr>
                <w:rFonts w:asciiTheme="majorBidi" w:hAnsiTheme="majorBidi" w:cstheme="majorBidi"/>
                <w:b/>
                <w:sz w:val="18"/>
                <w:szCs w:val="18"/>
                <w:lang w:val="ro-RO"/>
              </w:rPr>
              <w:t>Regulile privind procesul de concordanță</w:t>
            </w:r>
          </w:p>
          <w:p w:rsidR="00F02F76" w:rsidRPr="00B91C10" w:rsidRDefault="00F02F76" w:rsidP="00670674">
            <w:pPr>
              <w:tabs>
                <w:tab w:val="left" w:pos="18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.În </w:t>
            </w:r>
            <w:r>
              <w:rPr>
                <w:rFonts w:asciiTheme="majorBidi" w:hAnsiTheme="majorBidi" w:cstheme="majorBidi"/>
                <w:sz w:val="18"/>
                <w:szCs w:val="18"/>
                <w:lang w:val="ro-RO"/>
              </w:rPr>
              <w:t xml:space="preserve">cadrul </w:t>
            </w:r>
            <w:r w:rsidRPr="00B91C10">
              <w:rPr>
                <w:rFonts w:asciiTheme="majorBidi" w:hAnsiTheme="majorBidi" w:cstheme="majorBidi"/>
                <w:sz w:val="18"/>
                <w:szCs w:val="18"/>
                <w:lang w:val="ro-RO"/>
              </w:rPr>
              <w:t>procesul</w:t>
            </w:r>
            <w:r>
              <w:rPr>
                <w:rFonts w:asciiTheme="majorBidi" w:hAnsiTheme="majorBidi" w:cstheme="majorBidi"/>
                <w:sz w:val="18"/>
                <w:szCs w:val="18"/>
                <w:lang w:val="ro-RO"/>
              </w:rPr>
              <w:t>ui</w:t>
            </w:r>
            <w:r w:rsidRPr="00B91C10">
              <w:rPr>
                <w:rFonts w:asciiTheme="majorBidi" w:hAnsiTheme="majorBidi" w:cstheme="majorBidi"/>
                <w:sz w:val="18"/>
                <w:szCs w:val="18"/>
                <w:lang w:val="ro-RO"/>
              </w:rPr>
              <w:t xml:space="preserve"> de concordanță, OST adiacenți stabilesc: </w:t>
            </w:r>
          </w:p>
          <w:p w:rsidR="00F02F76" w:rsidRPr="00B91C10" w:rsidRDefault="00F02F76" w:rsidP="00670674">
            <w:pPr>
              <w:pStyle w:val="ListParagraph"/>
              <w:numPr>
                <w:ilvl w:val="0"/>
                <w:numId w:val="15"/>
              </w:numPr>
              <w:tabs>
                <w:tab w:val="left" w:pos="183"/>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normele care detaliază procesul de concordanță, ținând</w:t>
            </w:r>
            <w:r>
              <w:rPr>
                <w:rFonts w:asciiTheme="majorBidi" w:hAnsiTheme="majorBidi" w:cstheme="majorBidi"/>
                <w:sz w:val="18"/>
                <w:szCs w:val="18"/>
                <w:lang w:val="ro-RO"/>
              </w:rPr>
              <w:t>cont</w:t>
            </w:r>
            <w:r w:rsidRPr="00B91C10">
              <w:rPr>
                <w:rFonts w:asciiTheme="majorBidi" w:hAnsiTheme="majorBidi" w:cstheme="majorBidi"/>
                <w:sz w:val="18"/>
                <w:szCs w:val="18"/>
                <w:lang w:val="ro-RO"/>
              </w:rPr>
              <w:t>, după caz</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de dispozițiile privind nominalizarea zilnică-orară; </w:t>
            </w:r>
          </w:p>
          <w:p w:rsidR="00F02F76" w:rsidRPr="00B91C10" w:rsidRDefault="00F02F76" w:rsidP="00670674">
            <w:pPr>
              <w:pStyle w:val="ListParagraph"/>
              <w:numPr>
                <w:ilvl w:val="0"/>
                <w:numId w:val="15"/>
              </w:numPr>
              <w:tabs>
                <w:tab w:val="left" w:pos="183"/>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normele care reglementează comunicarea și prelucrarea datelor relevante dintre OST adiacenți pentru a calcula cantitățile prelucrate și cantitățile confirmate de gaze naturale pentru utilizatorii de sistem, precum și cantitatea de gaze naturale care trebuie programată să curgă la punctul (punctele) de interconectare. </w:t>
            </w:r>
          </w:p>
          <w:p w:rsidR="00F02F76" w:rsidRDefault="00F02F76" w:rsidP="00670674">
            <w:pPr>
              <w:tabs>
                <w:tab w:val="left" w:pos="183"/>
                <w:tab w:val="left" w:pos="466"/>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183"/>
                <w:tab w:val="left" w:pos="466"/>
                <w:tab w:val="left" w:pos="1134"/>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76</w:t>
            </w:r>
            <w:r w:rsidRPr="00B91C10">
              <w:rPr>
                <w:rFonts w:asciiTheme="majorBidi" w:hAnsiTheme="majorBidi" w:cstheme="majorBidi"/>
                <w:sz w:val="18"/>
                <w:szCs w:val="18"/>
                <w:lang w:val="ro-RO"/>
              </w:rPr>
              <w:t xml:space="preserve">.Nominalizările și renominalizările se gestionează în conformitate cu următoarele </w:t>
            </w:r>
            <w:r>
              <w:rPr>
                <w:rFonts w:asciiTheme="majorBidi" w:hAnsiTheme="majorBidi" w:cstheme="majorBidi"/>
                <w:sz w:val="18"/>
                <w:szCs w:val="18"/>
                <w:lang w:val="ro-RO"/>
              </w:rPr>
              <w:t>preveder</w:t>
            </w:r>
            <w:r w:rsidRPr="00B91C10">
              <w:rPr>
                <w:rFonts w:asciiTheme="majorBidi" w:hAnsiTheme="majorBidi" w:cstheme="majorBidi"/>
                <w:sz w:val="18"/>
                <w:szCs w:val="18"/>
                <w:lang w:val="ro-RO"/>
              </w:rPr>
              <w:t>ii:</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aplicarea unei reguli de concordanță duce la cantități identice pentru fiecare pereche de utilizatori ai sistemului la ambele părți ale punctului de interconectare, atunci când cantitățile prelucrate nu sunt aliniate; </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OST adiacenți pot conveni să mențină sau să implementeze o altă regulă de concordanță decât regula valorii inferioare, cu condiția ca această regulă să fie publicată și ca utilizatorii de sistem să fie invitați să prezinte observații cu privire la regula de concordanță propusă în termen de cel puțin două luni de la publicarea regulii de concordanță; </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adiacenți precizează rolurile care le revin în procesul de concordanță, indicând dacă sunt OST inițiator sau cel concordant; </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OST adiacenți precizează calendarul aplicabil pentru procesul de concordanță în cadrul ciclului de nominalizare sau renominalizare, având în vedere că întregul proces de concordanță nu trebuie să dureze mai mult de două ore de la începutul ciclului de nominalizare sau renominalizare, și iau în considerare următoarele:</w:t>
            </w:r>
          </w:p>
          <w:p w:rsidR="00F02F76" w:rsidRPr="00B91C10" w:rsidRDefault="00F02F76" w:rsidP="00670674">
            <w:pPr>
              <w:tabs>
                <w:tab w:val="left" w:pos="709"/>
                <w:tab w:val="left" w:pos="993"/>
                <w:tab w:val="left" w:pos="1134"/>
              </w:tabs>
              <w:jc w:val="both"/>
              <w:rPr>
                <w:rFonts w:asciiTheme="majorBidi" w:hAnsiTheme="majorBidi" w:cstheme="majorBidi"/>
                <w:sz w:val="18"/>
                <w:szCs w:val="18"/>
                <w:lang w:val="ro-RO"/>
              </w:rPr>
            </w:pPr>
          </w:p>
          <w:p w:rsidR="00F02F76" w:rsidRPr="00F12C4B" w:rsidRDefault="00F02F76" w:rsidP="00670674">
            <w:pPr>
              <w:pStyle w:val="ListParagraph"/>
              <w:numPr>
                <w:ilvl w:val="0"/>
                <w:numId w:val="16"/>
              </w:numPr>
              <w:tabs>
                <w:tab w:val="left" w:pos="709"/>
                <w:tab w:val="left" w:pos="1134"/>
                <w:tab w:val="left" w:pos="127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datele care trebuie schimbate între OST adiacenți pentru ca aceștia să poată informa </w:t>
            </w:r>
            <w:r w:rsidRPr="00F12C4B">
              <w:rPr>
                <w:rFonts w:asciiTheme="majorBidi" w:hAnsiTheme="majorBidi" w:cstheme="majorBidi"/>
                <w:sz w:val="18"/>
                <w:szCs w:val="18"/>
                <w:lang w:val="ro-RO"/>
              </w:rPr>
              <w:t xml:space="preserve">utilizatorii de sistem cu privire la cantitățile (volumele) lor confirmate înainte de încheierea ciclului de nominalizare sau renominalizare, incluzând cel puțin datele menționate la </w:t>
            </w:r>
            <w:r w:rsidRPr="00F12C4B">
              <w:rPr>
                <w:rFonts w:asciiTheme="majorBidi" w:hAnsiTheme="majorBidi" w:cstheme="majorBidi"/>
                <w:b/>
                <w:sz w:val="18"/>
                <w:szCs w:val="18"/>
                <w:lang w:val="ro-RO"/>
              </w:rPr>
              <w:t>pct. 78 subpunct 2);</w:t>
            </w:r>
            <w:r w:rsidRPr="00F12C4B">
              <w:rPr>
                <w:rFonts w:asciiTheme="majorBidi" w:hAnsiTheme="majorBidi" w:cstheme="majorBidi"/>
                <w:sz w:val="18"/>
                <w:szCs w:val="18"/>
                <w:lang w:val="ro-RO"/>
              </w:rPr>
              <w:t xml:space="preserve"> </w:t>
            </w:r>
          </w:p>
          <w:p w:rsidR="00F02F76" w:rsidRPr="00F12C4B" w:rsidRDefault="00F02F76" w:rsidP="00670674">
            <w:pPr>
              <w:pStyle w:val="ListParagraph"/>
              <w:numPr>
                <w:ilvl w:val="0"/>
                <w:numId w:val="16"/>
              </w:numPr>
              <w:tabs>
                <w:tab w:val="left" w:pos="709"/>
                <w:tab w:val="left" w:pos="1134"/>
                <w:tab w:val="left" w:pos="1276"/>
              </w:tabs>
              <w:suppressAutoHyphens w:val="0"/>
              <w:ind w:left="0" w:firstLine="183"/>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procesul de schimb de date definit la </w:t>
            </w:r>
            <w:r w:rsidRPr="00F12C4B">
              <w:rPr>
                <w:rFonts w:asciiTheme="majorBidi" w:hAnsiTheme="majorBidi" w:cstheme="majorBidi"/>
                <w:b/>
                <w:sz w:val="18"/>
                <w:szCs w:val="18"/>
                <w:lang w:val="ro-RO"/>
              </w:rPr>
              <w:t>lit. a)</w:t>
            </w:r>
            <w:r w:rsidRPr="00F12C4B">
              <w:rPr>
                <w:rFonts w:asciiTheme="majorBidi" w:hAnsiTheme="majorBidi" w:cstheme="majorBidi"/>
                <w:sz w:val="18"/>
                <w:szCs w:val="18"/>
                <w:lang w:val="ro-RO"/>
              </w:rPr>
              <w:t xml:space="preserve"> de mai sus permite OST adiacenți să efectueze toate etapele de calcul și de comunicare în mod corect și la timp. </w:t>
            </w:r>
          </w:p>
          <w:p w:rsidR="00F02F76" w:rsidRPr="00F12C4B"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F12C4B"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F12C4B" w:rsidRDefault="00F02F76" w:rsidP="00670674">
            <w:pPr>
              <w:tabs>
                <w:tab w:val="left" w:pos="709"/>
                <w:tab w:val="left" w:pos="993"/>
              </w:tabs>
              <w:jc w:val="both"/>
              <w:outlineLvl w:val="0"/>
              <w:rPr>
                <w:rFonts w:asciiTheme="majorBidi" w:hAnsiTheme="majorBidi" w:cstheme="majorBidi"/>
                <w:sz w:val="18"/>
                <w:szCs w:val="18"/>
                <w:lang w:val="ro-RO"/>
              </w:rPr>
            </w:pPr>
          </w:p>
          <w:p w:rsidR="00F02F76" w:rsidRDefault="00F02F76" w:rsidP="00670674">
            <w:pPr>
              <w:tabs>
                <w:tab w:val="left" w:pos="709"/>
                <w:tab w:val="left" w:pos="993"/>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77. La prelucrarea nominalizărilor pentru un punct de interconectare, OST adiacenți se asigură că fluxul de gaze naturale la ambele părți ale punctului de interconectare este calculat pe o bază consecventă care ține seama de orice reducere temporară a capacității ca urmare a oricăreia dintre condițiile menționate la </w:t>
            </w:r>
            <w:r w:rsidRPr="00F12C4B">
              <w:rPr>
                <w:rFonts w:asciiTheme="majorBidi" w:hAnsiTheme="majorBidi" w:cstheme="majorBidi"/>
                <w:b/>
                <w:sz w:val="18"/>
                <w:szCs w:val="18"/>
                <w:lang w:val="ro-RO"/>
              </w:rPr>
              <w:t>pct. 70</w:t>
            </w:r>
            <w:r w:rsidRPr="00F12C4B">
              <w:rPr>
                <w:rFonts w:asciiTheme="majorBidi" w:hAnsiTheme="majorBidi" w:cstheme="majorBidi"/>
                <w:sz w:val="18"/>
                <w:szCs w:val="18"/>
                <w:lang w:val="ro-RO"/>
              </w:rPr>
              <w:t xml:space="preserve"> la una sau la ambele părți ale punctului de interconectare.</w:t>
            </w:r>
            <w:r w:rsidRPr="00B91C10">
              <w:rPr>
                <w:rFonts w:asciiTheme="majorBidi" w:hAnsiTheme="majorBidi" w:cstheme="majorBidi"/>
                <w:sz w:val="18"/>
                <w:szCs w:val="18"/>
                <w:lang w:val="ro-RO"/>
              </w:rPr>
              <w:t xml:space="preserve"> </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7</w:t>
            </w:r>
            <w:r w:rsidRPr="00B91C10">
              <w:rPr>
                <w:rFonts w:asciiTheme="majorBidi" w:hAnsiTheme="majorBidi" w:cstheme="majorBidi"/>
                <w:sz w:val="18"/>
                <w:szCs w:val="18"/>
                <w:lang w:val="ro-RO"/>
              </w:rPr>
              <w:t xml:space="preserve"> Fiecare acord de interconectare prevede, în cadrul dispozițiilor sale privind schimbul de date pentru procesul de concordanță: </w:t>
            </w:r>
          </w:p>
          <w:p w:rsidR="00F02F76" w:rsidRPr="00B91C10" w:rsidRDefault="00F02F76" w:rsidP="00670674">
            <w:pPr>
              <w:pStyle w:val="ListParagraph"/>
              <w:numPr>
                <w:ilvl w:val="0"/>
                <w:numId w:val="13"/>
              </w:numPr>
              <w:tabs>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utilizarea schimbului de date între OST adiacenți pentru procesul de concordanță; </w:t>
            </w:r>
          </w:p>
          <w:p w:rsidR="00F02F76" w:rsidRPr="00B91C10" w:rsidRDefault="00F02F76" w:rsidP="00670674">
            <w:pPr>
              <w:pStyle w:val="ListParagraph"/>
              <w:numPr>
                <w:ilvl w:val="0"/>
                <w:numId w:val="13"/>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informațiile armonizate cuprinse în schimbul de date pentru procesul de concordanță, care trebuie să conțină cel puțin următoarele: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identificarea punctului de interconectare;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datele de identificare ale utilizatorului sistemului sau, dacă este cazul, datele de identificare ale portofoliului acestuia;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datele de identificare ale părții care livrează gaze naturale către sau primește gaze naturale de la utilizatorul de sistem </w:t>
            </w:r>
            <w:r w:rsidRPr="00B91C10">
              <w:rPr>
                <w:rFonts w:asciiTheme="majorBidi" w:hAnsiTheme="majorBidi" w:cstheme="majorBidi"/>
                <w:sz w:val="18"/>
                <w:szCs w:val="18"/>
                <w:lang w:val="ro-RO"/>
              </w:rPr>
              <w:lastRenderedPageBreak/>
              <w:t>sau, dacă este cazul, datele de identificare ale portofoliului acesteia;</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ora de începere și de încheiere a fluxului de gaze naturale pentru care se realizează concordanța;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ziua gazieră;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cantitățile prelucrate și confirmate;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direcția fluxului de gaze naturale. </w:t>
            </w:r>
          </w:p>
          <w:p w:rsidR="00F02F76" w:rsidRDefault="00F02F76" w:rsidP="00670674">
            <w:pPr>
              <w:tabs>
                <w:tab w:val="left" w:pos="325"/>
                <w:tab w:val="left" w:pos="567"/>
                <w:tab w:val="left" w:pos="709"/>
              </w:tabs>
              <w:ind w:firstLine="41"/>
              <w:jc w:val="both"/>
              <w:outlineLvl w:val="0"/>
              <w:rPr>
                <w:rFonts w:asciiTheme="majorBidi" w:hAnsiTheme="majorBidi" w:cstheme="majorBidi"/>
                <w:sz w:val="18"/>
                <w:szCs w:val="18"/>
                <w:lang w:val="ro-RO"/>
              </w:rPr>
            </w:pPr>
          </w:p>
          <w:p w:rsidR="00F02F76" w:rsidRPr="00B91C10" w:rsidRDefault="00F02F76" w:rsidP="00670674">
            <w:pPr>
              <w:tabs>
                <w:tab w:val="left" w:pos="325"/>
                <w:tab w:val="left" w:pos="567"/>
                <w:tab w:val="left" w:pos="709"/>
              </w:tabs>
              <w:ind w:firstLine="41"/>
              <w:jc w:val="both"/>
              <w:outlineLvl w:val="0"/>
              <w:rPr>
                <w:rFonts w:asciiTheme="majorBidi" w:hAnsiTheme="majorBidi" w:cstheme="majorBidi"/>
                <w:sz w:val="18"/>
                <w:szCs w:val="18"/>
                <w:lang w:val="ro-RO"/>
              </w:rPr>
            </w:pPr>
            <w:r>
              <w:rPr>
                <w:rFonts w:asciiTheme="majorBidi" w:hAnsiTheme="majorBidi" w:cstheme="majorBidi"/>
                <w:sz w:val="18"/>
                <w:szCs w:val="18"/>
                <w:lang w:val="ro-RO"/>
              </w:rPr>
              <w:t>79</w:t>
            </w:r>
            <w:r w:rsidRPr="00B91C10">
              <w:rPr>
                <w:rFonts w:asciiTheme="majorBidi" w:hAnsiTheme="majorBidi" w:cstheme="majorBidi"/>
                <w:sz w:val="18"/>
                <w:szCs w:val="18"/>
                <w:lang w:val="ro-RO"/>
              </w:rPr>
              <w:t xml:space="preserve">. Cu excepția cazului în care există dispoziții contrare convenite de OST adiacenți în acordul lor de interconectare, se aplică următoarele dispoziții: </w:t>
            </w:r>
          </w:p>
          <w:p w:rsidR="00F02F76" w:rsidRPr="00B91C10" w:rsidRDefault="00F02F76" w:rsidP="00670674">
            <w:pPr>
              <w:pStyle w:val="ListParagraph"/>
              <w:numPr>
                <w:ilvl w:val="0"/>
                <w:numId w:val="11"/>
              </w:numPr>
              <w:tabs>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folosesc regula valorii inferioare. Aplicarea regulii valorii inferioare ca regulă implicită poate fi restricționată doar în cazul în care sunt îndeplinite condițiile </w:t>
            </w:r>
            <w:r w:rsidRPr="00B91C10">
              <w:rPr>
                <w:rFonts w:asciiTheme="majorBidi" w:hAnsiTheme="majorBidi" w:cstheme="majorBidi"/>
                <w:b/>
                <w:sz w:val="18"/>
                <w:szCs w:val="18"/>
                <w:lang w:val="ro-RO"/>
              </w:rPr>
              <w:t>Regulamentului privind accesul la rețelele de transport al gazelor naturale și gestionarea congestiilor,</w:t>
            </w:r>
            <w:r w:rsidRPr="00B91C10">
              <w:rPr>
                <w:rFonts w:asciiTheme="majorBidi" w:hAnsiTheme="majorBidi" w:cstheme="majorBidi"/>
                <w:sz w:val="18"/>
                <w:szCs w:val="18"/>
                <w:lang w:val="ro-RO"/>
              </w:rPr>
              <w:t xml:space="preserve"> iar aplicarea sa ar împiedica oferirea de capacitate fermă rezultată din procedurile de gestionare a congestiei; </w:t>
            </w:r>
          </w:p>
          <w:p w:rsidR="00F02F76" w:rsidRDefault="00F02F76" w:rsidP="00670674">
            <w:pPr>
              <w:pStyle w:val="ListParagraph"/>
              <w:numPr>
                <w:ilvl w:val="0"/>
                <w:numId w:val="11"/>
              </w:numPr>
              <w:tabs>
                <w:tab w:val="left" w:pos="0"/>
                <w:tab w:val="left" w:pos="183"/>
                <w:tab w:val="left" w:pos="325"/>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OST care deține controlul echipamentului de control al fluxului este OST concordant;</w:t>
            </w:r>
          </w:p>
          <w:p w:rsidR="00F02F76" w:rsidRPr="00855178" w:rsidRDefault="00F02F76" w:rsidP="00670674">
            <w:pPr>
              <w:pStyle w:val="ListParagraph"/>
              <w:tabs>
                <w:tab w:val="left" w:pos="466"/>
              </w:tabs>
              <w:rPr>
                <w:rFonts w:asciiTheme="majorBidi" w:hAnsiTheme="majorBidi" w:cstheme="majorBidi"/>
                <w:sz w:val="18"/>
                <w:szCs w:val="18"/>
                <w:lang w:val="ro-RO"/>
              </w:rPr>
            </w:pPr>
          </w:p>
          <w:p w:rsidR="00F02F76" w:rsidRPr="00B91C10" w:rsidRDefault="00F02F76" w:rsidP="00670674">
            <w:pPr>
              <w:pStyle w:val="ListParagraph"/>
              <w:numPr>
                <w:ilvl w:val="0"/>
                <w:numId w:val="11"/>
              </w:numPr>
              <w:tabs>
                <w:tab w:val="left" w:pos="0"/>
                <w:tab w:val="left" w:pos="183"/>
                <w:tab w:val="left" w:pos="325"/>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realizează procesul de concordanță în următoarele etape consecutive: </w:t>
            </w:r>
          </w:p>
          <w:p w:rsidR="00F02F76" w:rsidRPr="00B91C10" w:rsidRDefault="00F02F76" w:rsidP="00670674">
            <w:pPr>
              <w:pStyle w:val="ListParagraph"/>
              <w:numPr>
                <w:ilvl w:val="0"/>
                <w:numId w:val="12"/>
              </w:numPr>
              <w:tabs>
                <w:tab w:val="left" w:pos="0"/>
                <w:tab w:val="left" w:pos="183"/>
                <w:tab w:val="left" w:pos="32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calcularea și transmiterea cantităților) de gaze naturale prelucrate de către OST inițiator, în termen de 45 de minute de la începerea ciclului de nominalizare sau de renominalizare; </w:t>
            </w:r>
          </w:p>
          <w:p w:rsidR="00F02F76" w:rsidRDefault="00F02F76" w:rsidP="00670674">
            <w:pPr>
              <w:pStyle w:val="ListParagraph"/>
              <w:numPr>
                <w:ilvl w:val="0"/>
                <w:numId w:val="12"/>
              </w:numPr>
              <w:tabs>
                <w:tab w:val="left" w:pos="0"/>
                <w:tab w:val="left" w:pos="183"/>
                <w:tab w:val="left" w:pos="32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calcularea și transmiterea cantităților de gaze naturale confirmate de către OST concordant, în termen de 90 de minute de la începerea ciclului de nominalizare sau de renominalizare; </w:t>
            </w:r>
          </w:p>
          <w:p w:rsidR="00F02F76" w:rsidRDefault="00F02F76" w:rsidP="00670674">
            <w:pPr>
              <w:pStyle w:val="ListParagraph"/>
              <w:numPr>
                <w:ilvl w:val="0"/>
                <w:numId w:val="12"/>
              </w:numPr>
              <w:tabs>
                <w:tab w:val="left" w:pos="0"/>
                <w:tab w:val="left" w:pos="183"/>
                <w:tab w:val="left" w:pos="32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transmiterea cantităților de gaze naturale confirmate către utilizatorii de sistem și planificarea fluxului de gaze naturale prin punctul de interconectare de către OST adiacenți, în termen de 2 ore de la începutul ciclului de nominalizare sau de renominalizare.</w:t>
            </w:r>
          </w:p>
          <w:p w:rsidR="00F02F76" w:rsidRPr="00C33F84" w:rsidRDefault="00F02F76" w:rsidP="00670674">
            <w:pPr>
              <w:tabs>
                <w:tab w:val="left" w:pos="0"/>
                <w:tab w:val="left" w:pos="183"/>
                <w:tab w:val="left" w:pos="325"/>
              </w:tabs>
              <w:jc w:val="both"/>
              <w:rPr>
                <w:rFonts w:asciiTheme="majorBidi" w:hAnsiTheme="majorBidi" w:cstheme="majorBidi"/>
                <w:sz w:val="18"/>
                <w:szCs w:val="18"/>
                <w:lang w:val="ro-RO"/>
              </w:rPr>
            </w:pPr>
            <w:r w:rsidRPr="001628E2">
              <w:rPr>
                <w:rFonts w:asciiTheme="majorBidi" w:hAnsiTheme="majorBidi" w:cstheme="majorBidi"/>
                <w:sz w:val="18"/>
                <w:szCs w:val="18"/>
                <w:lang w:val="it-IT"/>
              </w:rPr>
              <w:t>Aceste etape succesive trebuie să se realizeze fără a aduce atingere duratei minime a întreruperilor, stabilite în comun de OST adiacenţi, conform pct.76, subpunctul 4). Durata minimă implicită a întreruperii pentru o oră gazieră este de 45 de minute după iniţierea ciclului de renominalizare pentru respectiva oră gazieră. În cazul în care 2 OST</w:t>
            </w:r>
            <w:r w:rsidRPr="00C33F84">
              <w:rPr>
                <w:rFonts w:asciiTheme="majorBidi" w:hAnsiTheme="majorBidi" w:cstheme="majorBidi"/>
                <w:sz w:val="18"/>
                <w:szCs w:val="18"/>
                <w:lang w:val="ro-RO"/>
              </w:rPr>
              <w:t xml:space="preserve"> </w:t>
            </w:r>
          </w:p>
        </w:tc>
        <w:tc>
          <w:tcPr>
            <w:tcW w:w="1417" w:type="dxa"/>
          </w:tcPr>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7D7833" w:rsidRDefault="00F02F76" w:rsidP="00670674">
            <w:pPr>
              <w:jc w:val="both"/>
              <w:rPr>
                <w:bCs/>
                <w:sz w:val="18"/>
                <w:szCs w:val="18"/>
                <w:lang w:val="it-IT"/>
              </w:rPr>
            </w:pPr>
            <w:r w:rsidRPr="007D7833">
              <w:rPr>
                <w:bCs/>
                <w:sz w:val="18"/>
                <w:szCs w:val="18"/>
                <w:lang w:val="it-IT"/>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lastRenderedPageBreak/>
              <w:t>Article 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Rules for the matching process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respect of the matching process, the adjacent transmission system operators shall establish: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rules detailing the matching process taking into account daily-hourly nomination arrangements where relevant;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rules governing the communication and processing of the relevant data among the adjacent transmission system operators in order to calculate the processed quantities and confirmed quantities of gas for network users and the quantity of gas that needs to be scheduled to flow at the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Nominations and re-nominations shall be managed in accordance with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application of a matching rule shall lead to identical confirmed quantities for each pair of network users at both sides of the interconnection point when processed quantities are not aligned;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(b) the adjacent transmission system operators may agree to maintain or implement a matching rule other than the lesser rule, provided that this rule is published and network users are invited to comment on the proposed matching rule within a period of time of not less than two months after publication of the matching rule;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adjacent transmission system operators shall specify their respective roles in the matching process by indicating whether they are the initiating or the matching transmission system operator;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the adjacent transmission system operators shall specify the applicable time schedule for the matching process within the nomination or re-nomination cycle, given that the whole matching process shall not take more than two hours from the starting of the nomination or re-nomination cycle, and shall take into account: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the data that needs to be exchanged between the adjacent transmission system operators in order to enable them to inform network users of their confirmed quantities before the end of the nomination or re-nomination cycle, including as a minimum the data referred to in paragraph 4(b);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 the data exchange process defined in point (i) above shall enable the adjacent transmission system operators to perform all calculation and communication steps in an accurate and timely manner.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When processing nominations for an interconnection point, the adjacent transmission system operators shall ensure that the gas flow at both sides of the interconnection point is calculated on a consistent basis taking into account any temporary reduction of capacity due to any of the conditions referred to in Article 6(4) on one or both sides of the interconnection point.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Each interconnection agreement shall specify in its provisions on data exchange for the matching process: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use of data exchange between the adjacent transmission system operators for the matching process; (b) the harmonised information contained within the data exchange for the matching process which shall contain at least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 interconnection point identification;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network user identification or if applicable its portfolio identification;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(iii) identification of the party delivering to or receiving gas from the network user or if applicable its portfolio identification;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 start and end time of the gas flow for which the matching is made; (v) gas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(vi) processed and confirmed quantities; (vii) direction of gas flow.</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Unless otherwise agreed by the adjacent transmission system operators in their interconnection agreement, the following shall apply: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transmission system operators shall use the lesser rule. The application of the lesser rule as the default rule may only be restricted in case the conditions of point 2.2.3.1 of Annex I of Regulation (EC) No 715/2009 are fulfilled and its application would prevent the offer of firm capacity from the congestion management procedures;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the transmission system operator in control of the flow control equipment shall be the matching transmission system operator;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transmission system operators shall perform the matching process in the following sequential steps: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calculating and sending of processed quantities of gas by the initiating transmission system operator within 45 minutes of the start of the nomination or re-nomination cycle;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calculating and sending of confirmed quantities of gas by the matching transmission system operator within 90 minutes from the start of the nomination or re-nomination cycle;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 sending confirmed quantities of gas to network users and scheduling the gas flow across the interconnection point by the adjacent transmission system operators within two hours from the start of the nomination or re-nomination cycle. These sequential steps shall be without prejudice to the minimum interruption lead times decided jointly by adjacent transmi system operators and paragraph 2 (d) of this Article.</w:t>
            </w:r>
          </w:p>
          <w:p w:rsidR="00F02F76" w:rsidRPr="00B91C10" w:rsidRDefault="00F02F76" w:rsidP="004739CB">
            <w:pPr>
              <w:jc w:val="both"/>
              <w:rPr>
                <w:rFonts w:asciiTheme="majorBidi" w:hAnsiTheme="majorBidi" w:cstheme="majorBidi"/>
                <w:b/>
                <w:sz w:val="18"/>
                <w:szCs w:val="18"/>
              </w:rPr>
            </w:pPr>
            <w:r w:rsidRPr="008105E6">
              <w:rPr>
                <w:rFonts w:asciiTheme="majorBidi" w:hAnsiTheme="majorBidi" w:cstheme="majorBidi"/>
                <w:sz w:val="18"/>
                <w:szCs w:val="18"/>
              </w:rPr>
              <w:t>The default minimum interruption lead time for a given gas hour shall be forty five minutes after the start of the re-nomination cycle for that gas hour. Where two transmission system operators wish to shorten the lead time for interruptions, any related agreement entered into between the transmission system operators shall be subject to competent national regulatory authority approval</w:t>
            </w:r>
            <w:r w:rsidR="004739CB">
              <w:rPr>
                <w:rFonts w:asciiTheme="majorBidi" w:hAnsiTheme="majorBidi" w:cstheme="majorBidi"/>
                <w:sz w:val="18"/>
                <w:szCs w:val="18"/>
              </w:rPr>
              <w:t>.</w:t>
            </w:r>
          </w:p>
        </w:tc>
      </w:tr>
      <w:tr w:rsidR="00F02F76" w:rsidRPr="00B91C10" w:rsidTr="00605DF1">
        <w:trPr>
          <w:trHeight w:val="346"/>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9</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Norme privind alocarea cantităților de gaz</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alocarea cantităților de gaz, operatorii de sisteme de transport adiacenți stabilesc norme care să asigure consecvența între cantitățile alocate la ambele părți ale punctului de interconectare.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Cu excepția cazului în care s-a convenit altfel în acordul de interconectare, operatorii de sisteme de transport trebuie să utilizeze un cont de echilibrare operațională. Operatorul de sistem de transport care deține controlul asupra echipamentului de măsurare recalculează contul de echilibrare operațională cu cantitățile validate și îl comunică operatorului sau operatorilor de sisteme de transport adiacenți.</w:t>
            </w:r>
          </w:p>
          <w:p w:rsidR="00F17D9C" w:rsidRPr="00B91C10" w:rsidRDefault="00F17D9C"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cazul în care se folosește un cont de echilibrare operațională: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diferența de direcționare se alocă unui cont de echilibrare operațională al operatorilor de sistem de transport adiacenți, iar alocările care trebuie furnizate de fiecare operator de sistem de transport adiacent către utilizatorii săi de rețea respectivi sunt egale cu cantitățile confirmate;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adiacenți mențin un sold al contului de echilibrare operațională care să fie cât mai apropiat de zero posibil;</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limitele contului de echilibrare operațională țin seama de caracteristicile specifice ale fiecărui punct de interconectare și/sau ale rețelelor de transport interconectate, în special de:</w:t>
                  </w:r>
                </w:p>
                <w:tbl>
                  <w:tblPr>
                    <w:tblW w:w="5000" w:type="pct"/>
                    <w:tblLayout w:type="fixed"/>
                    <w:tblCellMar>
                      <w:left w:w="0" w:type="dxa"/>
                      <w:right w:w="0" w:type="dxa"/>
                    </w:tblCellMar>
                    <w:tblLook w:val="04A0" w:firstRow="1" w:lastRow="0" w:firstColumn="1" w:lastColumn="0" w:noHBand="0" w:noVBand="1"/>
                  </w:tblPr>
                  <w:tblGrid>
                    <w:gridCol w:w="222"/>
                    <w:gridCol w:w="4766"/>
                  </w:tblGrid>
                  <w:tr w:rsidR="00F02F76" w:rsidRPr="00C27D66" w:rsidTr="00670674">
                    <w:tc>
                      <w:tcPr>
                        <w:tcW w:w="398"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89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caracteristicile fizice ale punctului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38"/>
                    <w:gridCol w:w="4750"/>
                  </w:tblGrid>
                  <w:tr w:rsidR="00F02F76" w:rsidRPr="00C27D66" w:rsidTr="00670674">
                    <w:tc>
                      <w:tcPr>
                        <w:tcW w:w="428"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886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de stocare în conductă a fiecărei rețele de transport;</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330"/>
                    <w:gridCol w:w="4658"/>
                  </w:tblGrid>
                  <w:tr w:rsidR="00F02F76" w:rsidRPr="00C27D66" w:rsidTr="00670674">
                    <w:tc>
                      <w:tcPr>
                        <w:tcW w:w="599"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697"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capacitățile tehnice totale la punctul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79"/>
                    <w:gridCol w:w="4709"/>
                  </w:tblGrid>
                  <w:tr w:rsidR="00F02F76" w:rsidRPr="00C27D66" w:rsidTr="00670674">
                    <w:tc>
                      <w:tcPr>
                        <w:tcW w:w="504"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w:t>
                        </w:r>
                      </w:p>
                    </w:tc>
                    <w:tc>
                      <w:tcPr>
                        <w:tcW w:w="8792"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dinamica fluxului de gaz la rețelele de transport interconectate.</w:t>
                        </w:r>
                      </w:p>
                      <w:p w:rsidR="00380C00" w:rsidRDefault="00380C00" w:rsidP="00670674">
                        <w:pPr>
                          <w:jc w:val="both"/>
                          <w:rPr>
                            <w:rFonts w:asciiTheme="majorBidi" w:hAnsiTheme="majorBidi" w:cstheme="majorBidi"/>
                            <w:sz w:val="18"/>
                            <w:szCs w:val="18"/>
                            <w:lang w:val="it-IT"/>
                          </w:rPr>
                        </w:pPr>
                      </w:p>
                      <w:p w:rsidR="00380C00" w:rsidRPr="00B91C10" w:rsidRDefault="00380C00"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limitele definite ale contului de echilibrare operațională sunt atinse, operatorii de sisteme de transport adiacenți pot conveni să extindă aceste limite pentru a oferi utilizatorilor rețelei alocări care sunt egale cu cantitățile lor confirmate sau, altfel, pentru a aloca utilizatorilor rețelei cantități bazate în mod proporțional pe cantitatea măsurată.</w:t>
            </w:r>
          </w:p>
          <w:p w:rsidR="00380C00" w:rsidRDefault="00380C00" w:rsidP="00670674">
            <w:pPr>
              <w:shd w:val="clear" w:color="auto" w:fill="FFFFFF"/>
              <w:jc w:val="both"/>
              <w:rPr>
                <w:rFonts w:asciiTheme="majorBidi" w:hAnsiTheme="majorBidi" w:cstheme="majorBidi"/>
                <w:sz w:val="18"/>
                <w:szCs w:val="18"/>
                <w:lang w:val="it-IT"/>
              </w:rPr>
            </w:pPr>
          </w:p>
          <w:p w:rsidR="00380C00" w:rsidRDefault="00380C00" w:rsidP="00670674">
            <w:pPr>
              <w:shd w:val="clear" w:color="auto" w:fill="FFFFFF"/>
              <w:jc w:val="both"/>
              <w:rPr>
                <w:rFonts w:asciiTheme="majorBidi" w:hAnsiTheme="majorBidi" w:cstheme="majorBidi"/>
                <w:sz w:val="18"/>
                <w:szCs w:val="18"/>
                <w:lang w:val="it-IT"/>
              </w:rPr>
            </w:pPr>
          </w:p>
          <w:p w:rsidR="00380C00" w:rsidRDefault="00380C00" w:rsidP="00670674">
            <w:pPr>
              <w:shd w:val="clear" w:color="auto" w:fill="FFFFFF"/>
              <w:jc w:val="both"/>
              <w:rPr>
                <w:rFonts w:asciiTheme="majorBidi" w:hAnsiTheme="majorBidi" w:cstheme="majorBidi"/>
                <w:sz w:val="18"/>
                <w:szCs w:val="18"/>
                <w:lang w:val="it-IT"/>
              </w:rPr>
            </w:pPr>
          </w:p>
          <w:p w:rsidR="00380C00" w:rsidRPr="00B91C10" w:rsidRDefault="00380C00" w:rsidP="00670674">
            <w:pPr>
              <w:shd w:val="clear" w:color="auto" w:fill="FFFFFF"/>
              <w:jc w:val="both"/>
              <w:rPr>
                <w:rFonts w:asciiTheme="majorBidi" w:hAnsiTheme="majorBidi" w:cstheme="majorBidi"/>
                <w:sz w:val="18"/>
                <w:szCs w:val="18"/>
                <w:lang w:val="it-IT"/>
              </w:rPr>
            </w:pPr>
          </w:p>
          <w:p w:rsidR="00F02F76" w:rsidRPr="00605DF1"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Operatorii de sisteme de transport adiacenți pot conveni să mențină sau să implementeze o altă regulă de alocare decât contul de echilibrare operațională, cu condiția ca această regulă să fie publicată și ca utilizatorii rețelei să fie invitați să prezinte observații cu privire la regula de alocare propusă în termen de cel puțin două luni de la publicarea regulii de alocare</w:t>
            </w:r>
          </w:p>
        </w:tc>
        <w:tc>
          <w:tcPr>
            <w:tcW w:w="4820" w:type="dxa"/>
          </w:tcPr>
          <w:p w:rsidR="00F02F76" w:rsidRPr="00B91C10" w:rsidRDefault="00F02F76" w:rsidP="00670674">
            <w:pPr>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5</w:t>
            </w:r>
          </w:p>
          <w:p w:rsidR="00F02F76" w:rsidRPr="00B91C10" w:rsidRDefault="00F02F76" w:rsidP="00670674">
            <w:pPr>
              <w:jc w:val="center"/>
              <w:rPr>
                <w:rFonts w:asciiTheme="majorBidi" w:hAnsiTheme="majorBidi" w:cstheme="majorBidi"/>
                <w:b/>
                <w:sz w:val="18"/>
                <w:szCs w:val="18"/>
                <w:lang w:val="ro-RO"/>
              </w:rPr>
            </w:pPr>
            <w:r w:rsidRPr="00B91C10">
              <w:rPr>
                <w:rFonts w:asciiTheme="majorBidi" w:hAnsiTheme="majorBidi" w:cstheme="majorBidi"/>
                <w:b/>
                <w:sz w:val="18"/>
                <w:szCs w:val="18"/>
                <w:lang w:val="ro-RO"/>
              </w:rPr>
              <w:t>Alocarea cantității de gaze naturale</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Pentru </w:t>
            </w:r>
            <w:r w:rsidRPr="00B91C10">
              <w:rPr>
                <w:rFonts w:asciiTheme="majorBidi" w:hAnsiTheme="majorBidi" w:cstheme="majorBidi"/>
                <w:sz w:val="18"/>
                <w:szCs w:val="18"/>
                <w:lang w:val="ro-RO"/>
              </w:rPr>
              <w:t xml:space="preserve"> alocarea cantităților de gaze naturale, OST adiacenți stabilesc norme care să asigure consecvența între cantitățile</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alocate la ambele părți ale punctului de interconectare. </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.Cu excepția cazului în care s-a convenit altfel în acordul de interconectare, OST trebuie să utilizeze un cont de echilibrare operațională. OST care deține controlul asupra echipamentului de măsurare recalculează în balanța contului de echilibrare operațională cantitățile (volumele) validate și le comunică operatorului sau OST adiacenți. </w:t>
            </w:r>
          </w:p>
          <w:p w:rsidR="00F17D9C" w:rsidRPr="00B91C10" w:rsidRDefault="00F17D9C"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183"/>
                <w:tab w:val="left" w:pos="46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2</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În cazul în care se folosește un cont de echilibrare operațională: </w:t>
            </w:r>
          </w:p>
          <w:p w:rsidR="00F02F76" w:rsidRPr="00B91C10" w:rsidRDefault="00F02F76" w:rsidP="00670674">
            <w:pPr>
              <w:pStyle w:val="ListParagraph"/>
              <w:numPr>
                <w:ilvl w:val="0"/>
                <w:numId w:val="17"/>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diferența de direcționare se alocă unui cont de echilibrare operațională al OST adiacenți, iar alocările care trebuie realizate de fiecare OST adiacent către utilizatorii săi de sistem sunt egale cu cantitățile (volumele)confirmate; </w:t>
            </w:r>
          </w:p>
          <w:p w:rsidR="00F02F76" w:rsidRPr="00B91C10" w:rsidRDefault="00F02F76" w:rsidP="00670674">
            <w:pPr>
              <w:pStyle w:val="ListParagraph"/>
              <w:tabs>
                <w:tab w:val="left" w:pos="183"/>
                <w:tab w:val="left" w:pos="325"/>
              </w:tabs>
              <w:suppressAutoHyphens w:val="0"/>
              <w:ind w:left="709" w:firstLine="41"/>
              <w:jc w:val="both"/>
              <w:rPr>
                <w:rFonts w:asciiTheme="majorBidi" w:hAnsiTheme="majorBidi" w:cstheme="majorBidi"/>
                <w:sz w:val="18"/>
                <w:szCs w:val="18"/>
                <w:lang w:val="ro-RO"/>
              </w:rPr>
            </w:pPr>
          </w:p>
          <w:p w:rsidR="00F02F76" w:rsidRPr="00B91C10" w:rsidRDefault="00F02F76" w:rsidP="00670674">
            <w:pPr>
              <w:pStyle w:val="ListParagraph"/>
              <w:numPr>
                <w:ilvl w:val="0"/>
                <w:numId w:val="17"/>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adiacenți mențin un sold al contului de echilibrare operațională care să fie cât mai apropiat de zero </w:t>
            </w:r>
          </w:p>
          <w:p w:rsidR="00F02F76" w:rsidRPr="00B91C10" w:rsidRDefault="00F02F76" w:rsidP="00670674">
            <w:pPr>
              <w:pStyle w:val="ListParagraph"/>
              <w:numPr>
                <w:ilvl w:val="0"/>
                <w:numId w:val="17"/>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limitele contului de echilibrare operațională țin seama de caracteristicile specifice ale fiecărui punct de interconectare și/sau ale rețelelor de transport interconectate, în special de: </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caracteristicile fizice ale punctului de interconectare; </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capacitatea de stocare în conductă a fiecărei rețele de transport al gazelor naturale; </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capacitățile tehnice totale la punctul de interconectare;</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dinamica fluxului de gaze naturale la rețelele de transport interconectate.</w:t>
            </w:r>
          </w:p>
          <w:p w:rsidR="00F02F76" w:rsidRDefault="00F02F76" w:rsidP="00670674">
            <w:pPr>
              <w:tabs>
                <w:tab w:val="left" w:pos="709"/>
                <w:tab w:val="left" w:pos="1276"/>
              </w:tabs>
              <w:jc w:val="both"/>
              <w:rPr>
                <w:rFonts w:asciiTheme="majorBidi" w:hAnsiTheme="majorBidi" w:cstheme="majorBidi"/>
                <w:sz w:val="18"/>
                <w:szCs w:val="18"/>
                <w:lang w:val="ro-RO"/>
              </w:rPr>
            </w:pPr>
          </w:p>
          <w:p w:rsidR="00F02F76" w:rsidRDefault="00F02F76" w:rsidP="00670674">
            <w:pPr>
              <w:tabs>
                <w:tab w:val="left" w:pos="709"/>
                <w:tab w:val="left" w:pos="1276"/>
              </w:tabs>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În cazul în care limitele definite ale contului de echilibrare operațională sunt atinse, OST adiacenți pot conveni să extindă aceste limite pentru a oferi utilizatorilor de sistem alocări care sunt egale cu cantitățile (volumele) lor confirmate sau, altfel, pentru a aloca utilizatorilor de sistem în mod proporțional cantități de gaze naturale bazate pe cantitatea (volumul) de gaze naturale măsurat. </w:t>
            </w:r>
          </w:p>
          <w:p w:rsidR="00380C00" w:rsidRDefault="00380C00" w:rsidP="00670674">
            <w:pPr>
              <w:tabs>
                <w:tab w:val="left" w:pos="709"/>
                <w:tab w:val="left" w:pos="1276"/>
              </w:tabs>
              <w:jc w:val="both"/>
              <w:rPr>
                <w:rFonts w:asciiTheme="majorBidi" w:hAnsiTheme="majorBidi" w:cstheme="majorBidi"/>
                <w:sz w:val="18"/>
                <w:szCs w:val="18"/>
                <w:lang w:val="ro-RO"/>
              </w:rPr>
            </w:pPr>
          </w:p>
          <w:p w:rsidR="00F02F76" w:rsidRPr="00605DF1" w:rsidRDefault="00F02F76" w:rsidP="00605DF1">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3</w:t>
            </w:r>
            <w:r w:rsidRPr="00B91C10">
              <w:rPr>
                <w:rFonts w:asciiTheme="majorBidi" w:hAnsiTheme="majorBidi" w:cstheme="majorBidi"/>
                <w:sz w:val="18"/>
                <w:szCs w:val="18"/>
                <w:lang w:val="ro-RO"/>
              </w:rPr>
              <w:t>. OST adiacenți pot conveni să mențină sau să implementeze o altă regulă de alocare decât contul de echilibrare operațională, cu condiția ca această regulă să fie publicată și ca utilizatorii de sistem să fie invitați să prezinte observații cu privire la regula de alocare propusă în termen de cel puțin d</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luni de la publicarea regulii de alocare.</w:t>
            </w: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17D9C" w:rsidRDefault="00F17D9C"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tc>
        <w:tc>
          <w:tcPr>
            <w:tcW w:w="4253" w:type="dxa"/>
          </w:tcPr>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Article 9</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Rules for the allocation of gas quantities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respect of the allocation of gas quantities, the adjacent transmission system operators shall establish rules ensuring consistency between the allocated quantities at both sides of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Unless otherwise agreed in the interconnection agreement, the transmission system operators shall use an operational balancing account. The transmission system operator in control of the measurement equipment shall recalculate the operational balancing account with validated quantities and communicate it to the adjacent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Where an operational balancing account applies: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 steering difference shall be allocated to an operational balancing account of the adjacent transmission system operators and the allocations to be provided by each adjacent transmission system operator to their respective network users shall be equal to the confirmed quantities;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the adjacent transmission system operators shall maintain an operational bala</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ncing account balance that is as close to zero as possible; (c) the operational balancing account limits shall take into account specific characteristics of each interconnection point and/or the interconnected transmission networks, in particular: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 physical characteristics of the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linepack capability of each transmission network;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 the total technical capacities at the interconnection point;</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(iv) gas flow dynamics at the interconnected transmission networks.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the defined limits of the operational balancing account are reached, the adjacent transmission system operators may agree to extend those limits in order to provide allocations to network users that are equal to their confirmed quantities or otherwise allocate quantities to network users proportionally based on the measured quantity.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4. The adjacent transmission system operators may agree to maintain or implement an allocation rule other than the operational balancing account, provided that this rule is published and network users are invited to comment on the proposed allocation rule within at least two months after publication of the allocation rule</w:t>
            </w:r>
          </w:p>
        </w:tc>
      </w:tr>
      <w:tr w:rsidR="00F02F76" w:rsidRPr="00B91C10" w:rsidTr="00670674">
        <w:trPr>
          <w:trHeight w:val="1240"/>
        </w:trPr>
        <w:tc>
          <w:tcPr>
            <w:tcW w:w="5245" w:type="dxa"/>
          </w:tcPr>
          <w:p w:rsidR="00F02F76" w:rsidRPr="00380C00" w:rsidRDefault="00F02F76" w:rsidP="00670674">
            <w:pPr>
              <w:shd w:val="clear" w:color="auto" w:fill="FFFFFF"/>
              <w:jc w:val="both"/>
              <w:rPr>
                <w:rFonts w:asciiTheme="majorBidi" w:hAnsiTheme="majorBidi" w:cstheme="majorBidi"/>
                <w:i/>
                <w:iCs/>
                <w:sz w:val="18"/>
                <w:szCs w:val="18"/>
              </w:rPr>
            </w:pP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10</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Proceduri de comunicare în caz de evenimente excepționale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sisteme de transport adiacenți se asigură că sunt stabilite proceduri de comunicare care permit o comunicare rapidă și simultană în caz de evenimente excepționale. Cu excepția cazului în care s-a convenit altfel, comunicarea dintre operatorii de sisteme de transport implicați se realizează pe cale orală în limba engleză, pentru informare, fiind urmată de o confirmare scrisă în format electronic.</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Operatorul de sistem de transport afectat de un eveniment excepțional trebuie, ca o condiție minimă, să informeze utilizatorii rețelei sale cu privire la literele (b) și (c) din prezentul alineat, dacă există un impact potențial asupra cantităților lor confirmate, și operatorul sau operatorii de sisteme de transport adiacenți cu privire la literele (a) și (c) din prezentul alineat, în legătură cu apariția evenimentului excepțional respectiv, și, de asemenea, trebuie să furnizeze toate informațiile necesare cu privire la: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2"/>
              <w:gridCol w:w="4897"/>
            </w:tblGrid>
            <w:tr w:rsidR="00F02F76" w:rsidRPr="00C27D66" w:rsidTr="00670674">
              <w:tc>
                <w:tcPr>
                  <w:tcW w:w="2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2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impactul posibil asupra cantităților și a calității gazului care poate fi transportat prin punctul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impactul posibil asupra cantităților confirmate pentru utilizatorii rețelei care sunt activi la punctul (punctele) de interconectare în cauză;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3"/>
              <w:gridCol w:w="4796"/>
            </w:tblGrid>
            <w:tr w:rsidR="00F02F76" w:rsidRPr="00B91C10" w:rsidTr="00670674">
              <w:tc>
                <w:tcPr>
                  <w:tcW w:w="4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937"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sfârșitul preconizat și cel real al evenimentului excepțional.</w:t>
                  </w:r>
                </w:p>
              </w:tc>
            </w:tr>
          </w:tbl>
          <w:p w:rsidR="00F02F76" w:rsidRPr="00605DF1"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(3)   Prezentul articol se aplică fără a aduce atingere dispozițiilor stabilite în temeiul Regulamentului (UE) nr. 1227/2011 al Parlamentului European și al Consiliului</w:t>
            </w:r>
            <w:hyperlink r:id="rId13" w:anchor="ntr8-L_2015113RO.01001301-E0008" w:history="1">
              <w:r w:rsidRPr="00B91C10">
                <w:rPr>
                  <w:rFonts w:asciiTheme="majorBidi" w:hAnsiTheme="majorBidi" w:cstheme="majorBidi"/>
                  <w:sz w:val="18"/>
                  <w:szCs w:val="18"/>
                  <w:lang w:val="en-GB"/>
                </w:rPr>
                <w:t> (</w:t>
              </w:r>
              <w:r w:rsidRPr="00B91C10">
                <w:rPr>
                  <w:rFonts w:asciiTheme="majorBidi" w:hAnsiTheme="majorBidi" w:cstheme="majorBidi"/>
                  <w:sz w:val="18"/>
                  <w:szCs w:val="18"/>
                  <w:vertAlign w:val="superscript"/>
                  <w:lang w:val="en-GB"/>
                </w:rPr>
                <w:t>8</w:t>
              </w:r>
              <w:r w:rsidRPr="00B91C10">
                <w:rPr>
                  <w:rFonts w:asciiTheme="majorBidi" w:hAnsiTheme="majorBidi" w:cstheme="majorBidi"/>
                  <w:sz w:val="18"/>
                  <w:szCs w:val="18"/>
                  <w:lang w:val="en-GB"/>
                </w:rPr>
                <w:t>)</w:t>
              </w:r>
            </w:hyperlink>
            <w:r w:rsidRPr="00B91C10">
              <w:rPr>
                <w:rFonts w:asciiTheme="majorBidi" w:hAnsiTheme="majorBidi" w:cstheme="majorBidi"/>
                <w:sz w:val="18"/>
                <w:szCs w:val="18"/>
                <w:lang w:val="en-GB"/>
              </w:rPr>
              <w:t> și actelor sale de punere în aplicare.</w:t>
            </w:r>
          </w:p>
        </w:tc>
        <w:tc>
          <w:tcPr>
            <w:tcW w:w="4820" w:type="dxa"/>
          </w:tcPr>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6</w:t>
            </w:r>
          </w:p>
          <w:p w:rsidR="00F02F76" w:rsidRPr="00B91C10" w:rsidRDefault="00F02F76" w:rsidP="00670674">
            <w:pPr>
              <w:jc w:val="center"/>
              <w:rPr>
                <w:rFonts w:asciiTheme="majorBidi" w:hAnsiTheme="majorBidi" w:cstheme="majorBidi"/>
                <w:b/>
                <w:sz w:val="18"/>
                <w:szCs w:val="18"/>
                <w:lang w:val="ro-RO"/>
              </w:rPr>
            </w:pPr>
            <w:r w:rsidRPr="00B91C10">
              <w:rPr>
                <w:rFonts w:asciiTheme="majorBidi" w:hAnsiTheme="majorBidi" w:cstheme="majorBidi"/>
                <w:b/>
                <w:sz w:val="18"/>
                <w:szCs w:val="18"/>
                <w:lang w:val="ro-RO"/>
              </w:rPr>
              <w:t>Proceduri de comunicare în caz de situații excepționale</w:t>
            </w:r>
          </w:p>
          <w:p w:rsidR="00F02F76" w:rsidRPr="00B91C10" w:rsidRDefault="00F02F76" w:rsidP="00670674">
            <w:pPr>
              <w:jc w:val="center"/>
              <w:rPr>
                <w:rFonts w:asciiTheme="majorBidi" w:hAnsiTheme="majorBidi" w:cstheme="majorBidi"/>
                <w:b/>
                <w:sz w:val="18"/>
                <w:szCs w:val="18"/>
                <w:lang w:val="ro-RO"/>
              </w:rPr>
            </w:pP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4</w:t>
            </w:r>
            <w:r w:rsidRPr="00B91C10">
              <w:rPr>
                <w:rFonts w:asciiTheme="majorBidi" w:hAnsiTheme="majorBidi" w:cstheme="majorBidi"/>
                <w:sz w:val="18"/>
                <w:szCs w:val="18"/>
                <w:lang w:val="ro-RO"/>
              </w:rPr>
              <w:t>.OST adiacenți se asigură că sunt stabilite proceduri de comunicare care permit o comunicare rapidă și simultană în caz de situații excepționale. Cu excepția cazului în care s-a convenit altfel, comunicarea dintre OST implicați se realizează verbal în limba engleză, pentru informare, fiind urmată de o confirmare scrisă în format electronic.</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325"/>
                <w:tab w:val="left" w:pos="46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 OST afectat de o  situație excepțională trebuie, ca o condiție minimă, să informeze utilizatorii de sistem cu privire la </w:t>
            </w:r>
            <w:r w:rsidRPr="00B91C10">
              <w:rPr>
                <w:rFonts w:asciiTheme="majorBidi" w:hAnsiTheme="majorBidi" w:cstheme="majorBidi"/>
                <w:b/>
                <w:sz w:val="18"/>
                <w:szCs w:val="18"/>
                <w:lang w:val="ro-RO"/>
              </w:rPr>
              <w:t xml:space="preserve">subpunctele 2) și 3) </w:t>
            </w:r>
            <w:r w:rsidRPr="00B91C10">
              <w:rPr>
                <w:rFonts w:asciiTheme="majorBidi" w:hAnsiTheme="majorBidi" w:cstheme="majorBidi"/>
                <w:sz w:val="18"/>
                <w:szCs w:val="18"/>
                <w:lang w:val="ro-RO"/>
              </w:rPr>
              <w:t xml:space="preserve">din prezentul punct dacă există un impact potențial asupra cantităților lor confirmate, și operatorul sau OST adiacenți cu privire la </w:t>
            </w:r>
            <w:r w:rsidRPr="00B91C10">
              <w:rPr>
                <w:rFonts w:asciiTheme="majorBidi" w:hAnsiTheme="majorBidi" w:cstheme="majorBidi"/>
                <w:b/>
                <w:sz w:val="18"/>
                <w:szCs w:val="18"/>
                <w:lang w:val="ro-RO"/>
              </w:rPr>
              <w:t>subpunctele</w:t>
            </w:r>
            <w:r w:rsidRPr="00B91C10">
              <w:rPr>
                <w:rFonts w:asciiTheme="majorBidi" w:hAnsiTheme="majorBidi" w:cstheme="majorBidi"/>
                <w:sz w:val="18"/>
                <w:szCs w:val="18"/>
                <w:lang w:val="ro-RO"/>
              </w:rPr>
              <w:t xml:space="preserve"> </w:t>
            </w:r>
            <w:r w:rsidRPr="00B91C10">
              <w:rPr>
                <w:rFonts w:asciiTheme="majorBidi" w:hAnsiTheme="majorBidi" w:cstheme="majorBidi"/>
                <w:b/>
                <w:sz w:val="18"/>
                <w:szCs w:val="18"/>
                <w:lang w:val="ro-RO"/>
              </w:rPr>
              <w:t>1) și 3)</w:t>
            </w:r>
            <w:r w:rsidRPr="00B91C10">
              <w:rPr>
                <w:rFonts w:asciiTheme="majorBidi" w:hAnsiTheme="majorBidi" w:cstheme="majorBidi"/>
                <w:sz w:val="18"/>
                <w:szCs w:val="18"/>
                <w:lang w:val="ro-RO"/>
              </w:rPr>
              <w:t xml:space="preserve"> în legătură cu apariția evenimentului excepțional respectiv, și, de asemenea, trebuie să furnizeze toate informațiile necesare cu privire la: </w:t>
            </w:r>
          </w:p>
          <w:p w:rsidR="00F02F76" w:rsidRPr="00B91C10" w:rsidRDefault="00F02F76" w:rsidP="00670674">
            <w:pPr>
              <w:pStyle w:val="ListParagraph"/>
              <w:numPr>
                <w:ilvl w:val="0"/>
                <w:numId w:val="19"/>
              </w:numPr>
              <w:tabs>
                <w:tab w:val="left" w:pos="183"/>
                <w:tab w:val="left" w:pos="325"/>
                <w:tab w:val="left" w:pos="46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impactul posibil asupra cantităților și a calității gazelor naturale care pot fi transportate prin punctul de interconectare; </w:t>
            </w:r>
          </w:p>
          <w:p w:rsidR="00F02F76" w:rsidRPr="00B91C10" w:rsidRDefault="00F02F76" w:rsidP="00670674">
            <w:pPr>
              <w:pStyle w:val="ListParagraph"/>
              <w:numPr>
                <w:ilvl w:val="0"/>
                <w:numId w:val="19"/>
              </w:numPr>
              <w:tabs>
                <w:tab w:val="left" w:pos="325"/>
                <w:tab w:val="left" w:pos="466"/>
                <w:tab w:val="left" w:pos="1066"/>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impactul posibil asupra cantităților confirmate pentru utilizatorii de sistem care sunt activi la punctul punctele) de interconectare</w:t>
            </w:r>
            <w:r>
              <w:rPr>
                <w:rFonts w:asciiTheme="majorBidi" w:hAnsiTheme="majorBidi" w:cstheme="majorBidi"/>
                <w:sz w:val="18"/>
                <w:szCs w:val="18"/>
                <w:lang w:val="ro-RO"/>
              </w:rPr>
              <w:t xml:space="preserve"> respective</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19"/>
              </w:numPr>
              <w:tabs>
                <w:tab w:val="left" w:pos="325"/>
                <w:tab w:val="left" w:pos="466"/>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sfârșitul preconizat și cel real al situației excepționale. </w:t>
            </w: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05DF1">
            <w:pPr>
              <w:jc w:val="center"/>
              <w:rPr>
                <w:rFonts w:asciiTheme="majorBidi" w:hAnsiTheme="majorBidi" w:cstheme="majorBidi"/>
                <w:sz w:val="18"/>
                <w:szCs w:val="18"/>
              </w:rPr>
            </w:pPr>
            <w:r w:rsidRPr="00B91C10">
              <w:rPr>
                <w:rFonts w:asciiTheme="majorBidi" w:hAnsiTheme="majorBidi" w:cstheme="majorBidi"/>
                <w:sz w:val="18"/>
                <w:szCs w:val="18"/>
              </w:rPr>
              <w:t>Article 10</w:t>
            </w:r>
          </w:p>
          <w:p w:rsidR="00F02F76" w:rsidRPr="00B91C10" w:rsidRDefault="00F02F76" w:rsidP="00605DF1">
            <w:pPr>
              <w:jc w:val="center"/>
              <w:rPr>
                <w:rFonts w:asciiTheme="majorBidi" w:hAnsiTheme="majorBidi" w:cstheme="majorBidi"/>
                <w:b/>
                <w:bCs/>
                <w:sz w:val="18"/>
                <w:szCs w:val="18"/>
              </w:rPr>
            </w:pPr>
            <w:r w:rsidRPr="00B91C10">
              <w:rPr>
                <w:rFonts w:asciiTheme="majorBidi" w:hAnsiTheme="majorBidi" w:cstheme="majorBidi"/>
                <w:b/>
                <w:bCs/>
                <w:sz w:val="18"/>
                <w:szCs w:val="18"/>
              </w:rPr>
              <w:t>Communication procedures in case of exceptional events</w:t>
            </w:r>
          </w:p>
          <w:p w:rsidR="00F02F76" w:rsidRPr="00B91C10" w:rsidRDefault="00F02F76" w:rsidP="00670674">
            <w:pPr>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The adjacent transmission system operators shall ensure that communication procedures which facilitate fast and simultaneous communication in cases of exceptional events are established. Unless otherwise agreed, the communication between the involved transmission system operators shall be performed by oral communication in English for information, followed by an electronic written confirmation.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2.The transmission system operator affected by an exceptional event shall be required, as a minimum, to inform its network users with respect to point (b) and (c) of this paragraph if there is a potential impact on their confirmed quantities and the adjacent transmission system operator(s) with respect to point (a) and (c) of this paragraph of the occurrence of such exceptional event and to provide all necessary information about: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possible impact on the quantities and quality of gas that can be transported through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possible impact on the confirmed quantities for network users active at the concerned interconnection point(s);</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c) the expected and actual end of the exceptional event.</w:t>
            </w: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11</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Soluționarea litigiilor care decurg din acordurile de interconectare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sisteme de transport adiacenți depun toate eforturile pentru a soluționa pe cale amiabilă orice litigiu care decurge din sau în legătură cu acordul de interconectare și specifică în cadrul acestuia un mecanism de soluționare a litigiilor care nu au putut fi soluționate pe cale amiabilă.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Mecanismul de soluționare a litigiilor precizează cel puțin: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40"/>
              <w:gridCol w:w="4389"/>
            </w:tblGrid>
            <w:tr w:rsidR="00F02F76" w:rsidRPr="00B91C10" w:rsidTr="00670674">
              <w:tc>
                <w:tcPr>
                  <w:tcW w:w="117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17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dreptul aplicabil; și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A0CFD" w:rsidTr="00670674">
              <w:tc>
                <w:tcPr>
                  <w:tcW w:w="21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(b)</w:t>
                  </w:r>
                </w:p>
              </w:tc>
              <w:tc>
                <w:tcPr>
                  <w:tcW w:w="9145" w:type="dxa"/>
                  <w:shd w:val="clear" w:color="auto" w:fill="FFFFFF"/>
                  <w:hideMark/>
                </w:tcPr>
                <w:p w:rsidR="00F02F76" w:rsidRPr="00CA0CFD" w:rsidRDefault="00F02F76" w:rsidP="00670674">
                  <w:pPr>
                    <w:jc w:val="both"/>
                    <w:rPr>
                      <w:rFonts w:asciiTheme="majorBidi" w:hAnsiTheme="majorBidi" w:cstheme="majorBidi"/>
                      <w:sz w:val="18"/>
                      <w:szCs w:val="18"/>
                      <w:lang w:val="en-GB"/>
                    </w:rPr>
                  </w:pPr>
                  <w:r w:rsidRPr="00CA0CFD">
                    <w:rPr>
                      <w:rFonts w:asciiTheme="majorBidi" w:hAnsiTheme="majorBidi" w:cstheme="majorBidi"/>
                      <w:sz w:val="18"/>
                      <w:szCs w:val="18"/>
                      <w:lang w:val="en-GB"/>
                    </w:rPr>
                    <w:t>curtea competentă sau termenii și condițiile numirii de experți fie în cadrul unui forum instituțional, fie pe bază ad-hoc, ceea ce poate include și arbitrajul.</w:t>
                  </w:r>
                </w:p>
                <w:p w:rsidR="00377A09" w:rsidRPr="00CA0CFD" w:rsidRDefault="00377A09" w:rsidP="00670674">
                  <w:pPr>
                    <w:jc w:val="both"/>
                    <w:rPr>
                      <w:rFonts w:asciiTheme="majorBidi" w:hAnsiTheme="majorBidi" w:cstheme="majorBidi"/>
                      <w:sz w:val="18"/>
                      <w:szCs w:val="18"/>
                      <w:lang w:val="en-GB"/>
                    </w:rPr>
                  </w:pPr>
                </w:p>
              </w:tc>
            </w:tr>
          </w:tbl>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lastRenderedPageBreak/>
              <w:t>În cazul în care mecanismul de soluționare a litigiilor este arbitrajul, se aplică Convenția pentru recunoașterea și executarea sentințelor arbitrale străine.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CA0CFD">
              <w:rPr>
                <w:rFonts w:asciiTheme="majorBidi" w:hAnsiTheme="majorBidi" w:cstheme="majorBidi"/>
                <w:sz w:val="18"/>
                <w:szCs w:val="18"/>
                <w:lang w:val="it-IT"/>
              </w:rPr>
              <w:t>(2)   În absența unui acord cu privire la mecanismul de soluționare a litigiilor, se aplică Regulamentul (CE) nr. 44/2001 al Consiliului</w:t>
            </w:r>
            <w:hyperlink r:id="rId14" w:anchor="ntr9-L_2015113RO.01001301-E0009" w:history="1">
              <w:r w:rsidRPr="00CA0CFD">
                <w:rPr>
                  <w:rFonts w:asciiTheme="majorBidi" w:hAnsiTheme="majorBidi" w:cstheme="majorBidi"/>
                  <w:sz w:val="18"/>
                  <w:szCs w:val="18"/>
                  <w:lang w:val="it-IT"/>
                </w:rPr>
                <w:t> (</w:t>
              </w:r>
              <w:r w:rsidRPr="00CA0CFD">
                <w:rPr>
                  <w:rFonts w:asciiTheme="majorBidi" w:hAnsiTheme="majorBidi" w:cstheme="majorBidi"/>
                  <w:sz w:val="18"/>
                  <w:szCs w:val="18"/>
                  <w:vertAlign w:val="superscript"/>
                  <w:lang w:val="it-IT"/>
                </w:rPr>
                <w:t>9</w:t>
              </w:r>
              <w:r w:rsidRPr="00CA0CFD">
                <w:rPr>
                  <w:rFonts w:asciiTheme="majorBidi" w:hAnsiTheme="majorBidi" w:cstheme="majorBidi"/>
                  <w:sz w:val="18"/>
                  <w:szCs w:val="18"/>
                  <w:lang w:val="it-IT"/>
                </w:rPr>
                <w:t>)</w:t>
              </w:r>
            </w:hyperlink>
            <w:r w:rsidRPr="00CA0CFD">
              <w:rPr>
                <w:rFonts w:asciiTheme="majorBidi" w:hAnsiTheme="majorBidi" w:cstheme="majorBidi"/>
                <w:sz w:val="18"/>
                <w:szCs w:val="18"/>
                <w:lang w:val="it-IT"/>
              </w:rPr>
              <w:t> și Regulamentul (CE) nr. 593/2008 al Parlamentului European și al Consiliului</w:t>
            </w:r>
            <w:hyperlink r:id="rId15" w:anchor="ntr10-L_2015113RO.01001301-E0010" w:history="1">
              <w:r w:rsidRPr="00CA0CFD">
                <w:rPr>
                  <w:rFonts w:asciiTheme="majorBidi" w:hAnsiTheme="majorBidi" w:cstheme="majorBidi"/>
                  <w:sz w:val="18"/>
                  <w:szCs w:val="18"/>
                  <w:lang w:val="it-IT"/>
                </w:rPr>
                <w:t> (</w:t>
              </w:r>
              <w:r w:rsidRPr="00CA0CFD">
                <w:rPr>
                  <w:rFonts w:asciiTheme="majorBidi" w:hAnsiTheme="majorBidi" w:cstheme="majorBidi"/>
                  <w:sz w:val="18"/>
                  <w:szCs w:val="18"/>
                  <w:vertAlign w:val="superscript"/>
                  <w:lang w:val="it-IT"/>
                </w:rPr>
                <w:t>10</w:t>
              </w:r>
              <w:r w:rsidRPr="00CA0CFD">
                <w:rPr>
                  <w:rFonts w:asciiTheme="majorBidi" w:hAnsiTheme="majorBidi" w:cstheme="majorBidi"/>
                  <w:sz w:val="18"/>
                  <w:szCs w:val="18"/>
                  <w:lang w:val="it-IT"/>
                </w:rPr>
                <w:t>)</w:t>
              </w:r>
            </w:hyperlink>
          </w:p>
        </w:tc>
        <w:tc>
          <w:tcPr>
            <w:tcW w:w="4820" w:type="dxa"/>
          </w:tcPr>
          <w:p w:rsidR="00F02F76" w:rsidRPr="00B91C10" w:rsidRDefault="00F02F76" w:rsidP="00670674">
            <w:pPr>
              <w:jc w:val="both"/>
              <w:outlineLvl w:val="0"/>
              <w:rPr>
                <w:rFonts w:asciiTheme="majorBidi" w:hAnsiTheme="majorBidi" w:cstheme="majorBidi"/>
                <w:b/>
                <w:sz w:val="18"/>
                <w:szCs w:val="18"/>
                <w:lang w:val="ro-RO"/>
              </w:rPr>
            </w:pPr>
          </w:p>
          <w:p w:rsidR="00F02F76" w:rsidRPr="00B91C10" w:rsidRDefault="00F02F76" w:rsidP="00670674">
            <w:pPr>
              <w:jc w:val="both"/>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7</w:t>
            </w:r>
          </w:p>
          <w:p w:rsidR="00F02F76" w:rsidRPr="00B91C10" w:rsidRDefault="00F02F76" w:rsidP="00670674">
            <w:pPr>
              <w:contextualSpacing/>
              <w:jc w:val="both"/>
              <w:rPr>
                <w:rFonts w:asciiTheme="majorBidi" w:hAnsiTheme="majorBidi" w:cstheme="majorBidi"/>
                <w:b/>
                <w:bCs/>
                <w:sz w:val="18"/>
                <w:szCs w:val="18"/>
                <w:lang w:val="ro-RO"/>
              </w:rPr>
            </w:pPr>
            <w:r w:rsidRPr="00B91C10">
              <w:rPr>
                <w:rFonts w:asciiTheme="majorBidi" w:hAnsiTheme="majorBidi" w:cstheme="majorBidi"/>
                <w:b/>
                <w:bCs/>
                <w:sz w:val="18"/>
                <w:szCs w:val="18"/>
                <w:lang w:val="ro-RO"/>
              </w:rPr>
              <w:t>Soluționarea litigiilor care decurg din acordurile de interconectare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86</w:t>
            </w:r>
            <w:r w:rsidRPr="00B91C10">
              <w:rPr>
                <w:rFonts w:asciiTheme="majorBidi" w:hAnsiTheme="majorBidi" w:cstheme="majorBidi"/>
                <w:sz w:val="18"/>
                <w:szCs w:val="18"/>
                <w:lang w:val="ro-RO"/>
              </w:rPr>
              <w:t xml:space="preserve">.OST adiacenți depun toate eforturile pentru a soluționa pe cale amiabilă orice litigiu care decurge din sau în legătură cu acordul de interconectare și specifică în cadrul acestuia un mecanism de soluționare a litigiilor care nu au putut fi soluționate pe cale amiabilă. </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87</w:t>
            </w:r>
            <w:r w:rsidRPr="00B91C10">
              <w:rPr>
                <w:rFonts w:asciiTheme="majorBidi" w:hAnsiTheme="majorBidi" w:cstheme="majorBidi"/>
                <w:sz w:val="18"/>
                <w:szCs w:val="18"/>
                <w:lang w:val="ro-RO"/>
              </w:rPr>
              <w:t xml:space="preserve">.Mecanismul de soluționare a litigiilor precizează cel puțin: </w:t>
            </w:r>
          </w:p>
          <w:p w:rsidR="00F02F76" w:rsidRPr="00B91C10" w:rsidRDefault="00F02F76" w:rsidP="00670674">
            <w:pPr>
              <w:pStyle w:val="ListParagraph"/>
              <w:numPr>
                <w:ilvl w:val="0"/>
                <w:numId w:val="20"/>
              </w:numPr>
              <w:tabs>
                <w:tab w:val="left" w:pos="608"/>
                <w:tab w:val="left" w:pos="1134"/>
                <w:tab w:val="left" w:pos="117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legea aplicabilă; și </w:t>
            </w:r>
          </w:p>
          <w:p w:rsidR="00F02F76" w:rsidRPr="00B91C10" w:rsidRDefault="00F02F76" w:rsidP="00670674">
            <w:pPr>
              <w:pStyle w:val="ListParagraph"/>
              <w:numPr>
                <w:ilvl w:val="0"/>
                <w:numId w:val="20"/>
              </w:numPr>
              <w:tabs>
                <w:tab w:val="left" w:pos="608"/>
                <w:tab w:val="left" w:pos="1134"/>
                <w:tab w:val="left" w:pos="117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instanța competentă sau termenii și condițiile numirii de experți fie în cadrul unui forum instituțional, fie pe bază ad-hoc, ceea ce poate include și arbitrajul. </w:t>
            </w:r>
          </w:p>
          <w:p w:rsidR="00F02F76" w:rsidRPr="00B91C10" w:rsidRDefault="00F02F76" w:rsidP="00670674">
            <w:pPr>
              <w:rPr>
                <w:rFonts w:asciiTheme="majorBidi" w:hAnsiTheme="majorBidi" w:cstheme="majorBidi"/>
                <w:b/>
                <w:sz w:val="18"/>
                <w:szCs w:val="18"/>
                <w:lang w:val="ro-RO"/>
              </w:rPr>
            </w:pP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Default="00F02F76" w:rsidP="00670674">
            <w:pPr>
              <w:rPr>
                <w:rFonts w:asciiTheme="majorBidi" w:hAnsiTheme="majorBidi" w:cstheme="majorBidi"/>
                <w:b/>
                <w:sz w:val="18"/>
                <w:szCs w:val="18"/>
                <w:lang w:val="it-IT"/>
              </w:rPr>
            </w:pPr>
          </w:p>
          <w:p w:rsidR="00F02F76"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tc>
        <w:tc>
          <w:tcPr>
            <w:tcW w:w="4253" w:type="dxa"/>
          </w:tcPr>
          <w:p w:rsidR="00F02F76" w:rsidRPr="00485F6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r>
              <w:rPr>
                <w:rFonts w:asciiTheme="majorBidi" w:hAnsiTheme="majorBidi" w:cstheme="majorBidi"/>
                <w:sz w:val="18"/>
                <w:szCs w:val="18"/>
              </w:rPr>
              <w:t>Article 11</w:t>
            </w:r>
          </w:p>
          <w:p w:rsidR="00F02F76" w:rsidRDefault="00F02F76" w:rsidP="00670674">
            <w:pPr>
              <w:rPr>
                <w:rFonts w:asciiTheme="majorBidi" w:hAnsiTheme="majorBidi" w:cstheme="majorBidi"/>
                <w:b/>
                <w:bCs/>
                <w:sz w:val="18"/>
                <w:szCs w:val="18"/>
              </w:rPr>
            </w:pPr>
            <w:r w:rsidRPr="00830F70">
              <w:rPr>
                <w:b/>
                <w:bCs/>
                <w:sz w:val="18"/>
                <w:szCs w:val="18"/>
              </w:rPr>
              <w:t>Settlement of disputes arising from Interconnection Agreements</w:t>
            </w:r>
            <w:r w:rsidRPr="00830F70">
              <w:rPr>
                <w:rFonts w:asciiTheme="majorBidi" w:hAnsiTheme="majorBidi" w:cstheme="majorBidi"/>
                <w:b/>
                <w:bCs/>
                <w:sz w:val="18"/>
                <w:szCs w:val="18"/>
              </w:rPr>
              <w:t xml:space="preserve"> </w:t>
            </w:r>
          </w:p>
          <w:p w:rsidR="00CA0CFD" w:rsidRPr="00830F70" w:rsidRDefault="00CA0CFD" w:rsidP="00670674">
            <w:pPr>
              <w:rPr>
                <w:rFonts w:asciiTheme="majorBidi" w:hAnsiTheme="majorBidi" w:cstheme="majorBidi"/>
                <w:b/>
                <w:bCs/>
                <w:sz w:val="18"/>
                <w:szCs w:val="18"/>
              </w:rPr>
            </w:pPr>
          </w:p>
          <w:p w:rsidR="00F02F76"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The adjacent transmission system operators shall </w:t>
            </w:r>
          </w:p>
          <w:p w:rsidR="00F02F76"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endeavour to solve amicably any disputes arising out of or in connection with the interconnection agreement and specify therein a dispute settlement mechanism for disputes which could not be amicably settled. </w:t>
            </w:r>
          </w:p>
          <w:p w:rsidR="00CA0CFD" w:rsidRDefault="00CA0CFD"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The dispute settlement mechanism shall at least specify: </w:t>
            </w: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(a) the applicable law; and </w:t>
            </w:r>
          </w:p>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sz w:val="18"/>
                <w:szCs w:val="18"/>
              </w:rPr>
              <w:lastRenderedPageBreak/>
              <w:t>(b) the court of jurisdiction or the terms and conditions of the appointment of experts either within the framework of an institutional forum or on an ad hoc basis, which may include arbitration.</w:t>
            </w:r>
          </w:p>
        </w:tc>
      </w:tr>
      <w:tr w:rsidR="00F02F76" w:rsidRPr="00B91C10" w:rsidTr="00670674">
        <w:trPr>
          <w:trHeight w:val="1240"/>
        </w:trPr>
        <w:tc>
          <w:tcPr>
            <w:tcW w:w="5245" w:type="dxa"/>
          </w:tcPr>
          <w:p w:rsidR="00F02F76" w:rsidRPr="00B91C10" w:rsidRDefault="00F02F76" w:rsidP="00605DF1">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12</w:t>
            </w:r>
          </w:p>
          <w:p w:rsidR="00F02F76" w:rsidRPr="00B91C10" w:rsidRDefault="00F02F76" w:rsidP="00605DF1">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Procedura de modificare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sisteme de transport adiacenți instituie o procedură transparentă și detaliată de modificare a acordului lor de interconectare, care să fie declanșată de o notificare scrisă a unuia dintre operatorii de sisteme de transport.</w:t>
            </w:r>
          </w:p>
          <w:p w:rsidR="00F02F76" w:rsidRDefault="00F02F76" w:rsidP="00670674">
            <w:pPr>
              <w:shd w:val="clear" w:color="auto" w:fill="FFFFFF"/>
              <w:jc w:val="both"/>
              <w:rPr>
                <w:rFonts w:asciiTheme="majorBidi" w:hAnsiTheme="majorBidi" w:cstheme="majorBidi"/>
                <w:sz w:val="18"/>
                <w:szCs w:val="18"/>
                <w:lang w:val="it-IT"/>
              </w:rPr>
            </w:pPr>
          </w:p>
          <w:p w:rsidR="00F02F76" w:rsidRPr="00605DF1"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Dacă operatorii de sisteme de transport adiacenți nu reușesc să ajungă la un acord în ceea ce privește procedura de modificare, ei pot utiliza mecanismele de soluționare a litigiilor dezvoltate în conformitate cu articolul 11.</w:t>
            </w:r>
          </w:p>
        </w:tc>
        <w:tc>
          <w:tcPr>
            <w:tcW w:w="4820" w:type="dxa"/>
          </w:tcPr>
          <w:p w:rsidR="00F02F76" w:rsidRPr="00B91C10" w:rsidRDefault="00F02F76" w:rsidP="00605DF1">
            <w:pPr>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8</w:t>
            </w:r>
          </w:p>
          <w:p w:rsidR="00F02F76" w:rsidRPr="00B91C10" w:rsidRDefault="00F02F76" w:rsidP="00605DF1">
            <w:pPr>
              <w:contextualSpacing/>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Procedura de modificare a acordului de interconectare</w:t>
            </w:r>
          </w:p>
          <w:p w:rsidR="00F02F76" w:rsidRPr="00B91C10" w:rsidRDefault="00F02F76" w:rsidP="00670674">
            <w:pPr>
              <w:contextualSpacing/>
              <w:jc w:val="both"/>
              <w:rPr>
                <w:rFonts w:asciiTheme="majorBidi" w:hAnsiTheme="majorBidi" w:cstheme="majorBidi"/>
                <w:b/>
                <w:iCs/>
                <w:sz w:val="18"/>
                <w:szCs w:val="18"/>
                <w:lang w:val="ro-RO"/>
              </w:rPr>
            </w:pPr>
          </w:p>
          <w:p w:rsidR="00F02F76" w:rsidRPr="00B91C10" w:rsidRDefault="00F02F76" w:rsidP="00670674">
            <w:pPr>
              <w:tabs>
                <w:tab w:val="left" w:pos="709"/>
                <w:tab w:val="left" w:pos="1134"/>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88</w:t>
            </w:r>
            <w:r w:rsidRPr="00B91C10">
              <w:rPr>
                <w:rFonts w:asciiTheme="majorBidi" w:hAnsiTheme="majorBidi" w:cstheme="majorBidi"/>
                <w:sz w:val="18"/>
                <w:szCs w:val="18"/>
                <w:lang w:val="ro-RO"/>
              </w:rPr>
              <w:t xml:space="preserve">.OST adiacenți instituie o procedură transparentă și detaliată de modificare a acordurilor de interconectare, care să fie declanșată de o notificare scrisă a unuia dintre OST. </w:t>
            </w:r>
          </w:p>
          <w:p w:rsidR="00F02F76" w:rsidRPr="00B91C10" w:rsidRDefault="00F02F76" w:rsidP="00670674">
            <w:pPr>
              <w:tabs>
                <w:tab w:val="left" w:pos="709"/>
                <w:tab w:val="left" w:pos="1134"/>
              </w:tabs>
              <w:jc w:val="both"/>
              <w:outlineLvl w:val="0"/>
              <w:rPr>
                <w:rFonts w:asciiTheme="majorBidi" w:hAnsiTheme="majorBidi" w:cstheme="majorBidi"/>
                <w:sz w:val="18"/>
                <w:szCs w:val="18"/>
                <w:lang w:val="ro-RO"/>
              </w:rPr>
            </w:pPr>
          </w:p>
          <w:p w:rsidR="00F02F76" w:rsidRDefault="00F02F76" w:rsidP="00670674">
            <w:pPr>
              <w:tabs>
                <w:tab w:val="left" w:pos="709"/>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709"/>
                <w:tab w:val="left" w:pos="1134"/>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89</w:t>
            </w:r>
            <w:r w:rsidRPr="00B91C10">
              <w:rPr>
                <w:rFonts w:asciiTheme="majorBidi" w:hAnsiTheme="majorBidi" w:cstheme="majorBidi"/>
                <w:sz w:val="18"/>
                <w:szCs w:val="18"/>
                <w:lang w:val="ro-RO"/>
              </w:rPr>
              <w:t xml:space="preserve">.Dacă OST adiacenți nu reușesc să ajungă la un acord în ceea ce privește procedura de modificare, ei pot utiliza mecanismele de soluționare a litigiilor în conformitate cu </w:t>
            </w:r>
            <w:r w:rsidRPr="00B91C10">
              <w:rPr>
                <w:rFonts w:asciiTheme="majorBidi" w:hAnsiTheme="majorBidi" w:cstheme="majorBidi"/>
                <w:b/>
                <w:sz w:val="18"/>
                <w:szCs w:val="18"/>
                <w:highlight w:val="lightGray"/>
                <w:lang w:val="ro-RO"/>
              </w:rPr>
              <w:t xml:space="preserve">pct. </w:t>
            </w:r>
            <w:r>
              <w:rPr>
                <w:rFonts w:asciiTheme="majorBidi" w:hAnsiTheme="majorBidi" w:cstheme="majorBidi"/>
                <w:b/>
                <w:sz w:val="18"/>
                <w:szCs w:val="18"/>
                <w:highlight w:val="lightGray"/>
                <w:lang w:val="ro-RO"/>
              </w:rPr>
              <w:t>87</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 xml:space="preserve"> </w:t>
            </w: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05DF1">
            <w:pPr>
              <w:jc w:val="center"/>
              <w:rPr>
                <w:rFonts w:asciiTheme="majorBidi" w:hAnsiTheme="majorBidi" w:cstheme="majorBidi"/>
                <w:sz w:val="18"/>
                <w:szCs w:val="18"/>
              </w:rPr>
            </w:pPr>
            <w:r w:rsidRPr="00B91C10">
              <w:rPr>
                <w:rFonts w:asciiTheme="majorBidi" w:hAnsiTheme="majorBidi" w:cstheme="majorBidi"/>
                <w:sz w:val="18"/>
                <w:szCs w:val="18"/>
              </w:rPr>
              <w:t>Article 12</w:t>
            </w:r>
          </w:p>
          <w:p w:rsidR="00F02F76" w:rsidRPr="00B91C10" w:rsidRDefault="00F02F76" w:rsidP="00605DF1">
            <w:pPr>
              <w:jc w:val="center"/>
              <w:rPr>
                <w:rFonts w:asciiTheme="majorBidi" w:hAnsiTheme="majorBidi" w:cstheme="majorBidi"/>
                <w:b/>
                <w:bCs/>
                <w:sz w:val="18"/>
                <w:szCs w:val="18"/>
              </w:rPr>
            </w:pPr>
            <w:r w:rsidRPr="00B91C10">
              <w:rPr>
                <w:rFonts w:asciiTheme="majorBidi" w:hAnsiTheme="majorBidi" w:cstheme="majorBidi"/>
                <w:b/>
                <w:bCs/>
                <w:sz w:val="18"/>
                <w:szCs w:val="18"/>
              </w:rPr>
              <w:t>Amendment process</w:t>
            </w: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The adjacent transmission system operators shall establish a transparent and detailed amendment process of their interconnection agreement to be triggered by a written notice of one of the transmission system operators. </w:t>
            </w:r>
          </w:p>
          <w:p w:rsidR="00F02F76" w:rsidRPr="00B91C10" w:rsidRDefault="00F02F76" w:rsidP="00670674">
            <w:pPr>
              <w:rPr>
                <w:rFonts w:asciiTheme="majorBidi" w:hAnsiTheme="majorBidi" w:cstheme="majorBidi"/>
                <w:b/>
                <w:bCs/>
                <w:sz w:val="18"/>
                <w:szCs w:val="18"/>
              </w:rPr>
            </w:pPr>
            <w:r w:rsidRPr="00B91C10">
              <w:rPr>
                <w:rFonts w:asciiTheme="majorBidi" w:hAnsiTheme="majorBidi" w:cstheme="majorBidi"/>
                <w:sz w:val="18"/>
                <w:szCs w:val="18"/>
              </w:rPr>
              <w:t>2. If the adjacent transmission system operators fail to reach an agreement on the amendment process, they may use the dispute settlement mechanisms developed in accordance with Article 11.</w:t>
            </w: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CAPITOLUL III</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UNITĂȚI</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13</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Setul comun de unități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Fiecare operator de sistem de transport trebuie să utilizeze setul comun de unități definit în prezentul articol, pentru orice schimb de date și publicare de date în legătură cu Regulamentul (CE) nr. 715/2009.</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Pentru parametrii de presiune, temperatură, volum, putere calorifică superioară, energie și indicele Wobbe, operatorii de sisteme de transport utilizează: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92"/>
              <w:gridCol w:w="4137"/>
            </w:tblGrid>
            <w:tr w:rsidR="00F02F76" w:rsidRPr="00B91C10" w:rsidTr="00670674">
              <w:tc>
                <w:tcPr>
                  <w:tcW w:w="164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770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presiune: bar</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45"/>
              <w:gridCol w:w="4584"/>
            </w:tblGrid>
            <w:tr w:rsidR="00F02F76" w:rsidRPr="00B91C10" w:rsidTr="00670674">
              <w:tc>
                <w:tcPr>
                  <w:tcW w:w="81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54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temperatură: °C (grad Celsius)</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57"/>
              <w:gridCol w:w="3972"/>
            </w:tblGrid>
            <w:tr w:rsidR="00F02F76" w:rsidRPr="00B91C10" w:rsidTr="00670674">
              <w:tc>
                <w:tcPr>
                  <w:tcW w:w="195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739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volum: m</w:t>
                  </w:r>
                  <w:r w:rsidRPr="00B91C10">
                    <w:rPr>
                      <w:rFonts w:asciiTheme="majorBidi" w:hAnsiTheme="majorBidi" w:cstheme="majorBidi"/>
                      <w:sz w:val="18"/>
                      <w:szCs w:val="18"/>
                      <w:vertAlign w:val="superscript"/>
                    </w:rPr>
                    <w:t>3</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3"/>
              <w:gridCol w:w="4706"/>
            </w:tblGrid>
            <w:tr w:rsidR="00F02F76" w:rsidRPr="00C27D66" w:rsidTr="00670674">
              <w:tc>
                <w:tcPr>
                  <w:tcW w:w="58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77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putere calorifică superioară (PCS): kWh/m</w:t>
                  </w:r>
                  <w:r w:rsidRPr="00B91C10">
                    <w:rPr>
                      <w:rFonts w:asciiTheme="majorBidi" w:hAnsiTheme="majorBidi" w:cstheme="majorBidi"/>
                      <w:sz w:val="18"/>
                      <w:szCs w:val="18"/>
                      <w:vertAlign w:val="superscript"/>
                      <w:lang w:val="it-IT"/>
                    </w:rPr>
                    <w:t>3</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55"/>
              <w:gridCol w:w="4574"/>
            </w:tblGrid>
            <w:tr w:rsidR="00F02F76" w:rsidRPr="00B91C10" w:rsidTr="00670674">
              <w:tc>
                <w:tcPr>
                  <w:tcW w:w="83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8523"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energie: kWh (pe baza PCS)</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4732"/>
            </w:tblGrid>
            <w:tr w:rsidR="00F02F76" w:rsidRPr="00C27D66" w:rsidTr="00670674">
              <w:tc>
                <w:tcPr>
                  <w:tcW w:w="53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(f)</w:t>
                  </w:r>
                </w:p>
              </w:tc>
              <w:tc>
                <w:tcPr>
                  <w:tcW w:w="881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indicele Wobbe: kWh/m</w:t>
                  </w:r>
                  <w:r w:rsidRPr="00B91C10">
                    <w:rPr>
                      <w:rFonts w:asciiTheme="majorBidi" w:hAnsiTheme="majorBidi" w:cstheme="majorBidi"/>
                      <w:sz w:val="18"/>
                      <w:szCs w:val="18"/>
                      <w:vertAlign w:val="superscript"/>
                      <w:lang w:val="it-IT"/>
                    </w:rPr>
                    <w:t>3</w:t>
                  </w:r>
                  <w:r w:rsidRPr="00B91C10">
                    <w:rPr>
                      <w:rFonts w:asciiTheme="majorBidi" w:hAnsiTheme="majorBidi" w:cstheme="majorBidi"/>
                      <w:sz w:val="18"/>
                      <w:szCs w:val="18"/>
                      <w:lang w:val="it-IT"/>
                    </w:rPr>
                    <w:t> (pe baza PCS).</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presiune, operatorii de sisteme de transport trebuie să indice dacă este vorba de presiunea absolută [bar (a)] sau de presiunea relativă [bar (g)].</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Condițiile de referință pentru volum sunt 0 °C și 1,01325 bar(a). Pentru PCS, energie și indicele Wobbe, temperatura de ardere de referință este de ± 25 °C.</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Ori de câte ori operatorii de sisteme de transport comunică date privind volumul, PCS, energia și indicele Wobbe, ei precizează în ce condiții de referință au fost calculate valorile respective.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cazurile în care un stat membru este conectat doar cu un singur alt stat membru, operatorii de sisteme de transport adiacenți și părțile cu care aceștia comunică pot conveni să utilizeze în continuare alte condiții de referință pentru schimbul de date în legătură cu Regulamentul (CE) nr. 715/2009, sub rezerva aprobării de către autoritățile lor naționale de reglementare.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referință standard”, în versiunea aplicabilă în momentul respectiv.</w:t>
            </w:r>
          </w:p>
        </w:tc>
        <w:tc>
          <w:tcPr>
            <w:tcW w:w="4820" w:type="dxa"/>
          </w:tcPr>
          <w:p w:rsidR="00F02F76" w:rsidRPr="00B91C10" w:rsidRDefault="00F02F76" w:rsidP="00670674">
            <w:pPr>
              <w:contextualSpacing/>
              <w:jc w:val="both"/>
              <w:outlineLvl w:val="0"/>
              <w:rPr>
                <w:rFonts w:asciiTheme="majorBidi" w:hAnsiTheme="majorBidi" w:cstheme="majorBidi"/>
                <w:b/>
                <w:bCs/>
                <w:sz w:val="18"/>
                <w:szCs w:val="18"/>
                <w:lang w:val="ro-RO"/>
              </w:rPr>
            </w:pPr>
          </w:p>
          <w:p w:rsidR="00F02F76" w:rsidRPr="00B91C10" w:rsidRDefault="00F02F76" w:rsidP="00605DF1">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1</w:t>
            </w:r>
          </w:p>
          <w:p w:rsidR="00F02F76" w:rsidRPr="00B91C10" w:rsidRDefault="00F02F76" w:rsidP="00605DF1">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Setul comun de unități</w:t>
            </w:r>
          </w:p>
          <w:p w:rsidR="00F02F76" w:rsidRDefault="00F02F76" w:rsidP="00670674">
            <w:pPr>
              <w:tabs>
                <w:tab w:val="left" w:pos="567"/>
                <w:tab w:val="left" w:pos="709"/>
              </w:tabs>
              <w:jc w:val="both"/>
              <w:outlineLvl w:val="0"/>
              <w:rPr>
                <w:rFonts w:asciiTheme="majorBidi" w:hAnsiTheme="majorBidi" w:cstheme="majorBidi"/>
                <w:sz w:val="18"/>
                <w:szCs w:val="18"/>
                <w:lang w:val="ro-RO"/>
              </w:rPr>
            </w:pPr>
          </w:p>
          <w:p w:rsidR="00F02F76" w:rsidRDefault="00F02F76" w:rsidP="00670674">
            <w:pPr>
              <w:tabs>
                <w:tab w:val="left" w:pos="567"/>
                <w:tab w:val="left" w:pos="709"/>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.Fiecare OST trebuie să utilizeze setul comun de unități definit în prezenta </w:t>
            </w:r>
            <w:r>
              <w:rPr>
                <w:rFonts w:asciiTheme="majorBidi" w:hAnsiTheme="majorBidi" w:cstheme="majorBidi"/>
                <w:sz w:val="18"/>
                <w:szCs w:val="18"/>
                <w:lang w:val="ro-RO"/>
              </w:rPr>
              <w:t>S</w:t>
            </w:r>
            <w:r w:rsidRPr="00B91C10">
              <w:rPr>
                <w:rFonts w:asciiTheme="majorBidi" w:hAnsiTheme="majorBidi" w:cstheme="majorBidi"/>
                <w:sz w:val="18"/>
                <w:szCs w:val="18"/>
                <w:lang w:val="ro-RO"/>
              </w:rPr>
              <w:t xml:space="preserve">ecțiune, pentru orice schimb de date și publicare de date în conformitate cu Legea </w:t>
            </w:r>
            <w:r>
              <w:rPr>
                <w:rFonts w:asciiTheme="majorBidi" w:hAnsiTheme="majorBidi" w:cstheme="majorBidi"/>
                <w:sz w:val="18"/>
                <w:szCs w:val="18"/>
                <w:lang w:val="ro-RO"/>
              </w:rPr>
              <w:t>nr.108/2016</w:t>
            </w:r>
          </w:p>
          <w:p w:rsidR="00F02F76" w:rsidRDefault="00F02F76" w:rsidP="00670674">
            <w:pPr>
              <w:tabs>
                <w:tab w:val="left" w:pos="567"/>
                <w:tab w:val="left" w:pos="709"/>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709"/>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.Pentru parametrii de presiune, temperatură, volum, putere calorifică superioară, energie și indicele Wobbe, OST utilizează: </w:t>
            </w:r>
          </w:p>
          <w:p w:rsidR="00F02F76" w:rsidRDefault="00F02F76" w:rsidP="00670674">
            <w:pPr>
              <w:pStyle w:val="ListParagraph"/>
              <w:tabs>
                <w:tab w:val="left" w:pos="709"/>
              </w:tabs>
              <w:suppressAutoHyphens w:val="0"/>
              <w:ind w:left="325"/>
              <w:jc w:val="both"/>
              <w:rPr>
                <w:rFonts w:asciiTheme="majorBidi" w:hAnsiTheme="majorBidi" w:cstheme="majorBidi"/>
                <w:sz w:val="18"/>
                <w:szCs w:val="18"/>
                <w:lang w:val="ro-RO"/>
              </w:rPr>
            </w:pP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presiune: bar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temperatură: °C (grad Celsius)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volum: m</w:t>
            </w:r>
            <w:r w:rsidRPr="00B91C10">
              <w:rPr>
                <w:rFonts w:asciiTheme="majorBidi" w:hAnsiTheme="majorBidi" w:cstheme="majorBidi"/>
                <w:sz w:val="18"/>
                <w:szCs w:val="18"/>
                <w:vertAlign w:val="superscript"/>
                <w:lang w:val="ro-RO"/>
              </w:rPr>
              <w:t>3</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putere calorifică superioară: kWh/m</w:t>
            </w:r>
            <w:r w:rsidRPr="00B91C10">
              <w:rPr>
                <w:rFonts w:asciiTheme="majorBidi" w:hAnsiTheme="majorBidi" w:cstheme="majorBidi"/>
                <w:sz w:val="18"/>
                <w:szCs w:val="18"/>
                <w:vertAlign w:val="superscript"/>
                <w:lang w:val="ro-RO"/>
              </w:rPr>
              <w:t>3</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energie</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(pe baza </w:t>
            </w:r>
            <w:r>
              <w:rPr>
                <w:rFonts w:asciiTheme="majorBidi" w:hAnsiTheme="majorBidi" w:cstheme="majorBidi"/>
                <w:sz w:val="18"/>
                <w:szCs w:val="18"/>
                <w:lang w:val="ro-RO"/>
              </w:rPr>
              <w:t>puterii calorifice superioare</w:t>
            </w:r>
            <w:r w:rsidRPr="00B91C10">
              <w:rPr>
                <w:rFonts w:asciiTheme="majorBidi" w:hAnsiTheme="majorBidi" w:cstheme="majorBidi"/>
                <w:sz w:val="18"/>
                <w:szCs w:val="18"/>
                <w:lang w:val="ro-RO"/>
              </w:rPr>
              <w:t xml:space="preserve">): kWh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indicele Wobbe</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(pe baza </w:t>
            </w:r>
            <w:r>
              <w:rPr>
                <w:rFonts w:asciiTheme="majorBidi" w:hAnsiTheme="majorBidi" w:cstheme="majorBidi"/>
                <w:sz w:val="18"/>
                <w:szCs w:val="18"/>
                <w:lang w:val="ro-RO"/>
              </w:rPr>
              <w:t>puterii calorifice superioare</w:t>
            </w:r>
            <w:r w:rsidRPr="00B91C10">
              <w:rPr>
                <w:rFonts w:asciiTheme="majorBidi" w:hAnsiTheme="majorBidi" w:cstheme="majorBidi"/>
                <w:sz w:val="18"/>
                <w:szCs w:val="18"/>
                <w:lang w:val="ro-RO"/>
              </w:rPr>
              <w:t>): kWh/m</w:t>
            </w:r>
            <w:r w:rsidRPr="00B91C10">
              <w:rPr>
                <w:rFonts w:asciiTheme="majorBidi" w:hAnsiTheme="majorBidi" w:cstheme="majorBidi"/>
                <w:sz w:val="18"/>
                <w:szCs w:val="18"/>
                <w:vertAlign w:val="superscript"/>
                <w:lang w:val="ro-RO"/>
              </w:rPr>
              <w:t>3</w:t>
            </w:r>
            <w:r w:rsidRPr="00B91C10">
              <w:rPr>
                <w:rFonts w:asciiTheme="majorBidi" w:hAnsiTheme="majorBidi" w:cstheme="majorBidi"/>
                <w:sz w:val="18"/>
                <w:szCs w:val="18"/>
                <w:lang w:val="ro-RO"/>
              </w:rPr>
              <w:t xml:space="preserve">). </w:t>
            </w:r>
          </w:p>
          <w:p w:rsidR="00F02F76" w:rsidRPr="00B91C10" w:rsidRDefault="00F02F76" w:rsidP="00670674">
            <w:pPr>
              <w:tabs>
                <w:tab w:val="left" w:pos="709"/>
              </w:tabs>
              <w:ind w:left="325" w:hanging="284"/>
              <w:contextualSpacing/>
              <w:jc w:val="both"/>
              <w:rPr>
                <w:rFonts w:asciiTheme="majorBidi" w:hAnsiTheme="majorBidi" w:cstheme="majorBidi"/>
                <w:sz w:val="18"/>
                <w:szCs w:val="18"/>
                <w:lang w:val="ro-RO"/>
              </w:rPr>
            </w:pP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Pentru presiune, OST trebuie să indice dacă este vorba de presiunea absolută [bar a)] sau de presiunea relativă [bar g)]. </w:t>
            </w: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Condițiile de referință pentru volum sunt 0 °C și 1,01325 bar). Pentru PSC, energie și indicele Wobbe, temperatura de ardere de referință trebuie să fie ± 25 °C. </w:t>
            </w: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Ori de câte ori OST comunică date privind volumul PSC, energia și indicele Wobbe, ei precizează în ce condiții de referință au fost calculate valorile respective. </w:t>
            </w:r>
          </w:p>
          <w:p w:rsidR="00F02F76" w:rsidRPr="00B91C10" w:rsidRDefault="00F02F76" w:rsidP="00670674">
            <w:pPr>
              <w:tabs>
                <w:tab w:val="left" w:pos="567"/>
                <w:tab w:val="left" w:pos="709"/>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709"/>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Obligația de publicare a datelor prevăzute în </w:t>
            </w:r>
            <w:r w:rsidRPr="00B91C10">
              <w:rPr>
                <w:rFonts w:asciiTheme="majorBidi" w:hAnsiTheme="majorBidi" w:cstheme="majorBidi"/>
                <w:sz w:val="18"/>
                <w:szCs w:val="18"/>
                <w:highlight w:val="lightGray"/>
                <w:lang w:val="ro-RO"/>
              </w:rPr>
              <w:t>pct.94-9</w:t>
            </w:r>
            <w:r w:rsidRPr="00B91C10">
              <w:rPr>
                <w:rFonts w:asciiTheme="majorBidi" w:hAnsiTheme="majorBidi" w:cstheme="majorBidi"/>
                <w:sz w:val="18"/>
                <w:szCs w:val="18"/>
                <w:lang w:val="ro-RO"/>
              </w:rPr>
              <w:t>5 se aplică punctelor relevante definite la pct. 4 din Regulamentul privind accesul la rețelele de transport a gazelor naturale și gestionarea congestiilor aprobat prin Hotărârea Agenției nr.321/2016 din 13 decembrie 2016.</w:t>
            </w:r>
          </w:p>
          <w:p w:rsidR="00F02F76" w:rsidRPr="00B91C10" w:rsidRDefault="00F02F76" w:rsidP="00670674">
            <w:pPr>
              <w:rPr>
                <w:rFonts w:asciiTheme="majorBidi" w:hAnsiTheme="majorBidi" w:cstheme="majorBidi"/>
                <w:b/>
                <w:sz w:val="18"/>
                <w:szCs w:val="18"/>
                <w:lang w:val="ro-RO"/>
              </w:rPr>
            </w:pP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Default="00F02F76" w:rsidP="00670674">
            <w:pPr>
              <w:jc w:val="both"/>
              <w:rPr>
                <w:rFonts w:asciiTheme="majorBidi" w:hAnsiTheme="majorBidi" w:cstheme="majorBidi"/>
                <w:b/>
                <w:bCs/>
                <w:sz w:val="18"/>
                <w:szCs w:val="18"/>
              </w:rPr>
            </w:pPr>
          </w:p>
          <w:p w:rsidR="00F02F76" w:rsidRPr="00B91C10" w:rsidRDefault="00605DF1" w:rsidP="00605DF1">
            <w:pPr>
              <w:jc w:val="center"/>
              <w:rPr>
                <w:rFonts w:asciiTheme="majorBidi" w:hAnsiTheme="majorBidi" w:cstheme="majorBidi"/>
                <w:b/>
                <w:bCs/>
                <w:sz w:val="18"/>
                <w:szCs w:val="18"/>
              </w:rPr>
            </w:pPr>
            <w:r>
              <w:rPr>
                <w:rFonts w:asciiTheme="majorBidi" w:hAnsiTheme="majorBidi" w:cstheme="majorBidi"/>
                <w:b/>
                <w:bCs/>
                <w:sz w:val="18"/>
                <w:szCs w:val="18"/>
              </w:rPr>
              <w:t>C</w:t>
            </w:r>
            <w:r w:rsidR="00F02F76" w:rsidRPr="00B91C10">
              <w:rPr>
                <w:rFonts w:asciiTheme="majorBidi" w:hAnsiTheme="majorBidi" w:cstheme="majorBidi"/>
                <w:b/>
                <w:bCs/>
                <w:sz w:val="18"/>
                <w:szCs w:val="18"/>
              </w:rPr>
              <w:t>HAPTER III UNITS</w:t>
            </w:r>
          </w:p>
          <w:p w:rsidR="00F02F76" w:rsidRPr="00D66AAD" w:rsidRDefault="00F02F76" w:rsidP="00605DF1">
            <w:pPr>
              <w:jc w:val="center"/>
              <w:rPr>
                <w:rFonts w:asciiTheme="majorBidi" w:hAnsiTheme="majorBidi" w:cstheme="majorBidi"/>
                <w:sz w:val="18"/>
                <w:szCs w:val="18"/>
              </w:rPr>
            </w:pPr>
            <w:r w:rsidRPr="00D66AAD">
              <w:rPr>
                <w:rFonts w:asciiTheme="majorBidi" w:hAnsiTheme="majorBidi" w:cstheme="majorBidi"/>
                <w:sz w:val="18"/>
                <w:szCs w:val="18"/>
              </w:rPr>
              <w:t>Article 13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 Common set of units</w:t>
            </w: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Each transmission system operator shall use the common set of units defined in this Article for any data exchange and data publication related to Regulation (EC) No 715/2009.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For the parameters of pressure, temperature, volume, gross calorific value, energy, and Wobbe-index the transmission system operators shall use: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pressure: bar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temperature: °C (degree Celsius)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volume: m3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gross calorific value (GCV): kWh/m3</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energy: kWh (based on GCV)</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Wobbe-index: kWh/m3 (based on GCV)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For pressure, the transmission system operators shall indicate whether it refers to absolute pressure (bar (a)) or gauge pressure (bar (g)).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The reference conditions for volume shall be 0 °C and 1,01325 bar(a). For GCV, energy and Wobbe-index the default combustion reference temperature shall be 25 °C.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Whenever transmission system operators communicate data on the volume, GCV, energy and Wobbe-index, </w:t>
            </w:r>
            <w:r w:rsidRPr="00B91C10">
              <w:rPr>
                <w:rFonts w:asciiTheme="majorBidi" w:hAnsiTheme="majorBidi" w:cstheme="majorBidi"/>
                <w:sz w:val="18"/>
                <w:szCs w:val="18"/>
              </w:rPr>
              <w:lastRenderedPageBreak/>
              <w:t>they shall specify under which reference conditions these values were calculated.</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3. In cases where one Contracting Party is connected to only one other Contracting Party ore one Member State of the European Union, the adjacent transmission system operators and the parties they communicate with may agree to continue to use other reference conditions for data exchange in connection with Regulation (EC) No 715/2009, subject to the approval of their national regulatory authorities</w:t>
            </w:r>
            <w:r>
              <w:rPr>
                <w:rFonts w:asciiTheme="majorBidi" w:hAnsiTheme="majorBidi" w:cstheme="majorBidi"/>
                <w:sz w:val="18"/>
                <w:szCs w:val="18"/>
              </w:rPr>
              <w:t>.</w:t>
            </w:r>
          </w:p>
        </w:tc>
      </w:tr>
      <w:tr w:rsidR="00F02F76" w:rsidRPr="00B91C10" w:rsidTr="00670674">
        <w:trPr>
          <w:trHeight w:val="1240"/>
        </w:trPr>
        <w:tc>
          <w:tcPr>
            <w:tcW w:w="5245" w:type="dxa"/>
          </w:tcPr>
          <w:p w:rsidR="00F02F76" w:rsidRPr="00B91C10" w:rsidRDefault="00F02F76" w:rsidP="00605DF1">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lastRenderedPageBreak/>
              <w:t>Articolul 14</w:t>
            </w:r>
          </w:p>
          <w:p w:rsidR="00F02F76" w:rsidRDefault="00F02F76" w:rsidP="00605DF1">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Unități suplimentare</w:t>
            </w:r>
          </w:p>
          <w:p w:rsidR="00F02F76" w:rsidRDefault="00F02F76" w:rsidP="00670674">
            <w:pPr>
              <w:shd w:val="clear" w:color="auto" w:fill="FFFFFF"/>
              <w:jc w:val="both"/>
              <w:rPr>
                <w:rFonts w:asciiTheme="majorBidi" w:hAnsiTheme="majorBidi" w:cstheme="majorBidi"/>
                <w:b/>
                <w:bCs/>
                <w:sz w:val="18"/>
                <w:szCs w:val="18"/>
              </w:rPr>
            </w:pP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sz w:val="18"/>
                <w:szCs w:val="18"/>
              </w:rPr>
              <w:t xml:space="preserve">Operatorii de sisteme de transport și părțile cu care aceștia comunică în legătură cu Regulamentul (CE) nr. 715/2009 pot hotărî de comun acord să folosească, pe lângă setul comun de unități, unități sau condiții de referință suplimentare pentru schimbul de date sau pentru publicarea de date. </w:t>
            </w:r>
            <w:r w:rsidRPr="00B91C10">
              <w:rPr>
                <w:rFonts w:asciiTheme="majorBidi" w:hAnsiTheme="majorBidi" w:cstheme="majorBidi"/>
                <w:sz w:val="18"/>
                <w:szCs w:val="18"/>
                <w:lang w:val="it-IT"/>
              </w:rPr>
              <w:t>Într-o astfel de situație, conversia între condițiile de referință se face pe baza compoziției reale a gazului. Dacă datele relevante privind compoziția gazului nu sunt disponibile, factorii de conversie utilizați trebuie să fie în conformitate cu anexa, pe baza EN ISO 13443 „Gaz natural. Condiții de</w:t>
            </w:r>
            <w:r w:rsidRPr="00B91C10">
              <w:rPr>
                <w:rFonts w:asciiTheme="majorBidi" w:hAnsiTheme="majorBidi" w:cstheme="majorBidi"/>
                <w:sz w:val="18"/>
                <w:szCs w:val="18"/>
                <w:lang w:val="ro-RO"/>
              </w:rPr>
              <w:t xml:space="preserve"> de referință standard”, în versiunea aplicabilă în momentul respectiv.</w:t>
            </w:r>
          </w:p>
        </w:tc>
        <w:tc>
          <w:tcPr>
            <w:tcW w:w="4820" w:type="dxa"/>
          </w:tcPr>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2</w:t>
            </w:r>
          </w:p>
          <w:p w:rsidR="00F02F76" w:rsidRPr="00B91C10" w:rsidRDefault="00F02F76" w:rsidP="00605DF1">
            <w:pPr>
              <w:tabs>
                <w:tab w:val="left" w:pos="142"/>
              </w:tabs>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Unități suplimentare</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97.OST și părțile cu care aceștia comunică în conformitate cu Legea cu privire la gazele naturale</w:t>
            </w:r>
            <w:r w:rsidRPr="00B91C10">
              <w:rPr>
                <w:rFonts w:asciiTheme="majorBidi" w:hAnsiTheme="majorBidi" w:cstheme="majorBidi"/>
                <w:b/>
                <w:sz w:val="18"/>
                <w:szCs w:val="18"/>
                <w:lang w:val="ro-RO"/>
              </w:rPr>
              <w:t xml:space="preserve"> </w:t>
            </w:r>
            <w:r w:rsidRPr="00B91C10">
              <w:rPr>
                <w:rFonts w:asciiTheme="majorBidi" w:hAnsiTheme="majorBidi" w:cstheme="majorBidi"/>
                <w:sz w:val="18"/>
                <w:szCs w:val="18"/>
                <w:lang w:val="ro-RO"/>
              </w:rPr>
              <w:t xml:space="preserve">pot decide de comun acord să folosească, pe lângă setul comun de unități, unități adiționale sau condiții de referință suplimentare pentru schimbul de date sau pentru publicarea de date. Într-o astfel de situație, conversia la condițiile de referință se face pe baza compoziției reale a gazelor naturale. Dacă datele relevante privind compoziția gazelor naturale nu sunt disponibile, factorii de conversie utilizați trebuie să fie în conformitate cu anexa, pe baza EN ISO 13443 „Gaz natural. Condiții de referință standard”, în versiunea aplicabilă în momentul respectiv. </w:t>
            </w:r>
          </w:p>
          <w:p w:rsidR="00F02F76" w:rsidRPr="00B91C10" w:rsidRDefault="00F02F76" w:rsidP="00670674">
            <w:pPr>
              <w:contextualSpacing/>
              <w:jc w:val="both"/>
              <w:outlineLvl w:val="0"/>
              <w:rPr>
                <w:rFonts w:asciiTheme="majorBidi" w:hAnsiTheme="majorBidi" w:cstheme="majorBidi"/>
                <w:b/>
                <w:bCs/>
                <w:sz w:val="18"/>
                <w:szCs w:val="18"/>
                <w:lang w:val="ro-RO"/>
              </w:rPr>
            </w:pPr>
          </w:p>
        </w:tc>
        <w:tc>
          <w:tcPr>
            <w:tcW w:w="1417" w:type="dxa"/>
          </w:tcPr>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tc>
        <w:tc>
          <w:tcPr>
            <w:tcW w:w="4253" w:type="dxa"/>
          </w:tcPr>
          <w:p w:rsidR="00F02F76" w:rsidRPr="00D66AAD" w:rsidRDefault="00F02F76" w:rsidP="00670674">
            <w:pPr>
              <w:jc w:val="both"/>
              <w:rPr>
                <w:rFonts w:asciiTheme="majorBidi" w:hAnsiTheme="majorBidi" w:cstheme="majorBidi"/>
                <w:sz w:val="18"/>
                <w:szCs w:val="18"/>
              </w:rPr>
            </w:pPr>
            <w:r w:rsidRPr="00D66AAD">
              <w:rPr>
                <w:rFonts w:asciiTheme="majorBidi" w:hAnsiTheme="majorBidi" w:cstheme="majorBidi"/>
                <w:sz w:val="18"/>
                <w:szCs w:val="18"/>
              </w:rPr>
              <w:t xml:space="preserve">Article 14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Additional units </w:t>
            </w:r>
          </w:p>
          <w:p w:rsidR="00F02F76" w:rsidRPr="00605DF1" w:rsidRDefault="00F02F76" w:rsidP="00605DF1">
            <w:pPr>
              <w:jc w:val="both"/>
              <w:rPr>
                <w:rFonts w:asciiTheme="majorBidi" w:hAnsiTheme="majorBidi" w:cstheme="majorBidi"/>
                <w:b/>
                <w:sz w:val="18"/>
                <w:szCs w:val="18"/>
              </w:rPr>
            </w:pPr>
            <w:r w:rsidRPr="00B91C10">
              <w:rPr>
                <w:rFonts w:asciiTheme="majorBidi" w:hAnsiTheme="majorBidi" w:cstheme="majorBidi"/>
                <w:sz w:val="18"/>
                <w:szCs w:val="18"/>
              </w:rPr>
              <w:t>The transmission system operators and the parties they communicate with in connection with Regulation (EC) No 715/2009 may agree to use, in addition to the common set of units, additional units or reference conditions for data exchange or data publication. In such a situation conversion between reference conditions shall be done on the basis of the actual gas composition. If the relevant gas composition data is not available, the conversion factors used shall be consistent with the Annex based on EN ISO 13443 ‘Natural gas — Standard reference conditions’ in the version applicable at the time</w:t>
            </w:r>
          </w:p>
        </w:tc>
      </w:tr>
      <w:tr w:rsidR="00F02F76" w:rsidRPr="00B91C10" w:rsidTr="00605DF1">
        <w:trPr>
          <w:trHeight w:val="487"/>
        </w:trPr>
        <w:tc>
          <w:tcPr>
            <w:tcW w:w="5245" w:type="dxa"/>
          </w:tcPr>
          <w:p w:rsidR="00F02F76" w:rsidRPr="00CA0CFD" w:rsidRDefault="00F02F76" w:rsidP="00670674">
            <w:pPr>
              <w:shd w:val="clear" w:color="auto" w:fill="FFFFFF"/>
              <w:jc w:val="both"/>
              <w:rPr>
                <w:rFonts w:asciiTheme="majorBidi" w:hAnsiTheme="majorBidi" w:cstheme="majorBidi"/>
                <w:b/>
                <w:bCs/>
                <w:sz w:val="18"/>
                <w:szCs w:val="18"/>
                <w:lang w:val="it-IT"/>
              </w:rPr>
            </w:pPr>
            <w:r w:rsidRPr="00CA0CFD">
              <w:rPr>
                <w:rFonts w:asciiTheme="majorBidi" w:hAnsiTheme="majorBidi" w:cstheme="majorBidi"/>
                <w:b/>
                <w:bCs/>
                <w:sz w:val="18"/>
                <w:szCs w:val="18"/>
                <w:lang w:val="it-IT"/>
              </w:rPr>
              <w:t>CAPITOLUL IV</w:t>
            </w:r>
          </w:p>
          <w:p w:rsidR="00F02F76" w:rsidRPr="00CA0CFD" w:rsidRDefault="00F02F76" w:rsidP="00670674">
            <w:pPr>
              <w:shd w:val="clear" w:color="auto" w:fill="FFFFFF"/>
              <w:jc w:val="both"/>
              <w:rPr>
                <w:rFonts w:asciiTheme="majorBidi" w:hAnsiTheme="majorBidi" w:cstheme="majorBidi"/>
                <w:b/>
                <w:bCs/>
                <w:sz w:val="18"/>
                <w:szCs w:val="18"/>
                <w:lang w:val="it-IT"/>
              </w:rPr>
            </w:pPr>
            <w:r w:rsidRPr="00CA0CFD">
              <w:rPr>
                <w:rFonts w:asciiTheme="majorBidi" w:hAnsiTheme="majorBidi" w:cstheme="majorBidi"/>
                <w:b/>
                <w:bCs/>
                <w:sz w:val="18"/>
                <w:szCs w:val="18"/>
                <w:lang w:val="it-IT"/>
              </w:rPr>
              <w:t>CALITATEA GAZULUI ȘI ODORIZAREA</w:t>
            </w:r>
          </w:p>
          <w:p w:rsidR="00F02F76" w:rsidRPr="00CA0CFD" w:rsidRDefault="00F02F76" w:rsidP="00670674">
            <w:pPr>
              <w:shd w:val="clear" w:color="auto" w:fill="FFFFFF"/>
              <w:jc w:val="both"/>
              <w:rPr>
                <w:rFonts w:asciiTheme="majorBidi" w:hAnsiTheme="majorBidi" w:cstheme="majorBidi"/>
                <w:i/>
                <w:iCs/>
                <w:sz w:val="18"/>
                <w:szCs w:val="18"/>
                <w:lang w:val="it-IT"/>
              </w:rPr>
            </w:pPr>
          </w:p>
          <w:p w:rsidR="00F02F76" w:rsidRPr="00CA0CFD" w:rsidRDefault="00F02F76" w:rsidP="00670674">
            <w:pPr>
              <w:shd w:val="clear" w:color="auto" w:fill="FFFFFF"/>
              <w:jc w:val="both"/>
              <w:rPr>
                <w:rFonts w:asciiTheme="majorBidi" w:hAnsiTheme="majorBidi" w:cstheme="majorBidi"/>
                <w:i/>
                <w:iCs/>
                <w:sz w:val="18"/>
                <w:szCs w:val="18"/>
                <w:lang w:val="it-IT"/>
              </w:rPr>
            </w:pPr>
            <w:r w:rsidRPr="00CA0CFD">
              <w:rPr>
                <w:rFonts w:asciiTheme="majorBidi" w:hAnsiTheme="majorBidi" w:cstheme="majorBidi"/>
                <w:i/>
                <w:iCs/>
                <w:sz w:val="18"/>
                <w:szCs w:val="18"/>
                <w:lang w:val="it-IT"/>
              </w:rPr>
              <w:t>Articolul 15</w:t>
            </w:r>
          </w:p>
          <w:p w:rsidR="00F02F76" w:rsidRPr="00CA0CFD" w:rsidRDefault="00F02F76" w:rsidP="00670674">
            <w:pPr>
              <w:shd w:val="clear" w:color="auto" w:fill="FFFFFF"/>
              <w:jc w:val="both"/>
              <w:rPr>
                <w:rFonts w:asciiTheme="majorBidi" w:hAnsiTheme="majorBidi" w:cstheme="majorBidi"/>
                <w:b/>
                <w:bCs/>
                <w:sz w:val="18"/>
                <w:szCs w:val="18"/>
                <w:lang w:val="it-IT"/>
              </w:rPr>
            </w:pPr>
          </w:p>
          <w:p w:rsidR="00F02F76" w:rsidRPr="00CA0CFD" w:rsidRDefault="00F02F76" w:rsidP="00670674">
            <w:pPr>
              <w:shd w:val="clear" w:color="auto" w:fill="FFFFFF"/>
              <w:jc w:val="both"/>
              <w:rPr>
                <w:rFonts w:asciiTheme="majorBidi" w:hAnsiTheme="majorBidi" w:cstheme="majorBidi"/>
                <w:b/>
                <w:bCs/>
                <w:sz w:val="18"/>
                <w:szCs w:val="18"/>
                <w:lang w:val="it-IT"/>
              </w:rPr>
            </w:pPr>
            <w:r w:rsidRPr="00CA0CFD">
              <w:rPr>
                <w:rFonts w:asciiTheme="majorBidi" w:hAnsiTheme="majorBidi" w:cstheme="majorBidi"/>
                <w:b/>
                <w:bCs/>
                <w:sz w:val="18"/>
                <w:szCs w:val="18"/>
                <w:lang w:val="it-IT"/>
              </w:rPr>
              <w:t>Gestionarea restricțiilor comerciale transfrontaliere datorate diferențelor de calitate a gazului</w:t>
            </w: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(1)   Operatorii de sisteme de transport cooperează pentru a evita restricțiile în calea comerțului transfrontalier din cauza diferențelor de calitate a gazului. Aceste acțiuni, inițiate și efectuate de operatorii de sisteme de transport în cadrul operațiunilor lor standard, pot include, printre altele, schimbarea și amestecarea.</w:t>
            </w: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(2)   În cazul în care o restricție în calea comerțului transfrontalier datorată diferențelor de calitate a gazului nu poate fi evitată de către operatorii de sisteme de transport în cauză și este recunoscută de autoritățile naționale de reglementare, aceste autorități pot cere operatorilor de sisteme de transport să efectueze, în termen de douăsprezece luni, acțiunile menționate la literele (a)-(e), în ordine: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lastRenderedPageBreak/>
                    <w:t>(a)</w:t>
                  </w:r>
                </w:p>
              </w:tc>
              <w:tc>
                <w:tcPr>
                  <w:tcW w:w="9155"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coopereze și să dezvolte opțiuni fezabile din punct de vedere tehnic, fără a modifica specificațiile privind calitatea gazului, printre care se pot număra angajamente privind fluxul și tratarea gazului, pentru a elimina restricția recunoscută;</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A0CFD" w:rsidTr="00670674">
              <w:tc>
                <w:tcPr>
                  <w:tcW w:w="21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(b)</w:t>
                  </w:r>
                </w:p>
              </w:tc>
              <w:tc>
                <w:tcPr>
                  <w:tcW w:w="9145" w:type="dxa"/>
                  <w:shd w:val="clear" w:color="auto" w:fill="FFFFFF"/>
                  <w:hideMark/>
                </w:tcPr>
                <w:p w:rsidR="00F02F76" w:rsidRPr="00CA0CFD" w:rsidRDefault="00F02F76" w:rsidP="00670674">
                  <w:pPr>
                    <w:jc w:val="both"/>
                    <w:rPr>
                      <w:rFonts w:asciiTheme="majorBidi" w:hAnsiTheme="majorBidi" w:cstheme="majorBidi"/>
                      <w:sz w:val="18"/>
                      <w:szCs w:val="18"/>
                      <w:lang w:val="en-GB"/>
                    </w:rPr>
                  </w:pPr>
                  <w:r w:rsidRPr="00CA0CFD">
                    <w:rPr>
                      <w:rFonts w:asciiTheme="majorBidi" w:hAnsiTheme="majorBidi" w:cstheme="majorBidi"/>
                      <w:sz w:val="18"/>
                      <w:szCs w:val="18"/>
                      <w:lang w:val="en-GB"/>
                    </w:rPr>
                    <w:t>să desfășoare în comun o analiză cost-beneficiu a opțiunilor fezabile din punct de vedere tehnic, pentru a defini soluții eficiente din punct de vedere economic care să specifice defalcarea costurilor și a beneficiilor pe categoriile de părți afectate;</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857"/>
            </w:tblGrid>
            <w:tr w:rsidR="00F02F76" w:rsidRPr="00C27D66" w:rsidTr="00670674">
              <w:tc>
                <w:tcPr>
                  <w:tcW w:w="303"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(c)</w:t>
                  </w:r>
                </w:p>
              </w:tc>
              <w:tc>
                <w:tcPr>
                  <w:tcW w:w="9052"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realizeze o estimare a duratei de implementare pentru fiecare opțiune potențială;</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4898"/>
            </w:tblGrid>
            <w:tr w:rsidR="00F02F76" w:rsidRPr="00C27D66" w:rsidTr="00670674">
              <w:tc>
                <w:tcPr>
                  <w:tcW w:w="228"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(d)</w:t>
                  </w:r>
                </w:p>
              </w:tc>
              <w:tc>
                <w:tcPr>
                  <w:tcW w:w="9127"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efectueze o consultare publică cu privire la soluțiile fezabile identificate și să țină seama de rezultatele consultării;</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(e)</w:t>
                  </w:r>
                </w:p>
              </w:tc>
              <w:tc>
                <w:tcPr>
                  <w:tcW w:w="9155"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prezinte autorităților naționale de reglementare, spre aprobare, și celorlalte autorități naționale competente ale fiecărui stat membru implicat, spre informare, o propunere comună pentru eliminarea restricției recunoscute, inclusiv calendarul de implementare, pe baza analizei cost-beneficiu și a rezultatelor consultării publice respective.</w:t>
                  </w:r>
                </w:p>
              </w:tc>
            </w:tr>
          </w:tbl>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În cazul în care operatorii de sisteme de transport în cauză nu ajung la un acord asupra unei soluții, fiecare operator de sistem de transport informează prompt autoritatea sa națională de reglementare.</w:t>
            </w: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Înainte de adoptarea unei decizii în conformitate cu alineatul (2) litera (e), fiecare autoritate națională de reglementare se consultă cu autoritățile naționale de reglementare din statele membre în cauză. La adoptarea deciziei sale, fiecare autoritate națională de reglementare ia în considerare avizul autorităților de reglementare naționale din statele adiacente, cu scopul de a avea o decizie coordonată bazată pe un acord reciproc.</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 xml:space="preserve"> </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(2)   Perspectiva se bazează pe datele colectate în cadrul cooperării regionale instituite prin ENTSOG în conformitate cu articolul 12 alineatul (1) din Regulamentul (CE) nr. 715/2009.</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Perspectiva de monitorizare pe termen lung a calității gazului tratează cel puțin indicele Wobbe și puterea calorifică superioară. Se pot include parametri de calitate a gazului suplimentari, după consultarea factorilor interesați menționați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(4)   Perspectiva de monitorizare pe termen lung a calității gazului identifică noi surse potențiale de aprovizionare din perspectiva calității gazului.</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 xml:space="preserve">(5)   Pentru a defini valorile de referință ale parametrilor de calitate a gazului pentru respectivele surse de aprovizionare, care să fie utilizate în cadrul perspectivei, se realizează o analiză a anilor precedenți. </w:t>
            </w:r>
            <w:r w:rsidRPr="00CA0CFD">
              <w:rPr>
                <w:rFonts w:asciiTheme="majorBidi" w:hAnsiTheme="majorBidi" w:cstheme="majorBidi"/>
                <w:sz w:val="18"/>
                <w:szCs w:val="18"/>
                <w:lang w:val="it-IT"/>
              </w:rPr>
              <w:lastRenderedPageBreak/>
              <w:t>Aceste date pot fi înlocuite cu date furnizate de părțile interesate, rezultate din procesul de implicare a părților interesate menționat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(6)   Pentru fiecare parametru de calitate a gazului avut în vedere și pentru fiecare regiune, analiza trebuie să aibă ca rezultat un interval în care este probabil că va evolua parametrul.</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(7)   Perspectiva de monitorizare pe termen lung a calității gazului trebuie să fie consecventă și armonizată cu Planul de dezvoltare a rețelei pe zece ani la nivelul Uniunii al ENTSOG, aflat în curs de elaborare în același timp.</w:t>
            </w:r>
          </w:p>
          <w:p w:rsidR="00F02F76" w:rsidRPr="00CA0CFD" w:rsidRDefault="00F02F76" w:rsidP="00670674">
            <w:pPr>
              <w:shd w:val="clear" w:color="auto" w:fill="FFFFFF"/>
              <w:jc w:val="both"/>
              <w:rPr>
                <w:rFonts w:asciiTheme="majorBidi" w:hAnsiTheme="majorBidi" w:cstheme="majorBidi"/>
                <w:i/>
                <w:iCs/>
                <w:sz w:val="18"/>
                <w:szCs w:val="18"/>
                <w:lang w:val="it-IT"/>
              </w:rPr>
            </w:pPr>
            <w:r w:rsidRPr="00CA0CFD">
              <w:rPr>
                <w:rFonts w:asciiTheme="majorBidi" w:hAnsiTheme="majorBidi" w:cstheme="majorBidi"/>
                <w:sz w:val="18"/>
                <w:szCs w:val="18"/>
                <w:lang w:val="it-IT"/>
              </w:rPr>
              <w:t>(8)   Procesul de consultare a părților interesate folosit pentru Planul de dezvoltare a rețelei pe zece ani la nivelul Uniunii este extins pentru a include și tema calității gazului. Prin acest proces, părțile interesate sunt invitate să prezinte ENTSOG opiniile lor cu privire la evoluția parametrilor de calitate a gazului furnizat.</w:t>
            </w:r>
          </w:p>
        </w:tc>
        <w:tc>
          <w:tcPr>
            <w:tcW w:w="4820" w:type="dxa"/>
          </w:tcPr>
          <w:p w:rsidR="00F02F76" w:rsidRPr="00CA0CFD" w:rsidRDefault="00F02F76" w:rsidP="00670674">
            <w:pPr>
              <w:contextualSpacing/>
              <w:jc w:val="center"/>
              <w:outlineLvl w:val="0"/>
              <w:rPr>
                <w:rFonts w:asciiTheme="majorBidi" w:hAnsiTheme="majorBidi" w:cstheme="majorBidi"/>
                <w:b/>
                <w:sz w:val="18"/>
                <w:szCs w:val="18"/>
                <w:lang w:val="ro-RO"/>
              </w:rPr>
            </w:pPr>
          </w:p>
          <w:p w:rsidR="00F02F76" w:rsidRPr="00CA0CFD" w:rsidRDefault="00F02F76" w:rsidP="00670674">
            <w:pPr>
              <w:contextualSpacing/>
              <w:jc w:val="center"/>
              <w:outlineLvl w:val="0"/>
              <w:rPr>
                <w:rFonts w:asciiTheme="majorBidi" w:hAnsiTheme="majorBidi" w:cstheme="majorBidi"/>
                <w:b/>
                <w:sz w:val="18"/>
                <w:szCs w:val="18"/>
                <w:lang w:val="ro-RO"/>
              </w:rPr>
            </w:pPr>
            <w:r w:rsidRPr="00CA0CFD">
              <w:rPr>
                <w:rFonts w:asciiTheme="majorBidi" w:hAnsiTheme="majorBidi" w:cstheme="majorBidi"/>
                <w:b/>
                <w:sz w:val="18"/>
                <w:szCs w:val="18"/>
                <w:lang w:val="ro-RO"/>
              </w:rPr>
              <w:t>CAPITOLUL IV</w:t>
            </w:r>
          </w:p>
          <w:p w:rsidR="00F02F76" w:rsidRPr="00CA0CFD" w:rsidRDefault="00F02F76" w:rsidP="00670674">
            <w:pPr>
              <w:contextualSpacing/>
              <w:jc w:val="center"/>
              <w:rPr>
                <w:rFonts w:asciiTheme="majorBidi" w:hAnsiTheme="majorBidi" w:cstheme="majorBidi"/>
                <w:b/>
                <w:bCs/>
                <w:sz w:val="18"/>
                <w:szCs w:val="18"/>
                <w:lang w:val="ro-RO"/>
              </w:rPr>
            </w:pPr>
            <w:r w:rsidRPr="00CA0CFD">
              <w:rPr>
                <w:rFonts w:asciiTheme="majorBidi" w:hAnsiTheme="majorBidi" w:cstheme="majorBidi"/>
                <w:b/>
                <w:bCs/>
                <w:sz w:val="18"/>
                <w:szCs w:val="18"/>
                <w:lang w:val="ro-RO"/>
              </w:rPr>
              <w:t>CALITATEA GAZELOR NATURALE ȘI ODORIZAREA</w:t>
            </w:r>
          </w:p>
          <w:p w:rsidR="00F02F76" w:rsidRPr="00CA0CFD" w:rsidRDefault="00F02F76" w:rsidP="00670674">
            <w:pPr>
              <w:contextualSpacing/>
              <w:jc w:val="center"/>
              <w:rPr>
                <w:rFonts w:asciiTheme="majorBidi" w:hAnsiTheme="majorBidi" w:cstheme="majorBidi"/>
                <w:b/>
                <w:bCs/>
                <w:sz w:val="18"/>
                <w:szCs w:val="18"/>
                <w:lang w:val="ro-RO"/>
              </w:rPr>
            </w:pPr>
          </w:p>
          <w:p w:rsidR="00F02F76" w:rsidRPr="00CA0CFD" w:rsidRDefault="00F02F76" w:rsidP="00F12C4B">
            <w:pPr>
              <w:contextualSpacing/>
              <w:jc w:val="center"/>
              <w:outlineLvl w:val="0"/>
              <w:rPr>
                <w:rFonts w:asciiTheme="majorBidi" w:hAnsiTheme="majorBidi" w:cstheme="majorBidi"/>
                <w:b/>
                <w:bCs/>
                <w:sz w:val="18"/>
                <w:szCs w:val="18"/>
                <w:lang w:val="ro-RO"/>
              </w:rPr>
            </w:pPr>
            <w:r w:rsidRPr="00CA0CFD">
              <w:rPr>
                <w:rFonts w:asciiTheme="majorBidi" w:hAnsiTheme="majorBidi" w:cstheme="majorBidi"/>
                <w:b/>
                <w:bCs/>
                <w:sz w:val="18"/>
                <w:szCs w:val="18"/>
                <w:lang w:val="ro-RO"/>
              </w:rPr>
              <w:t>Secțiunea 1</w:t>
            </w:r>
          </w:p>
          <w:p w:rsidR="00F02F76" w:rsidRPr="00CA0CFD" w:rsidRDefault="00F02F76" w:rsidP="00F12C4B">
            <w:pPr>
              <w:ind w:firstLine="426"/>
              <w:contextualSpacing/>
              <w:jc w:val="center"/>
              <w:rPr>
                <w:rFonts w:asciiTheme="majorBidi" w:hAnsiTheme="majorBidi" w:cstheme="majorBidi"/>
                <w:b/>
                <w:bCs/>
                <w:sz w:val="18"/>
                <w:szCs w:val="18"/>
                <w:lang w:val="ro-RO"/>
              </w:rPr>
            </w:pPr>
            <w:r w:rsidRPr="00CA0CFD">
              <w:rPr>
                <w:rFonts w:asciiTheme="majorBidi" w:hAnsiTheme="majorBidi" w:cstheme="majorBidi"/>
                <w:b/>
                <w:bCs/>
                <w:sz w:val="18"/>
                <w:szCs w:val="18"/>
                <w:lang w:val="ro-RO"/>
              </w:rPr>
              <w:t>Gestionarea restricțiilor comerciale transfrontaliere datorate diferențelor de calitate</w:t>
            </w:r>
          </w:p>
          <w:p w:rsidR="00F02F76" w:rsidRPr="00CA0CFD" w:rsidRDefault="00F02F76" w:rsidP="00F12C4B">
            <w:pPr>
              <w:ind w:firstLine="426"/>
              <w:contextualSpacing/>
              <w:jc w:val="center"/>
              <w:rPr>
                <w:rFonts w:asciiTheme="majorBidi" w:hAnsiTheme="majorBidi" w:cstheme="majorBidi"/>
                <w:b/>
                <w:bCs/>
                <w:sz w:val="18"/>
                <w:szCs w:val="18"/>
                <w:lang w:val="ro-RO"/>
              </w:rPr>
            </w:pPr>
            <w:r w:rsidRPr="00CA0CFD">
              <w:rPr>
                <w:rFonts w:asciiTheme="majorBidi" w:hAnsiTheme="majorBidi" w:cstheme="majorBidi"/>
                <w:b/>
                <w:bCs/>
                <w:sz w:val="18"/>
                <w:szCs w:val="18"/>
                <w:lang w:val="ro-RO"/>
              </w:rPr>
              <w:t>a gazelor naturale</w:t>
            </w:r>
          </w:p>
          <w:p w:rsidR="00F02F76" w:rsidRPr="00CA0CFD" w:rsidRDefault="00F02F76" w:rsidP="00670674">
            <w:pPr>
              <w:tabs>
                <w:tab w:val="left" w:pos="709"/>
                <w:tab w:val="left" w:pos="993"/>
              </w:tabs>
              <w:jc w:val="both"/>
              <w:outlineLvl w:val="0"/>
              <w:rPr>
                <w:rFonts w:asciiTheme="majorBidi" w:hAnsiTheme="majorBidi" w:cstheme="majorBidi"/>
                <w:sz w:val="18"/>
                <w:szCs w:val="18"/>
                <w:lang w:val="ro-RO"/>
              </w:rPr>
            </w:pPr>
            <w:r w:rsidRPr="00CA0CFD">
              <w:rPr>
                <w:rFonts w:asciiTheme="majorBidi" w:hAnsiTheme="majorBidi" w:cstheme="majorBidi"/>
                <w:i/>
                <w:iCs/>
                <w:sz w:val="18"/>
                <w:szCs w:val="18"/>
                <w:lang w:val="ro-RO"/>
              </w:rPr>
              <w:t xml:space="preserve">93. </w:t>
            </w:r>
            <w:r w:rsidRPr="00CA0CFD">
              <w:rPr>
                <w:rFonts w:asciiTheme="majorBidi" w:hAnsiTheme="majorBidi" w:cstheme="majorBidi"/>
                <w:sz w:val="18"/>
                <w:szCs w:val="18"/>
                <w:lang w:val="ro-RO"/>
              </w:rPr>
              <w:t xml:space="preserve">OST cooperează pentru a evita restricțiile în calea comerțului transfrontalier din cauza diferențelor de calitate a gazelor naturale. Aceste acțiuni, inițiate și efectuate de OST în cadrul operațiunilor lor standard, pot include, printre altele, schimbarea și amestecarea. </w:t>
            </w:r>
          </w:p>
          <w:p w:rsidR="00F02F76" w:rsidRPr="00CA0CFD"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643407" w:rsidRDefault="00F02F76" w:rsidP="00670674">
            <w:pPr>
              <w:tabs>
                <w:tab w:val="left" w:pos="709"/>
                <w:tab w:val="left" w:pos="993"/>
              </w:tabs>
              <w:jc w:val="both"/>
              <w:outlineLvl w:val="0"/>
              <w:rPr>
                <w:rFonts w:asciiTheme="majorBidi" w:hAnsiTheme="majorBidi" w:cstheme="majorBidi"/>
                <w:sz w:val="18"/>
                <w:szCs w:val="18"/>
                <w:lang w:val="ro-RO"/>
              </w:rPr>
            </w:pPr>
            <w:r w:rsidRPr="00CA0CFD">
              <w:rPr>
                <w:rFonts w:asciiTheme="majorBidi" w:hAnsiTheme="majorBidi" w:cstheme="majorBidi"/>
                <w:sz w:val="18"/>
                <w:szCs w:val="18"/>
                <w:lang w:val="ro-RO"/>
              </w:rPr>
              <w:t xml:space="preserve">94.În cazul în care o restricție în calea </w:t>
            </w:r>
            <w:r w:rsidRPr="00643407">
              <w:rPr>
                <w:rFonts w:asciiTheme="majorBidi" w:hAnsiTheme="majorBidi" w:cstheme="majorBidi"/>
                <w:sz w:val="18"/>
                <w:szCs w:val="18"/>
                <w:lang w:val="ro-RO"/>
              </w:rPr>
              <w:t xml:space="preserve">comerțului transfrontalier datorată diferențelor paraametrilor de calitate a gazelor naturale nu poate fi evitată de către OST în cauză și este recunoscută de Agenție și autoritățile naționale de reglementare competente pentru OST adiacenți, aceste autorități pot cere OST să efectueze, în termen de 12 luni, acțiunile menționate la subpunct  1)-5), în ordine: </w:t>
            </w:r>
          </w:p>
          <w:p w:rsidR="00F02F76" w:rsidRPr="00643407" w:rsidRDefault="00F02F76" w:rsidP="00670674">
            <w:pPr>
              <w:tabs>
                <w:tab w:val="left" w:pos="41"/>
                <w:tab w:val="left" w:pos="183"/>
                <w:tab w:val="left" w:pos="325"/>
              </w:tabs>
              <w:ind w:firstLine="41"/>
              <w:jc w:val="both"/>
              <w:outlineLvl w:val="0"/>
              <w:rPr>
                <w:rFonts w:asciiTheme="majorBidi" w:hAnsiTheme="majorBidi" w:cstheme="majorBidi"/>
                <w:sz w:val="18"/>
                <w:szCs w:val="18"/>
                <w:lang w:val="ro-RO"/>
              </w:rPr>
            </w:pP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643407">
              <w:rPr>
                <w:rFonts w:asciiTheme="majorBidi" w:hAnsiTheme="majorBidi" w:cstheme="majorBidi"/>
                <w:sz w:val="18"/>
                <w:szCs w:val="18"/>
                <w:lang w:val="ro-RO"/>
              </w:rPr>
              <w:t>să coopereze și să dezvolte opțiuni fezabile din punct de vedere tehnic, fără a modifica specificațiile privind</w:t>
            </w:r>
            <w:r w:rsidRPr="00CA0CFD">
              <w:rPr>
                <w:rFonts w:asciiTheme="majorBidi" w:hAnsiTheme="majorBidi" w:cstheme="majorBidi"/>
                <w:sz w:val="18"/>
                <w:szCs w:val="18"/>
                <w:lang w:val="ro-RO"/>
              </w:rPr>
              <w:t xml:space="preserve"> calitatea gazelor naturale, printre care se pot număra angajamente privind fluxul și tratarea gazelor naturale, pentru a elimina restricția recunoscută;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 xml:space="preserve">să desfășoare în comun o analiză cost-beneficiu a opțiunilor fezabile din punct de vedere tehnic, pentru a defini soluții eficiente din punct de vedere economic care să specifice defalcarea costurilor și a beneficiilor pe categoriile de părți afectate;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 xml:space="preserve">să realizeze o estimare a duratei de implementare pentru fiecare opțiune potențială;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 xml:space="preserve">să efectueze o consultare publică cu privire la soluțiile fezabile identificate și să țină seama de rezultatele consultării;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să prezinte Agenției, spre aprobare, și celorlalte autorități naționale competente a fiecărui stat parte contractantă implicat, spre informare, o propunere comună pentru eliminarea restricției recunoscute, inclusiv calendarul de implementare, pe baza analizei cost-beneficiu și a rezultatelor consultării publice respective.</w:t>
            </w:r>
          </w:p>
          <w:p w:rsidR="00F02F76" w:rsidRPr="00CA0CFD" w:rsidRDefault="00F02F76" w:rsidP="00670674">
            <w:pPr>
              <w:tabs>
                <w:tab w:val="left" w:pos="41"/>
                <w:tab w:val="left" w:pos="183"/>
                <w:tab w:val="left" w:pos="325"/>
              </w:tabs>
              <w:ind w:firstLine="41"/>
              <w:contextualSpacing/>
              <w:jc w:val="both"/>
              <w:rPr>
                <w:rFonts w:asciiTheme="majorBidi" w:hAnsiTheme="majorBidi" w:cstheme="majorBidi"/>
                <w:sz w:val="18"/>
                <w:szCs w:val="18"/>
                <w:lang w:val="ro-RO"/>
              </w:rPr>
            </w:pPr>
            <w:r w:rsidRPr="00CA0CFD">
              <w:rPr>
                <w:rFonts w:asciiTheme="majorBidi" w:hAnsiTheme="majorBidi" w:cstheme="majorBidi"/>
                <w:sz w:val="18"/>
                <w:szCs w:val="18"/>
                <w:lang w:val="ro-RO"/>
              </w:rPr>
              <w:t>În cazul în care OST în cauză nu ajung la un acord asupra unei soluții, fiecare OST informează prompt Agenția.</w:t>
            </w:r>
          </w:p>
          <w:p w:rsidR="00F02F76" w:rsidRPr="00CA0CFD" w:rsidRDefault="00F02F76" w:rsidP="00670674">
            <w:pPr>
              <w:tabs>
                <w:tab w:val="left" w:pos="851"/>
                <w:tab w:val="left" w:pos="993"/>
              </w:tabs>
              <w:jc w:val="both"/>
              <w:outlineLvl w:val="0"/>
              <w:rPr>
                <w:rFonts w:asciiTheme="majorBidi" w:hAnsiTheme="majorBidi" w:cstheme="majorBidi"/>
                <w:sz w:val="18"/>
                <w:szCs w:val="18"/>
                <w:lang w:val="ro-RO"/>
              </w:rPr>
            </w:pPr>
          </w:p>
          <w:p w:rsidR="00F02F76" w:rsidRPr="00CA0CFD" w:rsidRDefault="00F02F76" w:rsidP="00670674">
            <w:pPr>
              <w:tabs>
                <w:tab w:val="left" w:pos="851"/>
                <w:tab w:val="left" w:pos="993"/>
              </w:tabs>
              <w:jc w:val="both"/>
              <w:outlineLvl w:val="0"/>
              <w:rPr>
                <w:rFonts w:asciiTheme="majorBidi" w:hAnsiTheme="majorBidi" w:cstheme="majorBidi"/>
                <w:sz w:val="18"/>
                <w:szCs w:val="18"/>
                <w:lang w:val="ro-RO"/>
              </w:rPr>
            </w:pPr>
          </w:p>
          <w:p w:rsidR="00F02F76" w:rsidRPr="00CA0CFD" w:rsidRDefault="00F02F76" w:rsidP="00670674">
            <w:pPr>
              <w:tabs>
                <w:tab w:val="left" w:pos="851"/>
                <w:tab w:val="left" w:pos="993"/>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95. Înainte de adoptarea unei decizii în conformitate cu pct. 99 subpunct 5), Agenția se consultă cu autoritățile naționale de reglementare din țările părți contractante a Comunității Energetice în cauză. La adoptarea deciziei sale, Agenția ia în considerare avizul organului</w:t>
            </w:r>
            <w:r w:rsidRPr="00CA0CFD">
              <w:rPr>
                <w:rFonts w:asciiTheme="majorBidi" w:hAnsiTheme="majorBidi" w:cstheme="majorBidi"/>
                <w:sz w:val="18"/>
                <w:szCs w:val="18"/>
                <w:lang w:val="ro-RO"/>
              </w:rPr>
              <w:t xml:space="preserve"> central de specialitate al administraţiei publice în domeniul energeticii din statele adiacente, cu scopul de a avea o decizie coordonată bazată pe un acord reciproc. </w:t>
            </w: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tc>
        <w:tc>
          <w:tcPr>
            <w:tcW w:w="1417" w:type="dxa"/>
          </w:tcPr>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Compatibil</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Compatibil</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Compatibil</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Prevederi UE neaplicabile.</w:t>
            </w:r>
          </w:p>
        </w:tc>
        <w:tc>
          <w:tcPr>
            <w:tcW w:w="4253" w:type="dxa"/>
          </w:tcPr>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lastRenderedPageBreak/>
              <w:t>CHAPTER IV</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GAS QUALITY AND ODOURISATION </w:t>
            </w:r>
          </w:p>
          <w:p w:rsidR="00F02F76" w:rsidRDefault="00F02F76" w:rsidP="00670674">
            <w:pPr>
              <w:jc w:val="both"/>
              <w:rPr>
                <w:rFonts w:asciiTheme="majorBidi" w:hAnsiTheme="majorBidi" w:cstheme="majorBidi"/>
                <w:sz w:val="18"/>
                <w:szCs w:val="18"/>
              </w:rPr>
            </w:pPr>
          </w:p>
          <w:p w:rsidR="00F02F76" w:rsidRPr="00830F70" w:rsidRDefault="00F02F76" w:rsidP="00670674">
            <w:pPr>
              <w:jc w:val="both"/>
              <w:rPr>
                <w:rFonts w:asciiTheme="majorBidi" w:hAnsiTheme="majorBidi" w:cstheme="majorBidi"/>
                <w:sz w:val="18"/>
                <w:szCs w:val="18"/>
              </w:rPr>
            </w:pPr>
            <w:r w:rsidRPr="00830F70">
              <w:rPr>
                <w:rFonts w:asciiTheme="majorBidi" w:hAnsiTheme="majorBidi" w:cstheme="majorBidi"/>
                <w:sz w:val="18"/>
                <w:szCs w:val="18"/>
              </w:rPr>
              <w:t xml:space="preserve">Article 15 </w:t>
            </w:r>
          </w:p>
          <w:p w:rsidR="00F02F76"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Managing cross-border trade restrictions due to gas quality differences</w:t>
            </w: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Transmission system operators shall cooperate to avoid restrictions to cross-border trade due to gas quality differences. These actions, initiated and carried out by the transmission system operators in their standard operations, may include, among others, swapping and co-mingling.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2.Where a restriction to cross-border trade due to gas quality differences cannot be avoided by the concerned transmission system operators and is recognised by the national regulatory authorities, those authorities may require the transmission system operators to perform, within 12 months, the actions referred to in points (a) to (e) in sequence: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(a) cooperate and develop technically feasible options, without changing the gas quality specifications, which may include flow commitments and gas treatment, in order to remove the recognised restriction;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jointly carry out a cost benefit analysis on the technically feasible options to define economically efficient solutions which shall specify the breakdown of costs and benefits among the categories of affected parties;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produce an estimate of the implementation time for each potential option;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conduct a public consultation on identified feasible solutions and take into consideration the results of the consultation;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(e) submit a joint proposal for removing the recognised restriction, including the timeframe for implementation, based on the cost benefit analysis and results of the public consultation to their respective national regulatory authorities for approval and to the other competent national authorities of each involved Contracting Party for information.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Where the concerned transmission system operators do not reach an agreement on a solution, each transmission system operator shall promptly inform its national regulatory authority</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Before adopting a decision pursuant to point (e) of paragraph 2, each national regulatory authority shall consult the national regulatory authorities of the concerned Contracting Parties. In adopting its decision, each national regulatory authority shall take account of the adjacent national regulatory authorities’ opinion with a view to have a coordinated decision based on mutual agreement.</w:t>
            </w:r>
          </w:p>
        </w:tc>
      </w:tr>
      <w:tr w:rsidR="00F02F76" w:rsidRPr="00B91C10" w:rsidTr="00670674">
        <w:trPr>
          <w:trHeight w:val="5526"/>
        </w:trPr>
        <w:tc>
          <w:tcPr>
            <w:tcW w:w="5245" w:type="dxa"/>
          </w:tcPr>
          <w:p w:rsidR="00F02F76" w:rsidRPr="00B91C10" w:rsidRDefault="00F02F76" w:rsidP="00605DF1">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16</w:t>
            </w:r>
          </w:p>
          <w:p w:rsidR="00F02F76" w:rsidRPr="00B91C10" w:rsidRDefault="00F02F76" w:rsidP="00605DF1">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Monitorizarea pe termen scurt a calității gazului – publicarea datelor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publică pe site-ul lor web, pentru fiecare punct de interconectare și cu o frecvență de cel puțin o dată pe oră în decursul zilei gaziere, indicele Wobbe și puterea calorifică superioară a gazului care intră direct în rețelele lor de transport la toate punctele fizice de interconectare. ENTSOG publică pe platforma sa centrală la nivelul întregii Uniuni, instituită în temeiul punctului 3.1.1 subpunctul 1 litera (h) din anexa I la Regulamentul (CE) nr. 715/2009, un link către informațiile relevante de pe site-urile web ale operatorilor de sisteme de transport.</w:t>
            </w:r>
          </w:p>
          <w:p w:rsidR="00F02F76" w:rsidRPr="00B91C10" w:rsidRDefault="00F02F76" w:rsidP="00670674">
            <w:pPr>
              <w:shd w:val="clear" w:color="auto" w:fill="FFFFFF"/>
              <w:jc w:val="both"/>
              <w:rPr>
                <w:rFonts w:asciiTheme="majorBidi" w:hAnsiTheme="majorBidi" w:cstheme="majorBidi"/>
                <w:i/>
                <w:iCs/>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p w:rsidR="00F02F76" w:rsidRPr="00B91C10" w:rsidRDefault="00F02F76" w:rsidP="00670674">
            <w:pPr>
              <w:jc w:val="both"/>
              <w:rPr>
                <w:rFonts w:asciiTheme="majorBidi" w:hAnsiTheme="majorBidi" w:cstheme="majorBidi"/>
                <w:vanish/>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05DF1">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2</w:t>
            </w:r>
          </w:p>
          <w:p w:rsidR="00F02F76" w:rsidRPr="00B91C10" w:rsidRDefault="00F02F76" w:rsidP="00605DF1">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Monitorizarea pe termen scurt a calității </w:t>
            </w:r>
            <w:r w:rsidRPr="00B91C10">
              <w:rPr>
                <w:rFonts w:asciiTheme="majorBidi" w:hAnsiTheme="majorBidi" w:cstheme="majorBidi"/>
                <w:b/>
                <w:sz w:val="18"/>
                <w:szCs w:val="18"/>
                <w:lang w:val="ro-RO"/>
              </w:rPr>
              <w:t>gazelor naturale</w:t>
            </w:r>
            <w:r w:rsidRPr="00B91C10">
              <w:rPr>
                <w:rFonts w:asciiTheme="majorBidi" w:hAnsiTheme="majorBidi" w:cstheme="majorBidi"/>
                <w:b/>
                <w:bCs/>
                <w:sz w:val="18"/>
                <w:szCs w:val="18"/>
                <w:lang w:val="ro-RO"/>
              </w:rPr>
              <w:t xml:space="preserve"> – publicarea datelor</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96</w:t>
            </w:r>
            <w:r w:rsidRPr="00B91C10">
              <w:rPr>
                <w:rFonts w:asciiTheme="majorBidi" w:hAnsiTheme="majorBidi" w:cstheme="majorBidi"/>
                <w:sz w:val="18"/>
                <w:szCs w:val="18"/>
                <w:lang w:val="ro-RO"/>
              </w:rPr>
              <w:t xml:space="preserve">.OST publică pe paginile lor electronice, pentru fiecare punct de interconectare și cu o frecvență de cel puțin o dată pe oră în decursul zilei gaziere, indicele Wobbe și puterea calorifică superioară a gazelor naturale care intră direct în rețelele lor de transport al gazelor naturale la toate punctele  de interconectare. </w:t>
            </w:r>
          </w:p>
          <w:p w:rsidR="00F02F76" w:rsidRPr="00B91C10" w:rsidRDefault="00F02F76" w:rsidP="00670674">
            <w:pPr>
              <w:tabs>
                <w:tab w:val="left" w:pos="851"/>
              </w:tabs>
              <w:contextualSpacing/>
              <w:jc w:val="both"/>
              <w:rPr>
                <w:rFonts w:asciiTheme="majorBidi" w:hAnsiTheme="majorBidi" w:cstheme="majorBidi"/>
                <w:strike/>
                <w:color w:val="000000" w:themeColor="text1"/>
                <w:sz w:val="18"/>
                <w:szCs w:val="18"/>
                <w:lang w:val="ro-RO"/>
              </w:rPr>
            </w:pPr>
            <w:r w:rsidRPr="00B91C10">
              <w:rPr>
                <w:rFonts w:asciiTheme="majorBidi" w:hAnsiTheme="majorBidi" w:cstheme="majorBidi"/>
                <w:color w:val="000000" w:themeColor="text1"/>
                <w:sz w:val="18"/>
                <w:szCs w:val="18"/>
                <w:lang w:val="ro-RO"/>
              </w:rPr>
              <w:t>În mod excepțional, pentru punctele de interconectare care nu dispun de un echipament de măsurare adecvat în momentul adoptării prezentului Cod, o frecvență de publicare a indicelui Wobbe și a puterii calorifice brute este o dată pe zi gazieră. În astfel de cazuri, OST este obligat să depună fără întârziere Agenției o cerere de derogare. Cererea de derogare trebuie să includă o propunere privind instalarea unui echipament adecvat de măsurare, cu termenul exact de punere în funcțiune a acestuia, care nu poate depăși 2 ani. Derogarea trebuie să fie confirmată de Agenție</w:t>
            </w: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70321E" w:rsidRDefault="00F02F76" w:rsidP="00605DF1">
            <w:pPr>
              <w:jc w:val="center"/>
              <w:rPr>
                <w:rFonts w:asciiTheme="majorBidi" w:hAnsiTheme="majorBidi" w:cstheme="majorBidi"/>
                <w:sz w:val="18"/>
                <w:szCs w:val="18"/>
              </w:rPr>
            </w:pPr>
            <w:r w:rsidRPr="0070321E">
              <w:rPr>
                <w:rFonts w:asciiTheme="majorBidi" w:hAnsiTheme="majorBidi" w:cstheme="majorBidi"/>
                <w:sz w:val="18"/>
                <w:szCs w:val="18"/>
              </w:rPr>
              <w:t>Article 16</w:t>
            </w:r>
          </w:p>
          <w:p w:rsidR="00F02F76" w:rsidRPr="00B91C10" w:rsidRDefault="00F02F76" w:rsidP="00605DF1">
            <w:pPr>
              <w:jc w:val="center"/>
              <w:rPr>
                <w:rFonts w:asciiTheme="majorBidi" w:hAnsiTheme="majorBidi" w:cstheme="majorBidi"/>
                <w:b/>
                <w:bCs/>
                <w:sz w:val="18"/>
                <w:szCs w:val="18"/>
              </w:rPr>
            </w:pPr>
            <w:r w:rsidRPr="00B91C10">
              <w:rPr>
                <w:rFonts w:asciiTheme="majorBidi" w:hAnsiTheme="majorBidi" w:cstheme="majorBidi"/>
                <w:b/>
                <w:bCs/>
                <w:sz w:val="18"/>
                <w:szCs w:val="18"/>
              </w:rPr>
              <w:t>Short term monitoring on gas quality — data publication</w:t>
            </w:r>
          </w:p>
          <w:p w:rsidR="00F02F76" w:rsidRPr="0070321E"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Transmission system operators shall publish on their website for each interconnection point, with a frequency of at least once per hour during the gas day, the Wobbe-index and gross calorific value for gas directly entering their transmission networks at all physical interconnection </w:t>
            </w:r>
            <w:r w:rsidRPr="0070321E">
              <w:rPr>
                <w:rFonts w:asciiTheme="majorBidi" w:hAnsiTheme="majorBidi" w:cstheme="majorBidi"/>
                <w:sz w:val="18"/>
                <w:szCs w:val="18"/>
              </w:rPr>
              <w:t>points.</w:t>
            </w:r>
          </w:p>
          <w:p w:rsidR="00F02F76" w:rsidRPr="00B91C10" w:rsidRDefault="00F02F76" w:rsidP="00670674">
            <w:pPr>
              <w:jc w:val="both"/>
              <w:rPr>
                <w:rFonts w:asciiTheme="majorBidi" w:hAnsiTheme="majorBidi" w:cstheme="majorBidi"/>
                <w:sz w:val="18"/>
                <w:szCs w:val="18"/>
              </w:rPr>
            </w:pPr>
            <w:r w:rsidRPr="0070321E">
              <w:rPr>
                <w:rFonts w:asciiTheme="majorBidi" w:hAnsiTheme="majorBidi" w:cstheme="majorBidi"/>
                <w:sz w:val="18"/>
                <w:szCs w:val="18"/>
              </w:rPr>
              <w:t>Exceptionally, for the interconnection points without adequate measurement equipment in place at the moment of adoption of this Regulation, a frequency of publishing the Wobbe-index and gross calorific value shall be once per gas day. In such cases, the transmission system operator is obliged to submit a request for exemption without delay to the relevant regulatory authority. A request for exemption has to include a proposal on installing adequate measurement equipment with exact deadline of putting such equipment in operation, which cannot be longer than 2 years. An exemption has to be confirmed by the regulatory authorities having the jurisdiction over adjacent transmission system operators</w:t>
            </w:r>
            <w:r w:rsidRPr="00B91C10">
              <w:rPr>
                <w:rFonts w:asciiTheme="majorBidi" w:hAnsiTheme="majorBidi" w:cstheme="majorBidi"/>
                <w:sz w:val="18"/>
                <w:szCs w:val="18"/>
              </w:rPr>
              <w:t xml:space="preserve"> .</w:t>
            </w:r>
          </w:p>
          <w:p w:rsidR="00F02F76" w:rsidRPr="00105C1A"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Entsog shall publish on its central platform established pursuant to point 3.1.1(1)(h) of Annex of Regulation (EC) No 715/2009 a link to the relevant information on the websites of the</w:t>
            </w:r>
            <w:r>
              <w:rPr>
                <w:rFonts w:asciiTheme="majorBidi" w:hAnsiTheme="majorBidi" w:cstheme="majorBidi"/>
                <w:sz w:val="18"/>
                <w:szCs w:val="18"/>
              </w:rPr>
              <w:t xml:space="preserve"> transmission system operators.</w:t>
            </w:r>
          </w:p>
        </w:tc>
      </w:tr>
      <w:tr w:rsidR="00F02F76" w:rsidRPr="00B91C10" w:rsidTr="00CD08E3">
        <w:trPr>
          <w:trHeight w:val="848"/>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17</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Furnizarea de informații cu privire la variațiile de calitate a gazului pe termen scurt</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1)   În plus față de punctele de interconectare, prezentul articol se aplică și altor puncte din rețelele de transport unde se măsoară calitatea gazului.</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Un operator de sistem de transport poate selecta una sau mai multe din următoarele părți cărora să le transmită informații privind variația calității gazului: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11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491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consumatorii finali conectați direct la rețeaua operatorului de sistem de transport ale căror procese operaționale sunt afectate în mod negativ de variațiile de calitate a gazului sau un utilizator al rețelei care acționează în numele unui client final ale cărui procese operaționale sunt afectate în mod negativ de variațiile de calitate a gazului, atunci când normele naționale nu prevăd un acord contractual direct între un operator de sistem de transport și consumatorii săi finali conectați direct;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distribuție conectați direct la rețeaua operatorului de sistem de transport, având clienți finali conectați ale căror procese operaționale sunt afectate în mod negativ de variațiile de calitate a gazului;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stocare conectați direct la rețeaua operatorului de sistem de transport, ale căror procese operaționale sunt afectate în mod negativ de variațiile de calitate a gazului.</w:t>
                  </w:r>
                </w:p>
              </w:tc>
            </w:tr>
          </w:tbl>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(3)   Fiecare operator de sistem de transport are obligația: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6"/>
              <w:gridCol w:w="4903"/>
            </w:tblGrid>
            <w:tr w:rsidR="00F02F76" w:rsidRPr="00B91C10" w:rsidTr="00670674">
              <w:tc>
                <w:tcPr>
                  <w:tcW w:w="2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37"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să definească și să mențină o listă a părților îndreptățite să primească informații orientative privind calitatea gazului;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coopereze cu părțile menționate în lista de mai sus, pentru a evalua:</w:t>
                  </w:r>
                </w:p>
                <w:tbl>
                  <w:tblPr>
                    <w:tblW w:w="5000" w:type="pct"/>
                    <w:tblLayout w:type="fixed"/>
                    <w:tblCellMar>
                      <w:left w:w="0" w:type="dxa"/>
                      <w:right w:w="0" w:type="dxa"/>
                    </w:tblCellMar>
                    <w:tblLook w:val="04A0" w:firstRow="1" w:lastRow="0" w:firstColumn="1" w:lastColumn="0" w:noHBand="0" w:noVBand="1"/>
                  </w:tblPr>
                  <w:tblGrid>
                    <w:gridCol w:w="139"/>
                    <w:gridCol w:w="4848"/>
                  </w:tblGrid>
                  <w:tr w:rsidR="00F02F76" w:rsidRPr="00C27D66" w:rsidTr="00670674">
                    <w:tc>
                      <w:tcPr>
                        <w:tcW w:w="24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05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relevante cu privire la parametrii de calitate a gazului care trebuie furnizate;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311"/>
                    <w:gridCol w:w="4676"/>
                  </w:tblGrid>
                  <w:tr w:rsidR="00F02F76" w:rsidRPr="00B91C10" w:rsidTr="00670674">
                    <w:tc>
                      <w:tcPr>
                        <w:tcW w:w="564"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8729"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frecvența cu care trebuie furnizate informațiile;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026"/>
                    <w:gridCol w:w="3961"/>
                  </w:tblGrid>
                  <w:tr w:rsidR="00F02F76" w:rsidRPr="00B91C10" w:rsidTr="00670674">
                    <w:tc>
                      <w:tcPr>
                        <w:tcW w:w="190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739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marja de timp;</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677"/>
                    <w:gridCol w:w="4310"/>
                  </w:tblGrid>
                  <w:tr w:rsidR="00F02F76" w:rsidRPr="00C27D66" w:rsidTr="00670674">
                    <w:tc>
                      <w:tcPr>
                        <w:tcW w:w="1249"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(iv)</w:t>
                        </w:r>
                      </w:p>
                    </w:tc>
                    <w:tc>
                      <w:tcPr>
                        <w:tcW w:w="8044"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metoda de comunicare.</w:t>
                        </w:r>
                      </w:p>
                    </w:tc>
                  </w:tr>
                </w:tbl>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4)   Alineatul (3) nu impune operatorilor de sisteme de transport obligația de a instala echipamente de măsurare sau de previzionare suplimentare, cu excepția cazului în care autoritatea națională de reglementare stabilește altfel. Informațiile menționate la alineatul (3) litera (b) punctul (i) din prezentul articol sunt furnizate ca cea mai bună estimare a operatorului de sistem de transport la un moment dat și sunt pentru uzul intern al destinatarului informațiilor.</w:t>
            </w:r>
          </w:p>
        </w:tc>
        <w:tc>
          <w:tcPr>
            <w:tcW w:w="4820" w:type="dxa"/>
          </w:tcPr>
          <w:p w:rsidR="00F02F76" w:rsidRPr="00B91C10" w:rsidRDefault="00F02F76" w:rsidP="00605DF1">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Secțiunea 3</w:t>
            </w:r>
          </w:p>
          <w:p w:rsidR="00F02F76" w:rsidRPr="00B91C10" w:rsidRDefault="00F02F76" w:rsidP="00605DF1">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Furnizarea de informații cu privire la variațiile de calitate a gazelor naturale pe termen scurt</w:t>
            </w:r>
          </w:p>
          <w:p w:rsidR="00F02F76" w:rsidRPr="00B91C10" w:rsidRDefault="00F02F76" w:rsidP="00670674">
            <w:pPr>
              <w:ind w:firstLine="708"/>
              <w:contextualSpacing/>
              <w:rPr>
                <w:rFonts w:asciiTheme="majorBidi" w:hAnsiTheme="majorBidi" w:cstheme="majorBidi"/>
                <w:b/>
                <w:bCs/>
                <w:sz w:val="18"/>
                <w:szCs w:val="18"/>
                <w:lang w:val="ro-RO"/>
              </w:rPr>
            </w:pPr>
          </w:p>
          <w:p w:rsidR="00F02F76" w:rsidRPr="00B91C10" w:rsidRDefault="00F02F76" w:rsidP="00670674">
            <w:pPr>
              <w:tabs>
                <w:tab w:val="left" w:pos="851"/>
                <w:tab w:val="left" w:pos="993"/>
              </w:tabs>
              <w:outlineLvl w:val="0"/>
              <w:rPr>
                <w:rFonts w:asciiTheme="majorBidi" w:hAnsiTheme="majorBidi" w:cstheme="majorBidi"/>
                <w:sz w:val="18"/>
                <w:szCs w:val="18"/>
                <w:lang w:val="ro-RO"/>
              </w:rPr>
            </w:pPr>
            <w:r>
              <w:rPr>
                <w:rFonts w:asciiTheme="majorBidi" w:hAnsiTheme="majorBidi" w:cstheme="majorBidi"/>
                <w:sz w:val="18"/>
                <w:szCs w:val="18"/>
                <w:lang w:val="ro-RO"/>
              </w:rPr>
              <w:lastRenderedPageBreak/>
              <w:t>98</w:t>
            </w:r>
            <w:r w:rsidRPr="00B91C10">
              <w:rPr>
                <w:rFonts w:asciiTheme="majorBidi" w:hAnsiTheme="majorBidi" w:cstheme="majorBidi"/>
                <w:sz w:val="18"/>
                <w:szCs w:val="18"/>
                <w:lang w:val="ro-RO"/>
              </w:rPr>
              <w:t>.Pe lângă punctele de interconectare</w:t>
            </w:r>
            <w:r w:rsidRPr="006C145F">
              <w:rPr>
                <w:rFonts w:asciiTheme="majorBidi" w:hAnsiTheme="majorBidi" w:cstheme="majorBidi"/>
                <w:sz w:val="18"/>
                <w:szCs w:val="18"/>
                <w:lang w:val="ro-RO"/>
              </w:rPr>
              <w:t xml:space="preserve">, </w:t>
            </w:r>
            <w:r w:rsidRPr="006C145F">
              <w:rPr>
                <w:rFonts w:asciiTheme="majorBidi" w:hAnsiTheme="majorBidi" w:cstheme="majorBidi"/>
                <w:bCs/>
                <w:sz w:val="18"/>
                <w:szCs w:val="18"/>
                <w:lang w:val="ro-RO"/>
              </w:rPr>
              <w:t>pct.102-105</w:t>
            </w:r>
            <w:r w:rsidRPr="00B91C10">
              <w:rPr>
                <w:rFonts w:asciiTheme="majorBidi" w:hAnsiTheme="majorBidi" w:cstheme="majorBidi"/>
                <w:sz w:val="18"/>
                <w:szCs w:val="18"/>
                <w:lang w:val="ro-RO"/>
              </w:rPr>
              <w:t xml:space="preserve"> se aplică și altor puncte ale rețelei de transport în care se măsoară calitatea gazelor naturale.</w:t>
            </w:r>
          </w:p>
          <w:p w:rsidR="00F02F76" w:rsidRPr="00B91C10" w:rsidRDefault="00F02F76" w:rsidP="00670674">
            <w:pPr>
              <w:tabs>
                <w:tab w:val="left" w:pos="851"/>
                <w:tab w:val="left" w:pos="993"/>
              </w:tabs>
              <w:outlineLvl w:val="0"/>
              <w:rPr>
                <w:rFonts w:asciiTheme="majorBidi" w:hAnsiTheme="majorBidi" w:cstheme="majorBidi"/>
                <w:sz w:val="18"/>
                <w:szCs w:val="18"/>
                <w:lang w:val="ro-RO"/>
              </w:rPr>
            </w:pPr>
          </w:p>
          <w:p w:rsidR="00F02F76" w:rsidRPr="00B91C10" w:rsidRDefault="00F02F76" w:rsidP="00670674">
            <w:pPr>
              <w:tabs>
                <w:tab w:val="left" w:pos="567"/>
                <w:tab w:val="left" w:pos="851"/>
                <w:tab w:val="left" w:pos="1134"/>
              </w:tabs>
              <w:outlineLvl w:val="0"/>
              <w:rPr>
                <w:rFonts w:asciiTheme="majorBidi" w:hAnsiTheme="majorBidi" w:cstheme="majorBidi"/>
                <w:sz w:val="18"/>
                <w:szCs w:val="18"/>
                <w:lang w:val="ro-RO"/>
              </w:rPr>
            </w:pPr>
            <w:r>
              <w:rPr>
                <w:rFonts w:asciiTheme="majorBidi" w:hAnsiTheme="majorBidi" w:cstheme="majorBidi"/>
                <w:sz w:val="18"/>
                <w:szCs w:val="18"/>
                <w:lang w:val="ro-RO"/>
              </w:rPr>
              <w:t>99</w:t>
            </w:r>
            <w:r w:rsidRPr="00B91C10">
              <w:rPr>
                <w:rFonts w:asciiTheme="majorBidi" w:hAnsiTheme="majorBidi" w:cstheme="majorBidi"/>
                <w:sz w:val="18"/>
                <w:szCs w:val="18"/>
                <w:lang w:val="ro-RO"/>
              </w:rPr>
              <w:t xml:space="preserve">.Un OST poate selecta una sau mai multe din următoarele părți cărora să le transmită informații privind variația calității gazelor naturale: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consumatorii instalațiile de utilizare ale cărora sunt racordate la la rețeaua de transport al gazelor naturale a</w:t>
            </w:r>
            <w:r w:rsidRPr="00B91C10" w:rsidDel="006B1908">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OST, procesele operaționale ale cărora sunt afectate în mod negativ de variațiile de calitate a gazelor naturale sau utilizatorul de sistem care acționează în numele unui consumator final ale cărui procese operaționale sunt afectate în mod negativ de variațiile de calitate a gazelor naturale, atunci când normele naționale nu prevăd un contract direct între un OST și consumatorii finali respectivi;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OSD racordați direct la rețeaua de transoport al gazelor naturale a OST, având consumatori finali racordați ale căror procese operaționale sunt afectate în mod negativ de variațiile de calitate a gazelor naturale;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operatorii depozitelor de stocare racordați direct la rețeau de gaze naturale a OST, ale căror procese operaționale sunt afectate în mod negativ de variațiile de calitate a gazelor naturale.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operatorii depozitelor de stocare racordați direct la rețeau de gaze naturale a OST, ale căror procese operaționale sunt afectate în mod negativ de variațiile de calitate a gazelor naturale. </w:t>
            </w:r>
          </w:p>
          <w:p w:rsidR="00F02F76" w:rsidRPr="00B91C10" w:rsidRDefault="00F02F76" w:rsidP="00670674">
            <w:pPr>
              <w:pStyle w:val="ListParagraph"/>
              <w:tabs>
                <w:tab w:val="left" w:pos="318"/>
                <w:tab w:val="left" w:pos="1134"/>
              </w:tabs>
              <w:suppressAutoHyphens w:val="0"/>
              <w:ind w:left="0"/>
              <w:jc w:val="both"/>
              <w:rPr>
                <w:rFonts w:asciiTheme="majorBidi" w:hAnsiTheme="majorBidi" w:cstheme="majorBidi"/>
                <w:sz w:val="18"/>
                <w:szCs w:val="18"/>
                <w:lang w:val="ro-RO"/>
              </w:rPr>
            </w:pPr>
          </w:p>
          <w:p w:rsidR="00F02F76" w:rsidRPr="00B91C10" w:rsidRDefault="00F02F76" w:rsidP="00670674">
            <w:pPr>
              <w:pStyle w:val="ListParagraph"/>
              <w:tabs>
                <w:tab w:val="left" w:pos="567"/>
                <w:tab w:val="left" w:pos="851"/>
                <w:tab w:val="left" w:pos="1134"/>
              </w:tabs>
              <w:suppressAutoHyphens w:val="0"/>
              <w:ind w:left="284" w:hanging="391"/>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0</w:t>
            </w:r>
            <w:r w:rsidRPr="00B91C10">
              <w:rPr>
                <w:rFonts w:asciiTheme="majorBidi" w:hAnsiTheme="majorBidi" w:cstheme="majorBidi"/>
                <w:sz w:val="18"/>
                <w:szCs w:val="18"/>
                <w:lang w:val="ro-RO"/>
              </w:rPr>
              <w:t>.Fiecare OST are obligația:</w:t>
            </w:r>
          </w:p>
          <w:p w:rsidR="00F02F76" w:rsidRPr="00B91C10" w:rsidRDefault="00F02F76" w:rsidP="00670674">
            <w:pPr>
              <w:pStyle w:val="ListParagraph"/>
              <w:numPr>
                <w:ilvl w:val="0"/>
                <w:numId w:val="24"/>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definească și să mențină o listă a părților îndreptățite să primească informații orientative privind calitatea gazelor naturale; </w:t>
            </w:r>
          </w:p>
          <w:p w:rsidR="00F02F76" w:rsidRPr="00B91C10" w:rsidRDefault="00F02F76" w:rsidP="00670674">
            <w:pPr>
              <w:pStyle w:val="ListParagraph"/>
              <w:numPr>
                <w:ilvl w:val="0"/>
                <w:numId w:val="24"/>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coopereze cu părțile menționate în lista de mai sus, pentru a evalua: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informațiile </w:t>
            </w:r>
            <w:r w:rsidRPr="00F12C4B">
              <w:rPr>
                <w:rFonts w:asciiTheme="majorBidi" w:hAnsiTheme="majorBidi" w:cstheme="majorBidi"/>
                <w:sz w:val="18"/>
                <w:szCs w:val="18"/>
                <w:lang w:val="ro-RO"/>
              </w:rPr>
              <w:t xml:space="preserve">relevante cu privire la parametrii de calitate a gazelor naturale care trebuie furnizate;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frecvența cu care trebuie furnizate informațiile;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marja de timp;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metoda de comunicare. </w:t>
            </w:r>
          </w:p>
          <w:p w:rsidR="00F02F76" w:rsidRPr="00F12C4B" w:rsidRDefault="00F02F76" w:rsidP="00670674">
            <w:pPr>
              <w:contextualSpacing/>
              <w:outlineLvl w:val="0"/>
              <w:rPr>
                <w:rFonts w:asciiTheme="majorBidi" w:hAnsiTheme="majorBidi" w:cstheme="majorBidi"/>
                <w:sz w:val="18"/>
                <w:szCs w:val="18"/>
                <w:lang w:val="ro-RO"/>
              </w:rPr>
            </w:pPr>
          </w:p>
          <w:p w:rsidR="00F02F76" w:rsidRPr="00B91C10" w:rsidRDefault="00F02F76" w:rsidP="00CD08E3">
            <w:pPr>
              <w:contextualSpacing/>
              <w:outlineLvl w:val="0"/>
              <w:rPr>
                <w:rFonts w:asciiTheme="majorBidi" w:hAnsiTheme="majorBidi" w:cstheme="majorBidi"/>
                <w:b/>
                <w:bCs/>
                <w:sz w:val="18"/>
                <w:szCs w:val="18"/>
                <w:lang w:val="ro-RO"/>
              </w:rPr>
            </w:pPr>
            <w:r w:rsidRPr="00F12C4B">
              <w:rPr>
                <w:rFonts w:asciiTheme="majorBidi" w:hAnsiTheme="majorBidi" w:cstheme="majorBidi"/>
                <w:sz w:val="18"/>
                <w:szCs w:val="18"/>
                <w:lang w:val="ro-RO"/>
              </w:rPr>
              <w:t xml:space="preserve">101. Pct. 100 nu impune OST obligația de a instala echipamente de măsurare sau de previzionare suplimentare, cu excepția cazului în care Agenția stabilește altfel. Informațiile menționate la </w:t>
            </w:r>
            <w:r w:rsidRPr="00F12C4B">
              <w:rPr>
                <w:rFonts w:asciiTheme="majorBidi" w:hAnsiTheme="majorBidi" w:cstheme="majorBidi"/>
                <w:b/>
                <w:sz w:val="18"/>
                <w:szCs w:val="18"/>
                <w:lang w:val="ro-RO"/>
              </w:rPr>
              <w:t>pct. 100</w:t>
            </w:r>
            <w:r w:rsidRPr="00F12C4B">
              <w:rPr>
                <w:rFonts w:asciiTheme="majorBidi" w:hAnsiTheme="majorBidi" w:cstheme="majorBidi"/>
                <w:sz w:val="18"/>
                <w:szCs w:val="18"/>
                <w:lang w:val="ro-RO"/>
              </w:rPr>
              <w:t xml:space="preserve"> subpunct 2) lit. a) sunt prezentate ca cea mai bună estimare a OST la un moment dat și sunt pentru uzul intern al destinatarului informațiilor.</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605DF1" w:rsidRDefault="00F02F76" w:rsidP="00605DF1">
            <w:pPr>
              <w:jc w:val="center"/>
              <w:rPr>
                <w:rFonts w:asciiTheme="majorBidi" w:hAnsiTheme="majorBidi" w:cstheme="majorBidi"/>
                <w:b/>
                <w:sz w:val="18"/>
                <w:szCs w:val="18"/>
              </w:rPr>
            </w:pPr>
            <w:r w:rsidRPr="00605DF1">
              <w:rPr>
                <w:rFonts w:asciiTheme="majorBidi" w:hAnsiTheme="majorBidi" w:cstheme="majorBidi"/>
                <w:b/>
                <w:sz w:val="18"/>
                <w:szCs w:val="18"/>
              </w:rPr>
              <w:lastRenderedPageBreak/>
              <w:t>Article 17</w:t>
            </w:r>
          </w:p>
          <w:p w:rsidR="00F02F76" w:rsidRDefault="00F02F76" w:rsidP="00605DF1">
            <w:pPr>
              <w:jc w:val="center"/>
              <w:rPr>
                <w:rFonts w:asciiTheme="majorBidi" w:hAnsiTheme="majorBidi" w:cstheme="majorBidi"/>
                <w:b/>
                <w:bCs/>
                <w:sz w:val="18"/>
                <w:szCs w:val="18"/>
              </w:rPr>
            </w:pPr>
            <w:r w:rsidRPr="00605DF1">
              <w:rPr>
                <w:rFonts w:asciiTheme="majorBidi" w:hAnsiTheme="majorBidi" w:cstheme="majorBidi"/>
                <w:b/>
                <w:bCs/>
                <w:sz w:val="18"/>
                <w:szCs w:val="18"/>
              </w:rPr>
              <w:t>Information provision on short-term gas quality variation</w:t>
            </w:r>
          </w:p>
          <w:p w:rsidR="00B92852" w:rsidRPr="00605DF1" w:rsidRDefault="00B92852" w:rsidP="00605DF1">
            <w:pPr>
              <w:jc w:val="center"/>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1. In addition to interconnection points, this Article shall apply to other points on transmission net-works where the gas quality is measured.</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A transmission system operator may select one or several of the following parties to receive information on gas quality variation: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final customers directly connected to the transmission system operator’s network, whose operational processes are adversely affected by gas quality changes or a network user acting on behalf of a final customer whose operational processes are adversely affected by gas quality changes, where a direct contractual arrangement between a transmission system operator and its directly connected final customers is not foreseen by the national rules;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distribution system operators directly connected to the transmission system operator’s network, with connected final customers whose operational processes are adversely affected by gas quality changes;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storage system operators directly connected to the transmission system operator’s network, whose operational processes are adversely affected by gas quality changes.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3.</w:t>
            </w:r>
            <w:r w:rsidRPr="00B91C10">
              <w:rPr>
                <w:rFonts w:asciiTheme="majorBidi" w:hAnsiTheme="majorBidi" w:cstheme="majorBidi"/>
                <w:sz w:val="18"/>
                <w:szCs w:val="18"/>
              </w:rPr>
              <w:t>Each transmission system operator shall:</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define and maintain a list of parties entitled to receive indicative gas quality information;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cooperate with the parties identified in the above list in order to assess: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 the relevant information on gas quality parameters to be provided;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the frequency for the information to be provided;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 the lead time; (iv) the method of communication.</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Paragraph 3 shall not impose an obligation on transmission system operators to install additional measurement or forecasting equipment, unless otherwise required by the national regulatory authority.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The information under paragraph 3(b)(i) of this Article shall be provided as the transmission system operator’s best estimate at a point in time and for the internal use of the recipient of the information.</w:t>
            </w:r>
          </w:p>
        </w:tc>
      </w:tr>
      <w:tr w:rsidR="00F02F76" w:rsidRPr="00B91C10" w:rsidTr="00B92852">
        <w:trPr>
          <w:trHeight w:val="8644"/>
        </w:trPr>
        <w:tc>
          <w:tcPr>
            <w:tcW w:w="5245" w:type="dxa"/>
          </w:tcPr>
          <w:p w:rsidR="00F02F76" w:rsidRPr="00CA0CFD" w:rsidRDefault="00F02F76" w:rsidP="00B92852">
            <w:pPr>
              <w:shd w:val="clear" w:color="auto" w:fill="FFFFFF"/>
              <w:jc w:val="center"/>
              <w:rPr>
                <w:rFonts w:asciiTheme="majorBidi" w:hAnsiTheme="majorBidi" w:cstheme="majorBidi"/>
                <w:i/>
                <w:iCs/>
                <w:sz w:val="18"/>
                <w:szCs w:val="18"/>
                <w:lang w:val="it-IT"/>
              </w:rPr>
            </w:pPr>
            <w:r w:rsidRPr="00CA0CFD">
              <w:rPr>
                <w:rFonts w:asciiTheme="majorBidi" w:hAnsiTheme="majorBidi" w:cstheme="majorBidi"/>
                <w:i/>
                <w:iCs/>
                <w:sz w:val="18"/>
                <w:szCs w:val="18"/>
                <w:lang w:val="it-IT"/>
              </w:rPr>
              <w:lastRenderedPageBreak/>
              <w:t>Articolul 18</w:t>
            </w:r>
          </w:p>
          <w:p w:rsidR="00F02F76" w:rsidRPr="00CA0CFD" w:rsidRDefault="00F02F76" w:rsidP="00B92852">
            <w:pPr>
              <w:shd w:val="clear" w:color="auto" w:fill="FFFFFF"/>
              <w:jc w:val="center"/>
              <w:rPr>
                <w:rFonts w:asciiTheme="majorBidi" w:hAnsiTheme="majorBidi" w:cstheme="majorBidi"/>
                <w:b/>
                <w:bCs/>
                <w:sz w:val="18"/>
                <w:szCs w:val="18"/>
                <w:lang w:val="it-IT"/>
              </w:rPr>
            </w:pPr>
            <w:r w:rsidRPr="00CA0CFD">
              <w:rPr>
                <w:rFonts w:asciiTheme="majorBidi" w:hAnsiTheme="majorBidi" w:cstheme="majorBidi"/>
                <w:b/>
                <w:bCs/>
                <w:sz w:val="18"/>
                <w:szCs w:val="18"/>
                <w:lang w:val="it-IT"/>
              </w:rPr>
              <w:t>Monitorizarea pe termen lung a calității gazului în sistemele de transport</w:t>
            </w:r>
          </w:p>
          <w:p w:rsidR="00F02F76" w:rsidRPr="00CA0CFD" w:rsidRDefault="00F02F76" w:rsidP="00670674">
            <w:pPr>
              <w:shd w:val="clear" w:color="auto" w:fill="FFFFFF"/>
              <w:jc w:val="both"/>
              <w:rPr>
                <w:rFonts w:asciiTheme="majorBidi" w:hAnsiTheme="majorBidi" w:cstheme="majorBidi"/>
                <w:b/>
                <w:bCs/>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(1)   ENTSOG publică o dată la doi ani o perspectivă de monitorizare pe termen lung a calității gazului în sistemele de transport, pentru a identifica tendințele potențiale ale parametrilor de calitate a gazului și variabilitatea potențială respectivă în următorii zece ani. Prima perspectivă de monitorizare pe termen lung a calității gazului se va publica odată cu Planul de dezvoltare a rețelei pe zece ani din 2017.</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(2)   Perspectiva se bazează pe datele colectate în cadrul cooperării regionale instituite prin ENTSOG în conformitate cu articolul 12 alineatul (1) din Regulamentul (CE) nr. 715/2009.</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Perspectiva de monitorizare pe termen lung a calității gazului tratează cel puțin indicele Wobbe și puterea calorifică superioară. Se pot include parametri de calitate a gazului suplimentari, după consultarea factorilor interesați menționați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(4)   Perspectiva de monitorizare pe termen lung a calității gazului identifică noi surse potențiale de aprovizionare din perspectiva calității gazului.</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(5)   Pentru a defini valorile de referință ale parametrilor de calitate a gazului pentru respectivele surse de aprovizionare, care să fie utilizate în cadrul perspectivei, se realizează o analiză a anilor precedenți. Aceste date pot fi înlocuite cu date furnizate de părțile interesate, rezultate din procesul de implicare a părților interesate menționat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(6)   Pentru fiecare parametru de calitate a gazului avut în vedere și pentru fiecare regiune, analiza trebuie să aibă ca rezultat un interval în care este probabil că va evolua parametrul.</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(7)   Perspectiva de monitorizare pe termen lung a calității gazului trebuie să fie consecventă și armonizată cu Planul de dezvoltare a rețelei pe zece ani la nivelul Uniunii al ENTSOG, aflat în curs de elaborare în același timp.</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(8)   Procesul de consultare a părților interesate folosit pentru Planul de dezvoltare a rețelei pe zece ani la nivelul Uniunii este extins pentru a include și tema calității gazului. Prin acest proces, părțile interesate sunt invitate să prezinte ENTSOG opiniile lor cu privire la evoluția parametrilor de calitate a gazului furnizat.</w:t>
            </w:r>
          </w:p>
          <w:p w:rsidR="00B92852" w:rsidRDefault="00B92852" w:rsidP="00670674">
            <w:pPr>
              <w:shd w:val="clear" w:color="auto" w:fill="FFFFFF"/>
              <w:jc w:val="both"/>
              <w:rPr>
                <w:rFonts w:asciiTheme="majorBidi" w:hAnsiTheme="majorBidi" w:cstheme="majorBidi"/>
                <w:i/>
                <w:iCs/>
                <w:sz w:val="18"/>
                <w:szCs w:val="18"/>
                <w:lang w:val="it-IT"/>
              </w:rPr>
            </w:pPr>
          </w:p>
          <w:p w:rsidR="00F02F76" w:rsidRPr="00B92852" w:rsidRDefault="00F02F76" w:rsidP="00B92852">
            <w:pPr>
              <w:tabs>
                <w:tab w:val="left" w:pos="1268"/>
              </w:tabs>
              <w:rPr>
                <w:rFonts w:asciiTheme="majorBidi" w:hAnsiTheme="majorBidi" w:cstheme="majorBidi"/>
                <w:sz w:val="18"/>
                <w:szCs w:val="18"/>
                <w:lang w:val="it-IT"/>
              </w:rPr>
            </w:pPr>
          </w:p>
        </w:tc>
        <w:tc>
          <w:tcPr>
            <w:tcW w:w="4820" w:type="dxa"/>
          </w:tcPr>
          <w:p w:rsidR="00F02F76" w:rsidRPr="00CA0CFD" w:rsidRDefault="00F02F76" w:rsidP="00670674">
            <w:pPr>
              <w:contextualSpacing/>
              <w:outlineLvl w:val="0"/>
              <w:rPr>
                <w:rFonts w:asciiTheme="majorBidi" w:hAnsiTheme="majorBidi" w:cstheme="majorBidi"/>
                <w:b/>
                <w:bCs/>
                <w:sz w:val="18"/>
                <w:szCs w:val="18"/>
                <w:lang w:val="ro-RO"/>
              </w:rPr>
            </w:pPr>
          </w:p>
        </w:tc>
        <w:tc>
          <w:tcPr>
            <w:tcW w:w="1417" w:type="dxa"/>
          </w:tcPr>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Prevederi UE neaplicabile.</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b/>
                <w:sz w:val="18"/>
                <w:szCs w:val="18"/>
                <w:lang w:val="it-IT"/>
              </w:rPr>
            </w:pPr>
          </w:p>
        </w:tc>
        <w:tc>
          <w:tcPr>
            <w:tcW w:w="4253" w:type="dxa"/>
          </w:tcPr>
          <w:p w:rsidR="00F02F76" w:rsidRPr="0070321E" w:rsidRDefault="00F02F76" w:rsidP="00670674">
            <w:pPr>
              <w:jc w:val="both"/>
              <w:rPr>
                <w:rFonts w:asciiTheme="majorBidi" w:hAnsiTheme="majorBidi" w:cstheme="majorBidi"/>
                <w:sz w:val="18"/>
                <w:szCs w:val="18"/>
              </w:rPr>
            </w:pPr>
            <w:r w:rsidRPr="0070321E">
              <w:rPr>
                <w:rFonts w:asciiTheme="majorBidi" w:hAnsiTheme="majorBidi" w:cstheme="majorBidi"/>
                <w:sz w:val="18"/>
                <w:szCs w:val="18"/>
              </w:rPr>
              <w:t xml:space="preserve">Article 18 </w:t>
            </w:r>
          </w:p>
          <w:p w:rsidR="00F02F76" w:rsidRDefault="00F02F76" w:rsidP="00670674">
            <w:pPr>
              <w:jc w:val="both"/>
              <w:rPr>
                <w:rFonts w:asciiTheme="majorBidi" w:hAnsiTheme="majorBidi" w:cstheme="majorBidi"/>
                <w:b/>
                <w:bCs/>
                <w:sz w:val="18"/>
                <w:szCs w:val="18"/>
              </w:rPr>
            </w:pPr>
          </w:p>
          <w:p w:rsidR="00F02F76"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Long-term monitoring on gas quality in transmission systems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Entsog shall publish every two years a long-term gas quality monitoring outlook for transmission systems in order to identify the potential trends of gas quality parameters and respective potential variability within the next 10 years. The first long-term gas quality monitoring outlook shall be published along with the Ten-Year Network Development Plan of 2017. </w:t>
            </w:r>
          </w:p>
          <w:p w:rsidR="00F02F76" w:rsidRPr="00B92852"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outlook shall be based on the inputs gathered in the framework of the regional cooperation established within Entsog in accordance with Article 12(1) of Regulation (EC) No 715/2009. 3. The long-term gas quality monitoring outlook shall cover at least the Wobbe-index and gross calorific value. Additional gas quality parameters may be included after consultation with the stakeholders referred to in paragraph 8. 4. The long-term gas quality monitoring outlook shall identify potential new supply sources from a gas quality perspective. 5. In order to define the reference values of gas quality parameters for the respective supply sources to be used in the outlook, an analysis of the previous years shall be carried out. Such data may be replaced by stakeholders’ inputs which result from the stakeholders’ engagement process referred to in paragraph 8. 6. For every gas quality parameter considered and every region, the analysis shall result in a range within which the parameter is likely to evolve. 7. The long-term gas quality monitoring outlook shall be consistent and aligned with the Entsog Union-wide Ten-Year Network Development Plan under preparation at the same time. 8. The stakeholders’ consultation process used for the Union-wide Ten-Year Network Development Plan shall be expanded to include gas quality as an item. Through this process, stakeholders shall be invited to provide Entsog with their views on the evolution of gas </w:t>
            </w:r>
            <w:r w:rsidR="00B92852">
              <w:rPr>
                <w:rFonts w:asciiTheme="majorBidi" w:hAnsiTheme="majorBidi" w:cstheme="majorBidi"/>
                <w:sz w:val="18"/>
                <w:szCs w:val="18"/>
              </w:rPr>
              <w:t>quality parameters of supplies.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19</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Gestionarea restricțiilor comerciale transfrontaliere datorate diferențelor în privința practicilor de odorizare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cazul în care o restricție în calea comerțului transfrontalier datorată diferențelor în privința practicilor de odorizare nu poate fi evitată de către operatorii de sisteme de transport în cauză și este recunoscută de autoritățile naționale, aceste autorități pot cere operatorilor de sisteme de transport în cauză să ajungă, în termen de șase luni, la un acord care poate include angajamente privind fluxul și schimbările, pentru a soluționa orice restricție recunoscută. Operatorii de sisteme de transport adiacenți în cauză pun acordul la dispoziția autorităților lor naționale respective, spre aprobare.</w:t>
            </w:r>
          </w:p>
          <w:p w:rsidR="00E85F4B" w:rsidRPr="00B91C10" w:rsidRDefault="00E85F4B"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cazul în care nu se poate ajunge la un acord între operatorii de sisteme de transport în cauză după perioada de șase luni menționată la alineatul (1) sau în cazul în care autoritățile naționale convin că acordul propus de operatorii de sisteme de transport adiacenți în cauză nu este suficient de eficace pentru a înlătura restricția, în următoarele douăsprezece luni operatorii de sisteme de transport în cauză, în colaborare cu autoritățile naționale, definesc un plan detaliat care să stabilească cea mai rentabilă metodă de a elimina o restricție recunoscută la punctul de interconectare transfrontalier respectiv.</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scopul îndeplinirii obligațiilor care le revin în temeiul alineatului (2), operatorii de sisteme de transport în cauză trebuie să realizeze următoarele acțiuni, în ordine: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B91C10"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elaboreze opțiuni pentru înlăturarea restricției, prin identificarea și evaluarea:</w:t>
                  </w:r>
                </w:p>
                <w:tbl>
                  <w:tblPr>
                    <w:tblW w:w="5000" w:type="pct"/>
                    <w:tblLayout w:type="fixed"/>
                    <w:tblCellMar>
                      <w:left w:w="0" w:type="dxa"/>
                      <w:right w:w="0" w:type="dxa"/>
                    </w:tblCellMar>
                    <w:tblLook w:val="04A0" w:firstRow="1" w:lastRow="0" w:firstColumn="1" w:lastColumn="0" w:noHBand="0" w:noVBand="1"/>
                  </w:tblPr>
                  <w:tblGrid>
                    <w:gridCol w:w="196"/>
                    <w:gridCol w:w="4792"/>
                  </w:tblGrid>
                  <w:tr w:rsidR="00F02F76" w:rsidRPr="00C27D66" w:rsidTr="00670674">
                    <w:tc>
                      <w:tcPr>
                        <w:tcW w:w="35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94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unei treceri la un flux fizic transfrontalier de gaz neodorizat;</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B91C10"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fluxului fizic potențial de gaz odorizat în rețeaua de transport neodorizată sau într-o parte a acesteia și în sistemele interconectate din aval;</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29"/>
                    <w:gridCol w:w="4759"/>
                  </w:tblGrid>
                  <w:tr w:rsidR="00F02F76" w:rsidRPr="00B91C10" w:rsidTr="00670674">
                    <w:tc>
                      <w:tcPr>
                        <w:tcW w:w="41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885"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unui nivel acceptabil de agent odorizant pentru fluxul fizic transfrontalier de gaz;</w:t>
                        </w:r>
                      </w:p>
                    </w:tc>
                  </w:tr>
                </w:tbl>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să desfășoare în comun o analiză cost-beneficiu a opțiunilor fezabile din punct de vedere tehnic, pentru a defini soluții eficiente din punct de vedere economic. </w:t>
                  </w:r>
                  <w:r w:rsidRPr="00B91C10">
                    <w:rPr>
                      <w:rFonts w:asciiTheme="majorBidi" w:hAnsiTheme="majorBidi" w:cstheme="majorBidi"/>
                      <w:sz w:val="18"/>
                      <w:szCs w:val="18"/>
                    </w:rPr>
                    <w:t>Această analiză trebuie:</w:t>
                  </w:r>
                </w:p>
                <w:tbl>
                  <w:tblPr>
                    <w:tblW w:w="5000" w:type="pct"/>
                    <w:tblLayout w:type="fixed"/>
                    <w:tblCellMar>
                      <w:left w:w="0" w:type="dxa"/>
                      <w:right w:w="0" w:type="dxa"/>
                    </w:tblCellMar>
                    <w:tblLook w:val="04A0" w:firstRow="1" w:lastRow="0" w:firstColumn="1" w:lastColumn="0" w:noHBand="0" w:noVBand="1"/>
                  </w:tblPr>
                  <w:tblGrid>
                    <w:gridCol w:w="304"/>
                    <w:gridCol w:w="4683"/>
                  </w:tblGrid>
                  <w:tr w:rsidR="00F02F76" w:rsidRPr="00C27D66" w:rsidTr="00670674">
                    <w:tc>
                      <w:tcPr>
                        <w:tcW w:w="55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74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țină seama de nivelul de siguranță;</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3"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includă informații cu privire la volumele de gaz proiectate să fie transportate și la detaliile privind costurile investițiilor necesare în infrastructură;</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31"/>
                    <w:gridCol w:w="4756"/>
                  </w:tblGrid>
                  <w:tr w:rsidR="00F02F76" w:rsidRPr="00C27D66" w:rsidTr="00670674">
                    <w:tc>
                      <w:tcPr>
                        <w:tcW w:w="41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87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specifice defalcarea costurilor și a beneficiilor pe categoriile de părți afectate;</w:t>
                        </w:r>
                      </w:p>
                    </w:tc>
                  </w:tr>
                </w:tbl>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857"/>
            </w:tblGrid>
            <w:tr w:rsidR="00F02F76" w:rsidRPr="00C27D66" w:rsidTr="00670674">
              <w:tc>
                <w:tcPr>
                  <w:tcW w:w="30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5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realizeze o estimare a duratei de implementare pentru fiecare opțiune potențială;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2"/>
              <w:gridCol w:w="4847"/>
            </w:tblGrid>
            <w:tr w:rsidR="00F02F76" w:rsidRPr="00C27D66" w:rsidTr="00670674">
              <w:tc>
                <w:tcPr>
                  <w:tcW w:w="32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(d)</w:t>
                  </w:r>
                </w:p>
              </w:tc>
              <w:tc>
                <w:tcPr>
                  <w:tcW w:w="903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efectueze o consultare publică și să țină seama de rezultatele acestei consultări;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prezinte spre aprobare autorităților naționale soluțiile fezabile, inclusiv mecanismele de recuperare a costurilor și calendarul de implementare.</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După ce o soluție este aprobată de autoritățile naționale, soluția respectivă este implementată în conformitate cu calendarul prevăzut la litera (e).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Dacă autoritățile naționale nu aprobă nicio soluție prezentată în temeiul alineatului (3) litera (e) în termen de 6 luni de la prezentarea soluției sau dacă operatorii de sisteme de transport în cauză nu reușesc să propună o soluție în termenul de 12 luni prevăzut la alineatul (2), se implementează o trecere la fluxul fizic transfrontalier de gaz neodorizat, conform unui calendar aprobat de autoritățile naționale, dar care nu depășește 4 ani. După o trecere completă, din punct de vedere tehnic, la gazul neodorizat, operatorii de sisteme de transport acceptă niveluri tehnic inevitabile de reducere succesivă a cantităților reziduale de agenți odorizanți în fluxurile transfrontaliere.</w:t>
            </w: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pStyle w:val="ListParagraph"/>
              <w:ind w:left="644" w:hanging="610"/>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Secțiunea 4</w:t>
            </w:r>
          </w:p>
          <w:p w:rsidR="00F02F76" w:rsidRPr="00B91C10" w:rsidRDefault="00F02F76" w:rsidP="00670674">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Gestionarea restricțiilor comerciale transfrontaliere datorate diferențelorn privința practicilor de odorizare</w:t>
            </w:r>
          </w:p>
          <w:p w:rsidR="00F02F76" w:rsidRPr="00B91C10" w:rsidRDefault="00F02F76" w:rsidP="00670674">
            <w:pPr>
              <w:contextualSpacing/>
              <w:jc w:val="both"/>
              <w:rPr>
                <w:rFonts w:asciiTheme="majorBidi" w:hAnsiTheme="majorBidi" w:cstheme="majorBidi"/>
                <w:i/>
                <w:iCs/>
                <w:sz w:val="18"/>
                <w:szCs w:val="18"/>
                <w:lang w:val="ro-RO"/>
              </w:rPr>
            </w:pPr>
          </w:p>
          <w:p w:rsidR="00F02F76" w:rsidRPr="00B91C10" w:rsidRDefault="00F02F76" w:rsidP="00670674">
            <w:pPr>
              <w:tabs>
                <w:tab w:val="left" w:pos="567"/>
                <w:tab w:val="left" w:pos="709"/>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În cazul în care o restricție în calea comerțului transfrontalier datorată diferențelor în privința practicilor de odorizare nu poate fi evitată de către OST în cauză și este recunoscută de Agenție, Agenția poate cere OST în cauză să ajungă, în termen de 6 luni, la un acord care poate include angajamente privind fluxul și schimbările, pentru a soluționa orice restricție recunoscută. OST în cauză prezintă acordul respectiv la Agenției, spre aprobare. </w:t>
            </w:r>
          </w:p>
          <w:p w:rsidR="00F02F76" w:rsidRPr="00B91C10" w:rsidRDefault="00F02F76" w:rsidP="00670674">
            <w:pPr>
              <w:tabs>
                <w:tab w:val="left" w:pos="567"/>
                <w:tab w:val="left" w:pos="709"/>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709"/>
                <w:tab w:val="left" w:pos="1134"/>
              </w:tabs>
              <w:jc w:val="both"/>
              <w:outlineLvl w:val="0"/>
              <w:rPr>
                <w:rFonts w:asciiTheme="majorBidi" w:hAnsiTheme="majorBidi" w:cstheme="majorBidi"/>
                <w:sz w:val="18"/>
                <w:szCs w:val="18"/>
                <w:lang w:val="ro-RO"/>
              </w:rPr>
            </w:pPr>
          </w:p>
          <w:p w:rsidR="00F02F76" w:rsidRPr="00F12C4B" w:rsidRDefault="00F02F76" w:rsidP="00670674">
            <w:pPr>
              <w:tabs>
                <w:tab w:val="left" w:pos="567"/>
                <w:tab w:val="left" w:pos="709"/>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În cazul în care nu se poate ajunge la un acord între OST în cauză după perioada de 6 luni sau în cazul în care Agenția convine cu autoritățile naționale de reglementare competente ale OST adiacenți, că acordul propus de OST adiacenț în cauză nu este suficient de eficace pentru a înlătura restricția, OST în cauză, în colaborare </w:t>
            </w:r>
            <w:r w:rsidRPr="00F12C4B">
              <w:rPr>
                <w:rFonts w:asciiTheme="majorBidi" w:hAnsiTheme="majorBidi" w:cstheme="majorBidi"/>
                <w:sz w:val="18"/>
                <w:szCs w:val="18"/>
                <w:lang w:val="ro-RO"/>
              </w:rPr>
              <w:t xml:space="preserve">cu Agenția și autoritățile naționale de reglementare competente pentru OST adiacenți, în următoarele 12 luni, definesc un plan detaliat care să stabilească cea mai rentabilă metodă de a elimina o restricție recunoscută la punctul de interconectare transfrontalier respectiv. </w:t>
            </w:r>
          </w:p>
          <w:p w:rsidR="00F02F76" w:rsidRPr="00F12C4B" w:rsidRDefault="00F02F76" w:rsidP="00670674">
            <w:pPr>
              <w:tabs>
                <w:tab w:val="left" w:pos="567"/>
                <w:tab w:val="left" w:pos="709"/>
                <w:tab w:val="left" w:pos="1134"/>
              </w:tabs>
              <w:jc w:val="both"/>
              <w:outlineLvl w:val="0"/>
              <w:rPr>
                <w:rFonts w:asciiTheme="majorBidi" w:hAnsiTheme="majorBidi" w:cstheme="majorBidi"/>
                <w:sz w:val="18"/>
                <w:szCs w:val="18"/>
                <w:lang w:val="ro-RO"/>
              </w:rPr>
            </w:pPr>
          </w:p>
          <w:p w:rsidR="00F02F76" w:rsidRPr="00F12C4B" w:rsidRDefault="00F02F76" w:rsidP="00670674">
            <w:pPr>
              <w:tabs>
                <w:tab w:val="left" w:pos="567"/>
                <w:tab w:val="left" w:pos="709"/>
                <w:tab w:val="left" w:pos="1134"/>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104. În scopul îndeplinirii obligațiilor care le revin în temeiul </w:t>
            </w:r>
            <w:r w:rsidRPr="00F12C4B">
              <w:rPr>
                <w:rFonts w:asciiTheme="majorBidi" w:hAnsiTheme="majorBidi" w:cstheme="majorBidi"/>
                <w:b/>
                <w:sz w:val="18"/>
                <w:szCs w:val="18"/>
                <w:lang w:val="ro-RO"/>
              </w:rPr>
              <w:t>pct. 102</w:t>
            </w:r>
            <w:r w:rsidRPr="00F12C4B">
              <w:rPr>
                <w:rFonts w:asciiTheme="majorBidi" w:hAnsiTheme="majorBidi" w:cstheme="majorBidi"/>
                <w:sz w:val="18"/>
                <w:szCs w:val="18"/>
                <w:lang w:val="ro-RO"/>
              </w:rPr>
              <w:t xml:space="preserve"> OST în cauză trebuie să realizeze următoarele acțiuni, în ordine: </w:t>
            </w:r>
          </w:p>
          <w:p w:rsidR="00F02F76" w:rsidRPr="00F12C4B" w:rsidRDefault="00F02F76" w:rsidP="005739C4">
            <w:pPr>
              <w:pStyle w:val="ListParagraph"/>
              <w:numPr>
                <w:ilvl w:val="1"/>
                <w:numId w:val="26"/>
              </w:numPr>
              <w:suppressAutoHyphens w:val="0"/>
              <w:ind w:left="183" w:hanging="284"/>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să elaboreze opțiuni pentru înlăturarea restricției, prin identificarea și evaluarea: </w:t>
            </w:r>
          </w:p>
          <w:p w:rsidR="00F02F76" w:rsidRPr="00F12C4B" w:rsidRDefault="00F02F76" w:rsidP="00997596">
            <w:pPr>
              <w:pStyle w:val="ListParagraph"/>
              <w:numPr>
                <w:ilvl w:val="0"/>
                <w:numId w:val="27"/>
              </w:numPr>
              <w:tabs>
                <w:tab w:val="left" w:pos="451"/>
              </w:tabs>
              <w:suppressAutoHyphens w:val="0"/>
              <w:ind w:left="183"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unei treceri la un flux fizic transfrontalier de gaze naturale neodorizat; </w:t>
            </w:r>
          </w:p>
          <w:p w:rsidR="00F02F76" w:rsidRPr="00B91C10" w:rsidRDefault="00F02F76" w:rsidP="00997596">
            <w:pPr>
              <w:pStyle w:val="ListParagraph"/>
              <w:numPr>
                <w:ilvl w:val="0"/>
                <w:numId w:val="27"/>
              </w:numPr>
              <w:tabs>
                <w:tab w:val="left" w:pos="451"/>
              </w:tabs>
              <w:suppressAutoHyphens w:val="0"/>
              <w:ind w:left="183"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fluxului fizic</w:t>
            </w:r>
            <w:r w:rsidRPr="00B91C10">
              <w:rPr>
                <w:rFonts w:asciiTheme="majorBidi" w:hAnsiTheme="majorBidi" w:cstheme="majorBidi"/>
                <w:sz w:val="18"/>
                <w:szCs w:val="18"/>
                <w:lang w:val="ro-RO"/>
              </w:rPr>
              <w:t xml:space="preserve"> potențial de gaze naturale odorizat în rețeaua de transport neodorizată sau într-o parte a acesteia și în sistemele interconectate din aval; </w:t>
            </w:r>
          </w:p>
          <w:p w:rsidR="00F02F76" w:rsidRPr="00B91C10" w:rsidRDefault="00F02F76" w:rsidP="00997596">
            <w:pPr>
              <w:pStyle w:val="ListParagraph"/>
              <w:numPr>
                <w:ilvl w:val="0"/>
                <w:numId w:val="27"/>
              </w:numPr>
              <w:tabs>
                <w:tab w:val="left" w:pos="4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unui nivel acceptabil de agent odorizant pentru fluxul fizic transfrontalier de gaz; </w:t>
            </w:r>
          </w:p>
          <w:p w:rsidR="00F02F76" w:rsidRPr="00B91C10" w:rsidRDefault="00F02F76" w:rsidP="00997596">
            <w:pPr>
              <w:pStyle w:val="ListParagraph"/>
              <w:numPr>
                <w:ilvl w:val="1"/>
                <w:numId w:val="26"/>
              </w:numPr>
              <w:tabs>
                <w:tab w:val="left" w:pos="45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desfășoare în comun o analiză cost-beneficiu a opțiunilor fezabile din punct de vedere tehnic, pentru a defini soluții eficiente din punct de vedere economic. Această analiză trebuie: </w:t>
            </w:r>
          </w:p>
          <w:p w:rsidR="00F02F76" w:rsidRPr="00B91C10" w:rsidRDefault="00F02F76" w:rsidP="005739C4">
            <w:pPr>
              <w:pStyle w:val="ListParagraph"/>
              <w:numPr>
                <w:ilvl w:val="0"/>
                <w:numId w:val="28"/>
              </w:numPr>
              <w:tabs>
                <w:tab w:val="left" w:pos="481"/>
                <w:tab w:val="left" w:pos="1134"/>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țină seama de nivelul de siguranță; </w:t>
            </w:r>
          </w:p>
          <w:p w:rsidR="00F02F76" w:rsidRPr="00B91C10" w:rsidRDefault="00F02F76" w:rsidP="005739C4">
            <w:pPr>
              <w:pStyle w:val="ListParagraph"/>
              <w:numPr>
                <w:ilvl w:val="0"/>
                <w:numId w:val="28"/>
              </w:numPr>
              <w:tabs>
                <w:tab w:val="left" w:pos="481"/>
                <w:tab w:val="left" w:pos="1134"/>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includă informații cu privire la volumele de gaze naturale proiectate să fie transportate și la detaliile privind costurile investițiilor necesare în infrastructură; </w:t>
            </w:r>
          </w:p>
          <w:p w:rsidR="00F02F76" w:rsidRPr="00B91C10" w:rsidRDefault="00F02F76" w:rsidP="005739C4">
            <w:pPr>
              <w:pStyle w:val="ListParagraph"/>
              <w:numPr>
                <w:ilvl w:val="0"/>
                <w:numId w:val="28"/>
              </w:numPr>
              <w:tabs>
                <w:tab w:val="left" w:pos="481"/>
                <w:tab w:val="left" w:pos="1134"/>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specifice defalcarea costurilor și a beneficiilor pe categoriile de părți afectate; </w:t>
            </w:r>
          </w:p>
          <w:p w:rsidR="00F02F76" w:rsidRPr="00B91C10" w:rsidRDefault="00F02F76" w:rsidP="005739C4">
            <w:pPr>
              <w:pStyle w:val="ListParagraph"/>
              <w:numPr>
                <w:ilvl w:val="1"/>
                <w:numId w:val="26"/>
              </w:numPr>
              <w:tabs>
                <w:tab w:val="left" w:pos="48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să realizeze o estimare a duratei de implementare pentru fiecare opțiune potențială; </w:t>
            </w:r>
          </w:p>
          <w:p w:rsidR="00F02F76" w:rsidRPr="00B91C10" w:rsidRDefault="00F02F76" w:rsidP="005739C4">
            <w:pPr>
              <w:pStyle w:val="ListParagraph"/>
              <w:numPr>
                <w:ilvl w:val="1"/>
                <w:numId w:val="26"/>
              </w:numPr>
              <w:tabs>
                <w:tab w:val="left" w:pos="48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efectueze o consultare publică și să țină seama de rezultatele acestei consultări; </w:t>
            </w:r>
          </w:p>
          <w:p w:rsidR="00F02F76" w:rsidRPr="00B91C10" w:rsidRDefault="00F02F76" w:rsidP="005739C4">
            <w:pPr>
              <w:pStyle w:val="ListParagraph"/>
              <w:numPr>
                <w:ilvl w:val="1"/>
                <w:numId w:val="26"/>
              </w:numPr>
              <w:tabs>
                <w:tab w:val="left" w:pos="48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prezinte spre aprobare autorităților naționale soluțiile fezabile, inclusiv mecanismele de recuperare a costurilor și calendarul de implementare. </w:t>
            </w:r>
          </w:p>
          <w:p w:rsidR="00F02F76" w:rsidRPr="005739C4"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w:t>
            </w:r>
            <w:r w:rsidRPr="005739C4">
              <w:rPr>
                <w:rFonts w:asciiTheme="majorBidi" w:hAnsiTheme="majorBidi" w:cstheme="majorBidi"/>
                <w:sz w:val="18"/>
                <w:szCs w:val="18"/>
                <w:lang w:val="ro-RO"/>
              </w:rPr>
              <w:t>După ce o soluție este aprobată de Agenție și autoritățile naționale de reglementare competente pentru operatorii al sistemului de transport adiacenți, soluția respectivă este implementată în conformitate cu calendarul prevăzut la subpunct.</w:t>
            </w:r>
            <w:r w:rsidRPr="005739C4" w:rsidDel="00C80D66">
              <w:rPr>
                <w:rFonts w:asciiTheme="majorBidi" w:hAnsiTheme="majorBidi" w:cstheme="majorBidi"/>
                <w:sz w:val="18"/>
                <w:szCs w:val="18"/>
                <w:lang w:val="ro-RO"/>
              </w:rPr>
              <w:t xml:space="preserve"> </w:t>
            </w:r>
            <w:r w:rsidRPr="005739C4">
              <w:rPr>
                <w:rFonts w:asciiTheme="majorBidi" w:hAnsiTheme="majorBidi" w:cstheme="majorBidi"/>
                <w:sz w:val="18"/>
                <w:szCs w:val="18"/>
                <w:lang w:val="ro-RO"/>
              </w:rPr>
              <w:t>5).</w:t>
            </w:r>
          </w:p>
          <w:p w:rsidR="00F02F76" w:rsidRPr="00105C1A" w:rsidRDefault="00F02F76" w:rsidP="00670674">
            <w:pPr>
              <w:tabs>
                <w:tab w:val="left" w:pos="41"/>
                <w:tab w:val="left" w:pos="993"/>
              </w:tabs>
              <w:jc w:val="both"/>
              <w:outlineLvl w:val="0"/>
              <w:rPr>
                <w:rFonts w:asciiTheme="majorBidi" w:hAnsiTheme="majorBidi" w:cstheme="majorBidi"/>
                <w:sz w:val="18"/>
                <w:szCs w:val="18"/>
                <w:lang w:val="ro-RO"/>
              </w:rPr>
            </w:pPr>
            <w:r w:rsidRPr="005739C4">
              <w:rPr>
                <w:rFonts w:asciiTheme="majorBidi" w:hAnsiTheme="majorBidi" w:cstheme="majorBidi"/>
                <w:sz w:val="18"/>
                <w:szCs w:val="18"/>
                <w:lang w:val="ro-RO"/>
              </w:rPr>
              <w:tab/>
              <w:t>105. Dacă Agenția și autoritățile naționale de reglementare competente ale OST</w:t>
            </w:r>
            <w:r w:rsidRPr="00B92852">
              <w:rPr>
                <w:rFonts w:asciiTheme="majorBidi" w:hAnsiTheme="majorBidi" w:cstheme="majorBidi"/>
                <w:sz w:val="18"/>
                <w:szCs w:val="18"/>
                <w:lang w:val="ro-RO"/>
              </w:rPr>
              <w:t xml:space="preserve"> adiacenți  nu aprobă nici o soluție prezentată în temeiul pct. 104 subpunct. 5) în termen de 6 luni de la prezentarea soluției sau dacă OST în cauză nu reușesc să propună o soluție în termenul de 12 luni prevăzut la </w:t>
            </w:r>
            <w:r w:rsidRPr="00B92852">
              <w:rPr>
                <w:rFonts w:asciiTheme="majorBidi" w:hAnsiTheme="majorBidi" w:cstheme="majorBidi"/>
                <w:sz w:val="18"/>
                <w:szCs w:val="18"/>
                <w:highlight w:val="lightGray"/>
                <w:lang w:val="ro-RO"/>
              </w:rPr>
              <w:t>pct. 10</w:t>
            </w:r>
            <w:r w:rsidRPr="00B92852">
              <w:rPr>
                <w:rFonts w:asciiTheme="majorBidi" w:hAnsiTheme="majorBidi" w:cstheme="majorBidi"/>
                <w:sz w:val="18"/>
                <w:szCs w:val="18"/>
                <w:lang w:val="ro-RO"/>
              </w:rPr>
              <w:t>3, se implementează o trecere la fluxul fizic transfrontalier de gaze naturale neodorizat, conform unui calendar aprobat de Agenție și autoritățile naționale de reglementare competente pentru OST adiacenți, dar care nu depășește 4 ani. După o trecere completă, din punct de vedere tehnic, la gazelor naturale</w:t>
            </w:r>
            <w:r w:rsidRPr="00B91C10">
              <w:rPr>
                <w:rFonts w:asciiTheme="majorBidi" w:hAnsiTheme="majorBidi" w:cstheme="majorBidi"/>
                <w:sz w:val="18"/>
                <w:szCs w:val="18"/>
                <w:lang w:val="ro-RO"/>
              </w:rPr>
              <w:t xml:space="preserve"> neodorizat, OST acceptă niveluri tehnice inevitabile de reducere succesivă a cantităților reziduale de agenți odorizanți </w:t>
            </w:r>
            <w:r>
              <w:rPr>
                <w:rFonts w:asciiTheme="majorBidi" w:hAnsiTheme="majorBidi" w:cstheme="majorBidi"/>
                <w:sz w:val="18"/>
                <w:szCs w:val="18"/>
                <w:lang w:val="ro-RO"/>
              </w:rPr>
              <w:t xml:space="preserve">în fluxurile transfrontaliere. </w:t>
            </w:r>
          </w:p>
        </w:tc>
        <w:tc>
          <w:tcPr>
            <w:tcW w:w="1417" w:type="dxa"/>
          </w:tcPr>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b/>
                <w:color w:val="C00000"/>
                <w:sz w:val="18"/>
                <w:szCs w:val="18"/>
                <w:lang w:val="it-IT"/>
              </w:rPr>
            </w:pPr>
          </w:p>
        </w:tc>
        <w:tc>
          <w:tcPr>
            <w:tcW w:w="4253" w:type="dxa"/>
          </w:tcPr>
          <w:p w:rsidR="00F02F76" w:rsidRPr="0070321E" w:rsidRDefault="00F02F76" w:rsidP="00670674">
            <w:pPr>
              <w:jc w:val="center"/>
              <w:rPr>
                <w:rFonts w:asciiTheme="majorBidi" w:hAnsiTheme="majorBidi" w:cstheme="majorBidi"/>
                <w:sz w:val="18"/>
                <w:szCs w:val="18"/>
              </w:rPr>
            </w:pPr>
            <w:r w:rsidRPr="0070321E">
              <w:rPr>
                <w:rFonts w:asciiTheme="majorBidi" w:hAnsiTheme="majorBidi" w:cstheme="majorBidi"/>
                <w:sz w:val="18"/>
                <w:szCs w:val="18"/>
              </w:rPr>
              <w:lastRenderedPageBreak/>
              <w:t>Article 19</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Managing cross-border trade restrictions due to differences in odourisation practices.</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Where a restriction to cross-border trade due to differences in odourisation practices cannot be avoided by the concerned transmission system operators and is recognised by national authorities, the authorities may require the concerned transmission system operators to reach an agreement within six months, which may include swapping and flow commitments, to solve any restriction recognised. The concerned adjacent transmission system operators shall provide their respective national authorities with the agreement for approval.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Where no agreement can be reached between the concerned transmission system operators after the six-month period referred to in paragraph 1 or where the national authorities agree that the proposed agreement by the concerned adjacent transmission system operators is not sufficiently effective to remove the restriction, the concerned transmission system operators, in cooperation with national authorities, shall, within the following 12 months, define a detailed plan setting out the most cost effective method to remove a recognised restriction at the specific cross-border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For the purpose of fulfilling the obligations under paragraph 2, the concerned transmission system operators shall in sequence: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develop options to remove the restriction by identifying and assessing: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a conversion towards cross-border physical flow of non-odourised gas;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the potential physical flow of odourised gas into the non-odourised transmission network or part thereof and interconnected downstream systems;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(iii) an acceptable level of odourant for cross-border physical gas flow.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jointly carry out a cost-benefit analysis on the technically feasible options to define economically efficient solutions. That analysis shall: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take into account the level of safety;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include information on projected volumes of gas to be transported and details of costs of necessary infrastructure investments;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(iii) specify the breakdown of costs and benefits between the categories of affected parties;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(c) produce an estimate of the implementation time for each potential option;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conduct a public consultation and take into consideration the results of such consultation;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submit the feasible solutions including the cost recovery mechanism and implementation timing to the national authorities for approval. Once a solution is approved by the national authorities, that solution shall be implemented in accordance with the timeframe provided for in point (e).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If the national authorities do not approve any solution submitted under point (e) of paragraph 3 within six months from its submission or if the concerned transmission system operators fail to propose a solution within the 12 months’ framework of paragraph 2, a shift towards the cross-border physical flow of non-odourised gas shall be implemented within a time-frame approved by the national authorities, but not exceeding four years. After a full technical shift towards non-odourised gas, transmission system operators shall accept technically unavoidable levels of successively reducing residual amounts of odourants in cross-border flows.</w:t>
            </w:r>
          </w:p>
          <w:p w:rsidR="00F02F76" w:rsidRPr="00B91C10" w:rsidRDefault="00F02F76" w:rsidP="00670674">
            <w:pPr>
              <w:jc w:val="both"/>
              <w:rPr>
                <w:rFonts w:asciiTheme="majorBidi" w:hAnsiTheme="majorBidi" w:cstheme="majorBidi"/>
                <w:b/>
                <w:sz w:val="18"/>
                <w:szCs w:val="18"/>
              </w:rPr>
            </w:pP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V</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SCHIMBUL DE DATE</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20</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Dispoziții generale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sensul prezentului capitol, „contrapartide” înseamnă utilizatorii rețelei care sunt activi la: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23"/>
              <w:gridCol w:w="4606"/>
            </w:tblGrid>
            <w:tr w:rsidR="00F02F76" w:rsidRPr="00B91C10" w:rsidTr="00670674">
              <w:tc>
                <w:tcPr>
                  <w:tcW w:w="77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5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punctele de interconectare; sau</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3"/>
              <w:gridCol w:w="4826"/>
            </w:tblGrid>
            <w:tr w:rsidR="00F02F76" w:rsidRPr="00C27D66" w:rsidTr="00670674">
              <w:tc>
                <w:tcPr>
                  <w:tcW w:w="36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99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atât punctele de interconectare, cât și punctele de tranzacționare virtuale.</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(2)   Cerințele privind schimbul de date prevăzute la punctul 2.2 din anexa I la Regulamentul (CE) nr. 715/2009, în Regulamentul (UE) nr. 984/2013 al Comisiei, în Regulamentul (UE) nr. 312/2014 al Comisiei, în Regulamentul (UE) nr. 1227/2011 al Comisiei și în prezentul regulament între operatorii de sisteme de transport și de la operatorii de sisteme de transport către contrapartidele lor sunt îndeplinite prin soluțiile comune pentru schimbul de date stabilite la articolul 21</w:t>
            </w:r>
          </w:p>
        </w:tc>
        <w:tc>
          <w:tcPr>
            <w:tcW w:w="4820" w:type="dxa"/>
          </w:tcPr>
          <w:p w:rsidR="00F02F76" w:rsidRPr="00B91C10" w:rsidRDefault="00F02F76" w:rsidP="00670674">
            <w:pPr>
              <w:contextualSpacing/>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CAPITOLUL V</w:t>
            </w:r>
          </w:p>
          <w:p w:rsidR="00F02F76" w:rsidRPr="00B91C10" w:rsidRDefault="00F02F76" w:rsidP="00670674">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SCHIMBUL DE DATE</w:t>
            </w:r>
          </w:p>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1</w:t>
            </w:r>
          </w:p>
          <w:p w:rsidR="00F02F76" w:rsidRPr="00B91C10" w:rsidRDefault="00F02F76" w:rsidP="00670674">
            <w:pPr>
              <w:pStyle w:val="Normal1"/>
              <w:tabs>
                <w:tab w:val="left" w:pos="142"/>
                <w:tab w:val="left" w:pos="709"/>
                <w:tab w:val="left" w:pos="993"/>
                <w:tab w:val="left" w:pos="3544"/>
              </w:tabs>
              <w:spacing w:before="0" w:beforeAutospacing="0" w:after="0" w:afterAutospacing="0"/>
              <w:ind w:left="644"/>
              <w:jc w:val="both"/>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                                                    </w:t>
            </w:r>
          </w:p>
          <w:p w:rsidR="00F02F76" w:rsidRPr="00B91C10" w:rsidRDefault="00F02F76" w:rsidP="00670674">
            <w:pPr>
              <w:tabs>
                <w:tab w:val="left" w:pos="567"/>
                <w:tab w:val="left" w:pos="851"/>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6</w:t>
            </w:r>
            <w:r w:rsidRPr="00B91C10">
              <w:rPr>
                <w:rFonts w:asciiTheme="majorBidi" w:hAnsiTheme="majorBidi" w:cstheme="majorBidi"/>
                <w:sz w:val="18"/>
                <w:szCs w:val="18"/>
                <w:lang w:val="ro-RO"/>
              </w:rPr>
              <w:t xml:space="preserve">.În sensul prezentului capitol „contrapartide” reprezintă utilizatorii de sistem care sunt activi la: </w:t>
            </w:r>
          </w:p>
          <w:p w:rsidR="00F02F76" w:rsidRPr="00B91C10" w:rsidRDefault="00F02F76" w:rsidP="00670674">
            <w:pPr>
              <w:pStyle w:val="ListParagraph"/>
              <w:numPr>
                <w:ilvl w:val="0"/>
                <w:numId w:val="29"/>
              </w:numPr>
              <w:tabs>
                <w:tab w:val="left" w:pos="851"/>
                <w:tab w:val="left" w:pos="1134"/>
              </w:tabs>
              <w:suppressAutoHyphens w:val="0"/>
              <w:ind w:hanging="58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punctele de interconectare; sau </w:t>
            </w:r>
          </w:p>
          <w:p w:rsidR="00F02F76" w:rsidRPr="00B91C10" w:rsidRDefault="00F02F76" w:rsidP="00670674">
            <w:pPr>
              <w:pStyle w:val="ListParagraph"/>
              <w:numPr>
                <w:ilvl w:val="0"/>
                <w:numId w:val="29"/>
              </w:numPr>
              <w:tabs>
                <w:tab w:val="left" w:pos="851"/>
                <w:tab w:val="left" w:pos="1134"/>
              </w:tabs>
              <w:suppressAutoHyphens w:val="0"/>
              <w:ind w:hanging="58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atât punctele de interconectare, cât și punctele virtuale. </w:t>
            </w:r>
          </w:p>
          <w:p w:rsidR="00F02F76" w:rsidRPr="00B91C10" w:rsidRDefault="00F02F76" w:rsidP="00670674">
            <w:pPr>
              <w:tabs>
                <w:tab w:val="left" w:pos="851"/>
                <w:tab w:val="left" w:pos="1134"/>
              </w:tabs>
              <w:jc w:val="both"/>
              <w:rPr>
                <w:rFonts w:asciiTheme="majorBidi" w:hAnsiTheme="majorBidi" w:cstheme="majorBidi"/>
                <w:sz w:val="18"/>
                <w:szCs w:val="18"/>
                <w:lang w:val="ro-RO"/>
              </w:rPr>
            </w:pPr>
          </w:p>
          <w:p w:rsidR="00F02F76" w:rsidRPr="00105C1A" w:rsidRDefault="00F02F76" w:rsidP="00670674">
            <w:pPr>
              <w:tabs>
                <w:tab w:val="left" w:pos="567"/>
                <w:tab w:val="left" w:pos="851"/>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07</w:t>
            </w:r>
            <w:r w:rsidRPr="00B91C10">
              <w:rPr>
                <w:rFonts w:asciiTheme="majorBidi" w:hAnsiTheme="majorBidi" w:cstheme="majorBidi"/>
                <w:sz w:val="18"/>
                <w:szCs w:val="18"/>
                <w:lang w:val="ro-RO"/>
              </w:rPr>
              <w:t>.Cerințele privind schimbul de date prevăzute în Regulamentul privind accesul la rețelele de transport și gestionarea congestiilor</w:t>
            </w:r>
            <w:r w:rsidRPr="00B91C10">
              <w:rPr>
                <w:rFonts w:asciiTheme="majorBidi" w:hAnsiTheme="majorBidi" w:cstheme="majorBidi"/>
                <w:b/>
                <w:sz w:val="18"/>
                <w:szCs w:val="18"/>
                <w:lang w:val="ro-RO"/>
              </w:rPr>
              <w:t xml:space="preserve"> </w:t>
            </w:r>
            <w:r w:rsidRPr="00B91C10">
              <w:rPr>
                <w:rFonts w:asciiTheme="majorBidi" w:hAnsiTheme="majorBidi" w:cstheme="majorBidi"/>
                <w:sz w:val="18"/>
                <w:szCs w:val="18"/>
                <w:lang w:val="ro-RO"/>
              </w:rPr>
              <w:t xml:space="preserve">și în prezentul Cod al rețelelor de gaze naturale între OST și de la OST către contrapartidele lor sunt îndeplinite prin soluțiile comune pentru schimbul de date stabilite la </w:t>
            </w:r>
            <w:r w:rsidRPr="00B91C10">
              <w:rPr>
                <w:rFonts w:asciiTheme="majorBidi" w:hAnsiTheme="majorBidi" w:cstheme="majorBidi"/>
                <w:b/>
                <w:sz w:val="18"/>
                <w:szCs w:val="18"/>
                <w:highlight w:val="lightGray"/>
                <w:lang w:val="ro-RO"/>
              </w:rPr>
              <w:t>pct. 1</w:t>
            </w:r>
            <w:r>
              <w:rPr>
                <w:rFonts w:asciiTheme="majorBidi" w:hAnsiTheme="majorBidi" w:cstheme="majorBidi"/>
                <w:b/>
                <w:sz w:val="18"/>
                <w:szCs w:val="18"/>
                <w:highlight w:val="lightGray"/>
                <w:lang w:val="ro-RO"/>
              </w:rPr>
              <w:t>08</w:t>
            </w:r>
            <w:r w:rsidRPr="00B91C10">
              <w:rPr>
                <w:rFonts w:asciiTheme="majorBidi" w:hAnsiTheme="majorBidi" w:cstheme="majorBidi"/>
                <w:b/>
                <w:sz w:val="18"/>
                <w:szCs w:val="18"/>
                <w:highlight w:val="lightGray"/>
                <w:lang w:val="ro-RO"/>
              </w:rPr>
              <w:t>-1</w:t>
            </w:r>
            <w:r>
              <w:rPr>
                <w:rFonts w:asciiTheme="majorBidi" w:hAnsiTheme="majorBidi" w:cstheme="majorBidi"/>
                <w:b/>
                <w:sz w:val="18"/>
                <w:szCs w:val="18"/>
                <w:highlight w:val="lightGray"/>
                <w:lang w:val="ro-RO"/>
              </w:rPr>
              <w:t>09</w:t>
            </w:r>
            <w:r w:rsidRPr="00B91C10">
              <w:rPr>
                <w:rFonts w:asciiTheme="majorBidi" w:hAnsiTheme="majorBidi" w:cstheme="majorBidi"/>
                <w:b/>
                <w:sz w:val="18"/>
                <w:szCs w:val="18"/>
                <w:highlight w:val="lightGray"/>
                <w:lang w:val="ro-RO"/>
              </w:rPr>
              <w:t>.</w:t>
            </w:r>
            <w:r>
              <w:rPr>
                <w:rFonts w:asciiTheme="majorBidi" w:hAnsiTheme="majorBidi" w:cstheme="majorBidi"/>
                <w:sz w:val="18"/>
                <w:szCs w:val="18"/>
                <w:lang w:val="ro-RO"/>
              </w:rPr>
              <w:t xml:space="preserve"> </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center"/>
              <w:rPr>
                <w:rFonts w:asciiTheme="majorBidi" w:hAnsiTheme="majorBidi" w:cstheme="majorBidi"/>
                <w:b/>
                <w:bCs/>
                <w:sz w:val="18"/>
                <w:szCs w:val="18"/>
              </w:rPr>
            </w:pP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CHAPTER V DATA EXCHANGE</w:t>
            </w:r>
          </w:p>
          <w:p w:rsidR="00F02F76" w:rsidRPr="00B71DD9" w:rsidRDefault="00F02F76" w:rsidP="00670674">
            <w:pPr>
              <w:jc w:val="center"/>
              <w:rPr>
                <w:rFonts w:asciiTheme="majorBidi" w:hAnsiTheme="majorBidi" w:cstheme="majorBidi"/>
                <w:sz w:val="18"/>
                <w:szCs w:val="18"/>
              </w:rPr>
            </w:pPr>
            <w:r w:rsidRPr="00B71DD9">
              <w:rPr>
                <w:rFonts w:asciiTheme="majorBidi" w:hAnsiTheme="majorBidi" w:cstheme="majorBidi"/>
                <w:sz w:val="18"/>
                <w:szCs w:val="18"/>
              </w:rPr>
              <w:t>Article 20</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General provisions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For the purposes of this Chapter, ‘counterparties’ means network users active at: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interconnection points; 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both interconnection points and virtual trading points.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 The data exchange requirements foreseen by point 2.2 of Annex I to Regulation (EC) No 715/2009 and this Regulation between transmission system operators and from transmission system operators to their counterparties shall be fulfilled by common data exchange solu</w:t>
            </w:r>
          </w:p>
        </w:tc>
      </w:tr>
      <w:tr w:rsidR="00F02F76" w:rsidRPr="00B91C10" w:rsidTr="00670674">
        <w:trPr>
          <w:trHeight w:val="1240"/>
        </w:trPr>
        <w:tc>
          <w:tcPr>
            <w:tcW w:w="5245" w:type="dxa"/>
          </w:tcPr>
          <w:p w:rsidR="00F02F76" w:rsidRPr="00B91C10" w:rsidRDefault="00F02F76" w:rsidP="00B92852">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21</w:t>
            </w:r>
          </w:p>
          <w:p w:rsidR="00F02F76" w:rsidRPr="00B91C10" w:rsidRDefault="00F02F76" w:rsidP="00B92852">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Soluții comune pentru schimbul de date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funcție de cerințele privind schimbul de date prevăzute la articolul 20 alineatul (2), se pot implementa și utiliza unul sau mai multe dintre următoarele tipuri de schimb de date: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(a)   </w:t>
            </w:r>
            <w:r w:rsidRPr="00B91C10">
              <w:rPr>
                <w:rFonts w:asciiTheme="majorBidi" w:hAnsiTheme="majorBidi" w:cstheme="majorBidi"/>
                <w:b/>
                <w:bCs/>
                <w:sz w:val="18"/>
                <w:szCs w:val="18"/>
                <w:lang w:val="it-IT"/>
              </w:rPr>
              <w:t>schimb de date bazat pe documente</w:t>
            </w:r>
            <w:r w:rsidRPr="00B91C10">
              <w:rPr>
                <w:rFonts w:asciiTheme="majorBidi" w:hAnsiTheme="majorBidi" w:cstheme="majorBidi"/>
                <w:sz w:val="18"/>
                <w:szCs w:val="18"/>
                <w:lang w:val="it-IT"/>
              </w:rPr>
              <w:t>: datele sunt plasate într-un fișier, schimbul făcându-se automat între sistemele IT respective;</w:t>
            </w:r>
          </w:p>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(b)   </w:t>
            </w:r>
            <w:r w:rsidRPr="00B91C10">
              <w:rPr>
                <w:rFonts w:asciiTheme="majorBidi" w:hAnsiTheme="majorBidi" w:cstheme="majorBidi"/>
                <w:b/>
                <w:bCs/>
                <w:sz w:val="18"/>
                <w:szCs w:val="18"/>
              </w:rPr>
              <w:t>schimb de date integrat</w:t>
            </w:r>
            <w:r w:rsidRPr="00B91C10">
              <w:rPr>
                <w:rFonts w:asciiTheme="majorBidi" w:hAnsiTheme="majorBidi" w:cstheme="majorBidi"/>
                <w:sz w:val="18"/>
                <w:szCs w:val="18"/>
              </w:rPr>
              <w:t>: datele sunt schimbate între două aplicații, direct în cadrul sistemelor IT respective;</w:t>
            </w:r>
          </w:p>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(c)   </w:t>
            </w:r>
            <w:r w:rsidRPr="00B91C10">
              <w:rPr>
                <w:rFonts w:asciiTheme="majorBidi" w:hAnsiTheme="majorBidi" w:cstheme="majorBidi"/>
                <w:b/>
                <w:bCs/>
                <w:sz w:val="18"/>
                <w:szCs w:val="18"/>
              </w:rPr>
              <w:t>schimb de date interactiv</w:t>
            </w:r>
            <w:r w:rsidRPr="00B91C10">
              <w:rPr>
                <w:rFonts w:asciiTheme="majorBidi" w:hAnsiTheme="majorBidi" w:cstheme="majorBidi"/>
                <w:sz w:val="18"/>
                <w:szCs w:val="18"/>
              </w:rPr>
              <w:t>: datele sunt schimbate în mod interactiv printr-o aplicație online, prin intermediul unui browser.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rPr>
              <w:t xml:space="preserve">(2)   Soluțiile comune pentru schimbul de date includ protocolul, formatul datelor și rețeaua. </w:t>
            </w:r>
            <w:r w:rsidRPr="00B91C10">
              <w:rPr>
                <w:rFonts w:asciiTheme="majorBidi" w:hAnsiTheme="majorBidi" w:cstheme="majorBidi"/>
                <w:sz w:val="18"/>
                <w:szCs w:val="18"/>
                <w:lang w:val="it-IT"/>
              </w:rPr>
              <w:t>Pentru fiecare dintre tipurile de schimburi de date enumerate la alineatul (1) se utilizează următoarele soluții comune pentru schimbul de date: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B91C10"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schimbul de date bazat pe documente:</w:t>
                  </w:r>
                </w:p>
                <w:tbl>
                  <w:tblPr>
                    <w:tblW w:w="5000" w:type="pct"/>
                    <w:tblLayout w:type="fixed"/>
                    <w:tblCellMar>
                      <w:left w:w="0" w:type="dxa"/>
                      <w:right w:w="0" w:type="dxa"/>
                    </w:tblCellMar>
                    <w:tblLook w:val="04A0" w:firstRow="1" w:lastRow="0" w:firstColumn="1" w:lastColumn="0" w:noHBand="0" w:noVBand="1"/>
                  </w:tblPr>
                  <w:tblGrid>
                    <w:gridCol w:w="624"/>
                    <w:gridCol w:w="4364"/>
                  </w:tblGrid>
                  <w:tr w:rsidR="00F02F76" w:rsidRPr="00B91C10" w:rsidTr="00670674">
                    <w:tc>
                      <w:tcPr>
                        <w:tcW w:w="1149"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14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protocolul: AS4;</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B91C10"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formatul datelor: Edig@s-XML sau un format echivalent al datelor care să asigure un grad de interoperabilitate identic. </w:t>
                        </w:r>
                        <w:r w:rsidRPr="00B91C10">
                          <w:rPr>
                            <w:rFonts w:asciiTheme="majorBidi" w:hAnsiTheme="majorBidi" w:cstheme="majorBidi"/>
                            <w:sz w:val="18"/>
                            <w:szCs w:val="18"/>
                          </w:rPr>
                          <w:t>ENTSOG publică acest format echivalent al datelor;</w:t>
                        </w:r>
                      </w:p>
                    </w:tc>
                  </w:tr>
                </w:tbl>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B91C10"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pentru schimbul de date integrat:</w:t>
                  </w:r>
                </w:p>
                <w:tbl>
                  <w:tblPr>
                    <w:tblW w:w="5000" w:type="pct"/>
                    <w:tblLayout w:type="fixed"/>
                    <w:tblCellMar>
                      <w:left w:w="0" w:type="dxa"/>
                      <w:right w:w="0" w:type="dxa"/>
                    </w:tblCellMar>
                    <w:tblLook w:val="04A0" w:firstRow="1" w:lastRow="0" w:firstColumn="1" w:lastColumn="0" w:noHBand="0" w:noVBand="1"/>
                  </w:tblPr>
                  <w:tblGrid>
                    <w:gridCol w:w="397"/>
                    <w:gridCol w:w="4590"/>
                  </w:tblGrid>
                  <w:tr w:rsidR="00F02F76" w:rsidRPr="00B91C10" w:rsidTr="00670674">
                    <w:tc>
                      <w:tcPr>
                        <w:tcW w:w="72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56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protocolul: HTTP/S-SOAP;</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F02F76" w:rsidRPr="00B91C10"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3"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formatul datelor: Edig@s-XML sau un format echivalent al datelor care să asigure un grad de interoperabilitate identic. </w:t>
                        </w:r>
                        <w:r w:rsidRPr="00B91C10">
                          <w:rPr>
                            <w:rFonts w:asciiTheme="majorBidi" w:hAnsiTheme="majorBidi" w:cstheme="majorBidi"/>
                            <w:sz w:val="18"/>
                            <w:szCs w:val="18"/>
                          </w:rPr>
                          <w:t>ENTSOG publică acest format echivalent al datelor;</w:t>
                        </w:r>
                      </w:p>
                    </w:tc>
                  </w:tr>
                </w:tbl>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2"/>
              <w:gridCol w:w="4797"/>
            </w:tblGrid>
            <w:tr w:rsidR="00F02F76" w:rsidRPr="00C27D66" w:rsidTr="00670674">
              <w:tc>
                <w:tcPr>
                  <w:tcW w:w="41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w:t>
                  </w:r>
                </w:p>
              </w:tc>
              <w:tc>
                <w:tcPr>
                  <w:tcW w:w="8939"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schimbul de date interactiv, protocolul este HTTP/S.</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toate tipurile de schimburi de date prevăzute la literele (a)-(c), rețeaua este internetul.</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În cazul în care se identifică o potențială necesitate de modificare a soluției comune pentru schimbul de date, ENTSOG, din proprie inițiativă sau la cererea ACER, ar trebui să evalueze soluțiile tehnice relevante și să prezinte o analiză cost-beneficiu a modificării (modificărilor) potențiale care ar fi necesare, inclusiv o analiză a motivelor care fac necesară urmarea evoluției tehnologice. ENTSOG realizează o consultare publică, cu implicarea tuturor părților interesate, incluzând prezentarea rezultatului evaluării și a propunerii (propunerilor) bazate pe analiza cost-beneficiu efectuată.</w:t>
            </w:r>
          </w:p>
          <w:p w:rsidR="00F02F76" w:rsidRPr="00CA0CFD" w:rsidRDefault="00F02F76" w:rsidP="00670674">
            <w:pPr>
              <w:shd w:val="clear" w:color="auto" w:fill="FFFFFF"/>
              <w:jc w:val="both"/>
              <w:rPr>
                <w:rFonts w:asciiTheme="majorBidi" w:hAnsiTheme="majorBidi" w:cstheme="majorBidi"/>
                <w:color w:val="C00000"/>
                <w:sz w:val="18"/>
                <w:szCs w:val="18"/>
                <w:lang w:val="it-IT"/>
              </w:rPr>
            </w:pPr>
            <w:r w:rsidRPr="00CA0CFD">
              <w:rPr>
                <w:rFonts w:asciiTheme="majorBidi" w:hAnsiTheme="majorBidi" w:cstheme="majorBidi"/>
                <w:sz w:val="18"/>
                <w:szCs w:val="18"/>
                <w:lang w:val="it-IT"/>
              </w:rPr>
              <w:t>În cazul în care se consideră necesară modificarea soluțiilor comune pentru schimbul de date, ENTSOG înaintează o propunere către ACER, în conformitate cu procedura stabilită la articolul 7 din</w:t>
            </w:r>
            <w:r w:rsidR="00CA0CFD" w:rsidRPr="00CA0CFD">
              <w:rPr>
                <w:rFonts w:asciiTheme="majorBidi" w:hAnsiTheme="majorBidi" w:cstheme="majorBidi"/>
                <w:sz w:val="18"/>
                <w:szCs w:val="18"/>
                <w:lang w:val="it-IT"/>
              </w:rPr>
              <w:t xml:space="preserve"> Regulamentul (CE) nr. 715/2009</w:t>
            </w:r>
          </w:p>
        </w:tc>
        <w:tc>
          <w:tcPr>
            <w:tcW w:w="4820" w:type="dxa"/>
          </w:tcPr>
          <w:p w:rsidR="00F02F76" w:rsidRPr="00B91C10" w:rsidRDefault="00F02F76" w:rsidP="00B92852">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Secțiunea </w:t>
            </w:r>
            <w:r>
              <w:rPr>
                <w:rFonts w:asciiTheme="majorBidi" w:hAnsiTheme="majorBidi" w:cstheme="majorBidi"/>
                <w:b/>
                <w:bCs/>
                <w:sz w:val="18"/>
                <w:szCs w:val="18"/>
                <w:lang w:val="ro-RO"/>
              </w:rPr>
              <w:t>1</w:t>
            </w:r>
          </w:p>
          <w:p w:rsidR="00F02F76" w:rsidRPr="00B91C10" w:rsidRDefault="00F02F76" w:rsidP="00B92852">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Soluții comune pentru schimbul de date</w:t>
            </w:r>
          </w:p>
          <w:p w:rsidR="00F02F76" w:rsidRPr="00B91C10" w:rsidRDefault="00F02F76" w:rsidP="00670674">
            <w:pPr>
              <w:tabs>
                <w:tab w:val="left" w:pos="567"/>
                <w:tab w:val="left" w:pos="851"/>
                <w:tab w:val="left" w:pos="1134"/>
              </w:tabs>
              <w:jc w:val="both"/>
              <w:outlineLvl w:val="0"/>
              <w:rPr>
                <w:rFonts w:asciiTheme="majorBidi" w:hAnsiTheme="majorBidi" w:cstheme="majorBidi"/>
                <w:sz w:val="18"/>
                <w:szCs w:val="18"/>
                <w:lang w:val="ro-RO"/>
              </w:rPr>
            </w:pPr>
            <w:r w:rsidRPr="00560E26">
              <w:rPr>
                <w:rFonts w:asciiTheme="majorBidi" w:hAnsiTheme="majorBidi" w:cstheme="majorBidi"/>
                <w:sz w:val="18"/>
                <w:szCs w:val="18"/>
                <w:lang w:val="ro-RO"/>
              </w:rPr>
              <w:t xml:space="preserve">108.În funcție de cerințele privind schimbul de date prevăzute la </w:t>
            </w:r>
            <w:r w:rsidRPr="00560E26">
              <w:rPr>
                <w:rFonts w:asciiTheme="majorBidi" w:hAnsiTheme="majorBidi" w:cstheme="majorBidi"/>
                <w:b/>
                <w:sz w:val="18"/>
                <w:szCs w:val="18"/>
                <w:lang w:val="ro-RO"/>
              </w:rPr>
              <w:t>pct. 107</w:t>
            </w:r>
            <w:r w:rsidRPr="00560E26">
              <w:rPr>
                <w:rFonts w:asciiTheme="majorBidi" w:hAnsiTheme="majorBidi" w:cstheme="majorBidi"/>
                <w:sz w:val="18"/>
                <w:szCs w:val="18"/>
                <w:lang w:val="ro-RO"/>
              </w:rPr>
              <w:t>, se</w:t>
            </w:r>
            <w:r w:rsidRPr="00B91C10">
              <w:rPr>
                <w:rFonts w:asciiTheme="majorBidi" w:hAnsiTheme="majorBidi" w:cstheme="majorBidi"/>
                <w:sz w:val="18"/>
                <w:szCs w:val="18"/>
                <w:lang w:val="ro-RO"/>
              </w:rPr>
              <w:t xml:space="preserve"> pot implementa și utiliza unul sau mai multe dintre următoarele tipuri de schimb de date: </w:t>
            </w:r>
          </w:p>
          <w:p w:rsidR="00F02F76" w:rsidRPr="00B91C10" w:rsidRDefault="00F02F76" w:rsidP="00670674">
            <w:pPr>
              <w:tabs>
                <w:tab w:val="left" w:pos="567"/>
                <w:tab w:val="left" w:pos="851"/>
                <w:tab w:val="left" w:pos="1134"/>
              </w:tabs>
              <w:jc w:val="both"/>
              <w:outlineLvl w:val="0"/>
              <w:rPr>
                <w:rFonts w:asciiTheme="majorBidi" w:hAnsiTheme="majorBidi" w:cstheme="majorBidi"/>
                <w:sz w:val="18"/>
                <w:szCs w:val="18"/>
                <w:lang w:val="ro-RO"/>
              </w:rPr>
            </w:pPr>
          </w:p>
          <w:p w:rsidR="00F02F76" w:rsidRPr="00B91C10" w:rsidRDefault="00F02F76" w:rsidP="00670674">
            <w:pPr>
              <w:pStyle w:val="ListParagraph"/>
              <w:numPr>
                <w:ilvl w:val="0"/>
                <w:numId w:val="30"/>
              </w:numPr>
              <w:tabs>
                <w:tab w:val="left" w:pos="318"/>
                <w:tab w:val="left" w:pos="1134"/>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schimb de date bazat pe documente: datele sunt plasate într-un fișier, schimbul făcându-se automat între sistemele IT respective; </w:t>
            </w:r>
          </w:p>
          <w:p w:rsidR="00F02F76" w:rsidRPr="00B91C10" w:rsidRDefault="00F02F76" w:rsidP="00670674">
            <w:pPr>
              <w:pStyle w:val="ListParagraph"/>
              <w:numPr>
                <w:ilvl w:val="0"/>
                <w:numId w:val="30"/>
              </w:numPr>
              <w:tabs>
                <w:tab w:val="left" w:pos="318"/>
                <w:tab w:val="left" w:pos="1134"/>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schimb de date integrat: datele sunt schimbate între două aplicații, direct în cadrul sistemelor IT respective; </w:t>
            </w:r>
          </w:p>
          <w:p w:rsidR="00F02F76" w:rsidRPr="00B91C10" w:rsidRDefault="00F02F76" w:rsidP="00670674">
            <w:pPr>
              <w:pStyle w:val="ListParagraph"/>
              <w:numPr>
                <w:ilvl w:val="0"/>
                <w:numId w:val="30"/>
              </w:numPr>
              <w:tabs>
                <w:tab w:val="left" w:pos="318"/>
                <w:tab w:val="left" w:pos="1134"/>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schimb de date interactiv: datele sunt schimbate în mod interactiv printr-o aplicație online, prin intermediul unui browser. </w:t>
            </w:r>
          </w:p>
          <w:p w:rsidR="00F02F76" w:rsidRPr="00F12C4B" w:rsidRDefault="00F02F76" w:rsidP="00670674">
            <w:pPr>
              <w:tabs>
                <w:tab w:val="left" w:pos="318"/>
                <w:tab w:val="left" w:pos="567"/>
                <w:tab w:val="left" w:pos="851"/>
                <w:tab w:val="left" w:pos="1134"/>
              </w:tabs>
              <w:ind w:firstLine="34"/>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1092.Soluțiile comune pentru schimbul de date includ protocolul, formatul datelor și rețeaua. Pentru fiecare dintre tipurile de schimburi de date enumerate la </w:t>
            </w:r>
            <w:r w:rsidRPr="00F12C4B">
              <w:rPr>
                <w:rFonts w:asciiTheme="majorBidi" w:hAnsiTheme="majorBidi" w:cstheme="majorBidi"/>
                <w:b/>
                <w:sz w:val="18"/>
                <w:szCs w:val="18"/>
                <w:lang w:val="ro-RO"/>
              </w:rPr>
              <w:t>pct. 108</w:t>
            </w:r>
            <w:r w:rsidRPr="00F12C4B">
              <w:rPr>
                <w:rFonts w:asciiTheme="majorBidi" w:hAnsiTheme="majorBidi" w:cstheme="majorBidi"/>
                <w:sz w:val="18"/>
                <w:szCs w:val="18"/>
                <w:lang w:val="ro-RO"/>
              </w:rPr>
              <w:t xml:space="preserve"> se utilizează următoarele soluții comune pentru schimbul de date: </w:t>
            </w:r>
          </w:p>
          <w:p w:rsidR="00F02F76" w:rsidRPr="00F12C4B" w:rsidRDefault="00F02F76" w:rsidP="00670674">
            <w:pPr>
              <w:pStyle w:val="ListParagraph"/>
              <w:numPr>
                <w:ilvl w:val="0"/>
                <w:numId w:val="31"/>
              </w:numPr>
              <w:tabs>
                <w:tab w:val="left" w:pos="318"/>
                <w:tab w:val="left" w:pos="1276"/>
                <w:tab w:val="left" w:pos="1418"/>
              </w:tabs>
              <w:suppressAutoHyphens w:val="0"/>
              <w:ind w:hanging="679"/>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pentru schimbul de date bazat pe documente: </w:t>
            </w:r>
          </w:p>
          <w:p w:rsidR="00F02F76" w:rsidRPr="00F12C4B" w:rsidRDefault="00F02F76" w:rsidP="00670674">
            <w:pPr>
              <w:numPr>
                <w:ilvl w:val="0"/>
                <w:numId w:val="32"/>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protocolul: AS4; </w:t>
            </w:r>
          </w:p>
          <w:p w:rsidR="00F02F76" w:rsidRPr="00F12C4B" w:rsidRDefault="00F02F76" w:rsidP="00670674">
            <w:pPr>
              <w:numPr>
                <w:ilvl w:val="0"/>
                <w:numId w:val="32"/>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formatul datelor: Edig@s-XML sau un format echivalent al datelor care să asigure un grad de interoperabilitate identic publicat de ENTSOG </w:t>
            </w:r>
          </w:p>
          <w:p w:rsidR="00F02F76" w:rsidRPr="00B91C10" w:rsidRDefault="00F02F76" w:rsidP="00670674">
            <w:pPr>
              <w:pStyle w:val="ListParagraph"/>
              <w:numPr>
                <w:ilvl w:val="0"/>
                <w:numId w:val="31"/>
              </w:numPr>
              <w:tabs>
                <w:tab w:val="left" w:pos="318"/>
                <w:tab w:val="left" w:pos="1276"/>
                <w:tab w:val="left" w:pos="1418"/>
              </w:tabs>
              <w:suppressAutoHyphens w:val="0"/>
              <w:ind w:hanging="67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pentru schimbul de date integrat: </w:t>
            </w:r>
          </w:p>
          <w:p w:rsidR="00F02F76" w:rsidRPr="00B91C10" w:rsidRDefault="00F02F76" w:rsidP="00670674">
            <w:pPr>
              <w:numPr>
                <w:ilvl w:val="0"/>
                <w:numId w:val="33"/>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protocolul: HTTP/S-SOAP; </w:t>
            </w:r>
          </w:p>
          <w:p w:rsidR="00F02F76" w:rsidRPr="00B91C10" w:rsidRDefault="00F02F76" w:rsidP="00670674">
            <w:pPr>
              <w:numPr>
                <w:ilvl w:val="0"/>
                <w:numId w:val="33"/>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formatul datelor: Edig@s-XML sau un format echivalent al datelor care să asigure un grad de interoperabilitate identic publicat de ENTSOG </w:t>
            </w:r>
          </w:p>
          <w:p w:rsidR="00F02F76" w:rsidRPr="00B91C10" w:rsidRDefault="00F02F76" w:rsidP="00670674">
            <w:pPr>
              <w:pStyle w:val="ListParagraph"/>
              <w:numPr>
                <w:ilvl w:val="0"/>
                <w:numId w:val="31"/>
              </w:numPr>
              <w:tabs>
                <w:tab w:val="left" w:pos="318"/>
                <w:tab w:val="left" w:pos="1276"/>
                <w:tab w:val="left" w:pos="1418"/>
              </w:tabs>
              <w:suppressAutoHyphens w:val="0"/>
              <w:ind w:hanging="67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pentru schimbul de date interactiv, protocolul este HTTP/S. </w:t>
            </w:r>
          </w:p>
          <w:p w:rsidR="00F02F76" w:rsidRPr="00B91C10" w:rsidRDefault="00F02F76" w:rsidP="00670674">
            <w:pPr>
              <w:tabs>
                <w:tab w:val="left" w:pos="34"/>
                <w:tab w:val="left" w:pos="318"/>
              </w:tabs>
              <w:ind w:hanging="679"/>
              <w:contextualSpacing/>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Pentru toate tipurile de schimburi de date prevăzute la </w:t>
            </w:r>
            <w:r w:rsidRPr="00B91C10">
              <w:rPr>
                <w:rFonts w:asciiTheme="majorBidi" w:hAnsiTheme="majorBidi" w:cstheme="majorBidi"/>
                <w:b/>
                <w:sz w:val="18"/>
                <w:szCs w:val="18"/>
                <w:lang w:val="ro-RO"/>
              </w:rPr>
              <w:t>subpunctele 1)-3),</w:t>
            </w:r>
            <w:r w:rsidRPr="00B91C10">
              <w:rPr>
                <w:rFonts w:asciiTheme="majorBidi" w:hAnsiTheme="majorBidi" w:cstheme="majorBidi"/>
                <w:sz w:val="18"/>
                <w:szCs w:val="18"/>
                <w:lang w:val="ro-RO"/>
              </w:rPr>
              <w:t xml:space="preserve"> rețeaua este internetul. </w:t>
            </w:r>
          </w:p>
          <w:p w:rsidR="00F02F76" w:rsidRPr="0005797C"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r w:rsidRPr="00B0101D">
              <w:rPr>
                <w:rFonts w:asciiTheme="majorBidi" w:hAnsiTheme="majorBidi" w:cstheme="majorBidi"/>
                <w:sz w:val="18"/>
                <w:szCs w:val="18"/>
                <w:lang w:val="it-IT"/>
              </w:rPr>
              <w:t>Compatibil</w:t>
            </w: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r w:rsidRPr="00B0101D">
              <w:rPr>
                <w:rFonts w:asciiTheme="majorBidi" w:hAnsiTheme="majorBidi" w:cstheme="majorBidi"/>
                <w:sz w:val="18"/>
                <w:szCs w:val="18"/>
                <w:lang w:val="it-IT"/>
              </w:rPr>
              <w:t>Compatibil</w:t>
            </w: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r w:rsidRPr="00B0101D">
              <w:rPr>
                <w:rFonts w:asciiTheme="majorBidi" w:hAnsiTheme="majorBidi" w:cstheme="majorBidi"/>
                <w:sz w:val="18"/>
                <w:szCs w:val="18"/>
                <w:lang w:val="it-IT"/>
              </w:rPr>
              <w:t>Prevederi  UE neaplicabile</w:t>
            </w: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b/>
                <w:sz w:val="18"/>
                <w:szCs w:val="18"/>
                <w:lang w:val="it-IT"/>
              </w:rPr>
            </w:pPr>
          </w:p>
        </w:tc>
        <w:tc>
          <w:tcPr>
            <w:tcW w:w="4253" w:type="dxa"/>
          </w:tcPr>
          <w:p w:rsidR="00F02F76" w:rsidRPr="00B71DD9" w:rsidRDefault="00F02F76" w:rsidP="00B92852">
            <w:pPr>
              <w:jc w:val="center"/>
              <w:rPr>
                <w:rFonts w:asciiTheme="majorBidi" w:hAnsiTheme="majorBidi" w:cstheme="majorBidi"/>
                <w:sz w:val="18"/>
                <w:szCs w:val="18"/>
              </w:rPr>
            </w:pPr>
            <w:r w:rsidRPr="00B71DD9">
              <w:rPr>
                <w:rFonts w:asciiTheme="majorBidi" w:hAnsiTheme="majorBidi" w:cstheme="majorBidi"/>
                <w:sz w:val="18"/>
                <w:szCs w:val="18"/>
              </w:rPr>
              <w:t>Article 21</w:t>
            </w:r>
          </w:p>
          <w:p w:rsidR="00F02F76" w:rsidRPr="00B91C10" w:rsidRDefault="00F02F76" w:rsidP="00B92852">
            <w:pPr>
              <w:jc w:val="center"/>
              <w:rPr>
                <w:rFonts w:asciiTheme="majorBidi" w:hAnsiTheme="majorBidi" w:cstheme="majorBidi"/>
                <w:b/>
                <w:bCs/>
                <w:sz w:val="18"/>
                <w:szCs w:val="18"/>
              </w:rPr>
            </w:pPr>
            <w:r w:rsidRPr="00B91C10">
              <w:rPr>
                <w:rFonts w:asciiTheme="majorBidi" w:hAnsiTheme="majorBidi" w:cstheme="majorBidi"/>
                <w:b/>
                <w:bCs/>
                <w:sz w:val="18"/>
                <w:szCs w:val="18"/>
              </w:rPr>
              <w:t>Common data exchange solutions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Depending on the data exchange requirements under Article 20(2), one or more of the following types of data exchange may be implemented and used: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document-based data exchange: the data is wrapped into a file and automatically exchanged between the respective IT systems;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integrated data exchange: the data is exchanged between two applications directly on the respective IT systems;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interactive data exchange: the data is exchanged interactively through a web application via a browser.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common data exchange solutions shall comprise the protocol, the data format and the net-work. The following common data exchange solutions shall be used for each of the types of data exchange listed in paragraph 1: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For the document-based data exchange: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protocol: AS4;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 data format: Edig@s-XML, or an equivalent data format ensuring identical degree of interoperability, as published by Entsog.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For the integrated data exchange: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 protocol: HTTP/S-SOAP;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 data format: Edig@s-XML, or an equivalent data format ensuring identical degree of interoperability, as published by Entsog.</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 For the interactive data exchange, the protocol shall be HTTP/S. For all data exchange types set out in points (a) to (c), the network shall be internet.</w:t>
            </w:r>
          </w:p>
        </w:tc>
      </w:tr>
      <w:tr w:rsidR="00F02F76" w:rsidRPr="00B91C10" w:rsidTr="00C302B1">
        <w:trPr>
          <w:trHeight w:val="409"/>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22</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Disponibilitatea și securitatea sistemului de schimb de date</w:t>
            </w:r>
          </w:p>
          <w:p w:rsidR="00F02F76" w:rsidRDefault="00F02F76" w:rsidP="00670674">
            <w:pPr>
              <w:shd w:val="clear" w:color="auto" w:fill="FFFFFF"/>
              <w:jc w:val="both"/>
              <w:rPr>
                <w:rFonts w:asciiTheme="majorBidi" w:hAnsiTheme="majorBidi" w:cstheme="majorBidi"/>
                <w:sz w:val="18"/>
                <w:szCs w:val="18"/>
                <w:lang w:val="it-IT"/>
              </w:rPr>
            </w:pPr>
          </w:p>
          <w:p w:rsidR="00F02F76" w:rsidRPr="001E0DA9"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(1)   Fiecare operator de sistem de transport și fiecare contrapartidă este responsabil(ă) să se asigure că se iau măsurile de securitate adecvate. </w:t>
            </w:r>
            <w:r w:rsidRPr="001E0DA9">
              <w:rPr>
                <w:rFonts w:asciiTheme="majorBidi" w:hAnsiTheme="majorBidi" w:cstheme="majorBidi"/>
                <w:sz w:val="18"/>
                <w:szCs w:val="18"/>
                <w:lang w:val="it-IT"/>
              </w:rPr>
              <w:t>În special, aceștia: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1E0DA9" w:rsidRDefault="00F02F76" w:rsidP="00670674">
                  <w:pPr>
                    <w:jc w:val="both"/>
                    <w:rPr>
                      <w:rFonts w:asciiTheme="majorBidi" w:hAnsiTheme="majorBidi" w:cstheme="majorBidi"/>
                      <w:sz w:val="18"/>
                      <w:szCs w:val="18"/>
                      <w:lang w:val="it-IT"/>
                    </w:rPr>
                  </w:pPr>
                  <w:r w:rsidRPr="001E0DA9">
                    <w:rPr>
                      <w:rFonts w:asciiTheme="majorBidi" w:hAnsiTheme="majorBidi" w:cstheme="majorBidi"/>
                      <w:sz w:val="18"/>
                      <w:szCs w:val="18"/>
                      <w:lang w:val="it-IT"/>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asigură securitatea lanțului de comunicare pentru a oferi comunicații securizate și fiabile, inclusiv protecția confidențialității prin criptare, integritatea și autenticitatea prin semnătura expeditorului și nerepudierea printr-o confirmare semnată;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4"/>
              <w:gridCol w:w="4885"/>
            </w:tblGrid>
            <w:tr w:rsidR="00F02F76" w:rsidRPr="00C27D66" w:rsidTr="00670674">
              <w:tc>
                <w:tcPr>
                  <w:tcW w:w="25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0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implementează măsuri de securitate adecvate pentru a preveni accesul neautorizat la infrastructura lor IT;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notifică fără întârziere celorlalte părți cu care comunică orice acces neautorizat care are sau ar fi putut avea loc în propriul sistem.</w:t>
                  </w:r>
                </w:p>
              </w:tc>
            </w:tr>
          </w:tbl>
          <w:p w:rsidR="00F02F76" w:rsidRPr="00380C00" w:rsidRDefault="00F02F76" w:rsidP="00670674">
            <w:pPr>
              <w:shd w:val="clear" w:color="auto" w:fill="FFFFFF"/>
              <w:jc w:val="both"/>
              <w:rPr>
                <w:rFonts w:asciiTheme="majorBidi" w:hAnsiTheme="majorBidi" w:cstheme="majorBidi"/>
                <w:sz w:val="18"/>
                <w:szCs w:val="18"/>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Fiecare operator de sistem de transport este responsabil pentru asigurarea disponibilității propriului sistem și: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ia măsuri adecvate pentru a împiedica ca un singur punct de defectare să provoace indisponibilitatea sistemului de schimb de date, inclusiv până la conexiunea (conexiunile) de rețea cu furnizorul (furnizorii) de servicii de internet;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868"/>
            </w:tblGrid>
            <w:tr w:rsidR="00F02F76" w:rsidRPr="00C27D66" w:rsidTr="00670674">
              <w:tc>
                <w:tcPr>
                  <w:tcW w:w="28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71"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obține servicii și asistență adecvate de la furnizorul său (furnizorii săi) de servicii de internet;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menține perioadele de indisponibilitate, ca urmare a întreținerii IT planificate, la un nivel minim și își informează în timp util contrapartidele, înainte de indisponibilitatea planificată.</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 xml:space="preserve">Secțiunea </w:t>
            </w:r>
            <w:r>
              <w:rPr>
                <w:rFonts w:asciiTheme="majorBidi" w:hAnsiTheme="majorBidi" w:cstheme="majorBidi"/>
                <w:b/>
                <w:bCs/>
                <w:sz w:val="18"/>
                <w:szCs w:val="18"/>
                <w:lang w:val="ro-RO"/>
              </w:rPr>
              <w:t>2</w:t>
            </w:r>
          </w:p>
          <w:p w:rsidR="00F02F76" w:rsidRPr="00B91C10" w:rsidRDefault="00F02F76" w:rsidP="00670674">
            <w:pPr>
              <w:contextualSpacing/>
              <w:jc w:val="both"/>
              <w:rPr>
                <w:rFonts w:asciiTheme="majorBidi" w:hAnsiTheme="majorBidi" w:cstheme="majorBidi"/>
                <w:b/>
                <w:bCs/>
                <w:sz w:val="18"/>
                <w:szCs w:val="18"/>
                <w:lang w:val="ro-RO"/>
              </w:rPr>
            </w:pPr>
            <w:r w:rsidRPr="00B91C10">
              <w:rPr>
                <w:rFonts w:asciiTheme="majorBidi" w:hAnsiTheme="majorBidi" w:cstheme="majorBidi"/>
                <w:b/>
                <w:bCs/>
                <w:sz w:val="18"/>
                <w:szCs w:val="18"/>
                <w:lang w:val="ro-RO"/>
              </w:rPr>
              <w:t>Disponibilitatea și securitatea sistemului de schimb de date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.Fiecare OST și fiecare contrapartidă este responsabilă să se asigure că se iau măsurile de securitate adecvate. În special, aceștia: </w:t>
            </w:r>
          </w:p>
          <w:p w:rsidR="00F02F76" w:rsidRPr="00B91C10" w:rsidRDefault="00F02F76" w:rsidP="00670674">
            <w:pPr>
              <w:pStyle w:val="ListParagraph"/>
              <w:numPr>
                <w:ilvl w:val="0"/>
                <w:numId w:val="3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asigură securitatea lanțului de comunicare pentru a oferi comunicații securizate și fiabile, inclusiv protecția confidențialității prin criptare, integritatea și autenticitatea prin semnătura expeditorului și nerepudierea printr-o confirmare semnată; </w:t>
            </w:r>
          </w:p>
          <w:p w:rsidR="00F02F76" w:rsidRPr="00B91C10" w:rsidRDefault="00F02F76" w:rsidP="00670674">
            <w:pPr>
              <w:pStyle w:val="ListParagraph"/>
              <w:numPr>
                <w:ilvl w:val="0"/>
                <w:numId w:val="3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implementează măsuri de securitate adecvate pentru a preveni accesul neautorizat la infrastructura lor IT; </w:t>
            </w:r>
          </w:p>
          <w:p w:rsidR="00F02F76" w:rsidRPr="00B91C10" w:rsidRDefault="00F02F76" w:rsidP="00670674">
            <w:pPr>
              <w:pStyle w:val="ListParagraph"/>
              <w:numPr>
                <w:ilvl w:val="0"/>
                <w:numId w:val="3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notifică fără întârziere celorlalte părți cu care comunică orice acces neautorizat care are sau ar fi putut avea loc în propriul sistem.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.Fiecare OST este responsabil pentru asigurarea disponibilității propriului sistem și: </w:t>
            </w:r>
          </w:p>
          <w:p w:rsidR="00F02F76" w:rsidRPr="00B91C10" w:rsidRDefault="00F02F76" w:rsidP="00670674">
            <w:pPr>
              <w:pStyle w:val="ListParagraph"/>
              <w:numPr>
                <w:ilvl w:val="1"/>
                <w:numId w:val="34"/>
              </w:numPr>
              <w:tabs>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ia măsuri adecvate pentru a împiedica ca un singur punct de defectare să provoace indisponibilitatea sistemului de schimb de date, inclusiv până la conexiunea conexiunile) de rețea cu furnizorii de servicii de internet; </w:t>
            </w:r>
          </w:p>
          <w:p w:rsidR="00F02F76" w:rsidRPr="00B91C10" w:rsidRDefault="00F02F76" w:rsidP="00670674">
            <w:pPr>
              <w:pStyle w:val="ListParagraph"/>
              <w:numPr>
                <w:ilvl w:val="1"/>
                <w:numId w:val="34"/>
              </w:numPr>
              <w:tabs>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obține servicii și asistență adecvate de la furnizorul său furnizorii săi de servicii de internet; </w:t>
            </w:r>
          </w:p>
          <w:p w:rsidR="00F02F76" w:rsidRPr="00B91C10" w:rsidRDefault="00F02F76" w:rsidP="00670674">
            <w:pPr>
              <w:pStyle w:val="ListParagraph"/>
              <w:numPr>
                <w:ilvl w:val="1"/>
                <w:numId w:val="34"/>
              </w:numPr>
              <w:tabs>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menține perioadele de indisponibilitate, ca urmare a întreținerii IT planificate, la un nivel minim și își informează în timp util contrapartidele, înainte de indisponibilitatea planificată. </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tc>
        <w:tc>
          <w:tcPr>
            <w:tcW w:w="4253" w:type="dxa"/>
          </w:tcPr>
          <w:p w:rsidR="00F02F76" w:rsidRPr="00481465" w:rsidRDefault="00F02F76" w:rsidP="00670674">
            <w:pPr>
              <w:jc w:val="both"/>
              <w:rPr>
                <w:rFonts w:asciiTheme="majorBidi" w:hAnsiTheme="majorBidi" w:cstheme="majorBidi"/>
                <w:sz w:val="18"/>
                <w:szCs w:val="18"/>
              </w:rPr>
            </w:pPr>
            <w:r w:rsidRPr="00481465">
              <w:rPr>
                <w:rFonts w:asciiTheme="majorBidi" w:hAnsiTheme="majorBidi" w:cstheme="majorBidi"/>
                <w:sz w:val="18"/>
                <w:szCs w:val="18"/>
              </w:rPr>
              <w:lastRenderedPageBreak/>
              <w:t>Article 22</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 Data exchange system security and availability</w:t>
            </w: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Each transmission system operator and each counterparty shall be responsible for ensuring that the appropriate security measures are undertaken. In particular, they shall:</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secure the communication chain in order to provide secured and reliable communications, including the protection of the confidentiality by encryption, integrity and the authenticity by signature of the sender and non-repudiation by a signed confirmation;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implement appropriate security measures in order to prevent unauthorised access of their IT infrastructure;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notify the other parties it communicates with, without delay, in regard to any unauthorised access which has or may have occurred on his own system.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Each transmission system operator shall be responsible for ensuring the availability of its own system and shall: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take appropriate measures to prevent that a single point of failure causes an unavailability of the data exchange system, including up to the network connection(s) with the internet service provider(s); (b) obtain the appropriate services and support from its internet service provider(s);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(c) keep the downtime, as a consequence of planned IT maintenance, to a minimum and shall inform its counterparties in a timely manner, prior to the planned unavailability.</w:t>
            </w:r>
          </w:p>
        </w:tc>
      </w:tr>
      <w:tr w:rsidR="00F02F76" w:rsidRPr="00B91C10" w:rsidTr="00670674">
        <w:trPr>
          <w:trHeight w:val="3259"/>
        </w:trPr>
        <w:tc>
          <w:tcPr>
            <w:tcW w:w="5245" w:type="dxa"/>
          </w:tcPr>
          <w:p w:rsidR="00F02F76" w:rsidRPr="00B91C10" w:rsidRDefault="00F02F76" w:rsidP="00670674">
            <w:pPr>
              <w:shd w:val="clear" w:color="auto" w:fill="FFFFFF"/>
              <w:ind w:right="40"/>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23</w:t>
            </w:r>
          </w:p>
          <w:p w:rsidR="00F02F76" w:rsidRPr="00B91C10" w:rsidRDefault="00F02F76" w:rsidP="00670674">
            <w:pPr>
              <w:shd w:val="clear" w:color="auto" w:fill="FFFFFF"/>
              <w:ind w:right="40"/>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Implementarea soluțiilor comune pentru schimbul de date</w:t>
            </w:r>
          </w:p>
          <w:p w:rsidR="00F02F76" w:rsidRPr="00B91C10" w:rsidRDefault="00F02F76" w:rsidP="00670674">
            <w:pPr>
              <w:shd w:val="clear" w:color="auto" w:fill="FFFFFF"/>
              <w:ind w:right="40"/>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funcție de cerințele privind schimbul de date prevăzute la articolul 20 alineatul (2), operatorii de sisteme de transport pun la dispoziție și utilizează soluțiile comune pentru schimbul de date definite la articolul 21.</w:t>
            </w:r>
          </w:p>
          <w:p w:rsidR="00F02F76" w:rsidRDefault="00F02F76" w:rsidP="00670674">
            <w:pPr>
              <w:shd w:val="clear" w:color="auto" w:fill="FFFFFF"/>
              <w:ind w:right="40"/>
              <w:jc w:val="both"/>
              <w:rPr>
                <w:rFonts w:asciiTheme="majorBidi" w:hAnsiTheme="majorBidi" w:cstheme="majorBidi"/>
                <w:sz w:val="18"/>
                <w:szCs w:val="18"/>
                <w:lang w:val="it-IT"/>
              </w:rPr>
            </w:pPr>
          </w:p>
          <w:p w:rsidR="00F02F76" w:rsidRPr="00B91C10" w:rsidRDefault="00F02F76" w:rsidP="00670674">
            <w:pPr>
              <w:shd w:val="clear" w:color="auto" w:fill="FFFFFF"/>
              <w:ind w:right="40"/>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cazul în care, la data intrării în vigoare a prezentului regulament, sunt deja instituite soluții pentru schimbul de date între un operator de sistem de transport și contrapartidele în cauză și dacă soluțiile existente pentru schimbul de date sunt compatibile cu articolul 22 și cu cerințele privind schimbul de date prevăzute la articolul 20 alineatul (2), soluțiile existente pentru schimbul de date se pot aplica în continuare, după consultarea utilizatorilor rețelei și sub rezerva aprobării autorității naționale de reglementare a operatorului de sistem de transport.</w:t>
            </w:r>
          </w:p>
          <w:p w:rsidR="00F02F76" w:rsidRPr="00B91C10" w:rsidRDefault="00F02F76" w:rsidP="00670674">
            <w:pPr>
              <w:shd w:val="clear" w:color="auto" w:fill="FFFFFF"/>
              <w:ind w:right="40"/>
              <w:jc w:val="both"/>
              <w:rPr>
                <w:rFonts w:asciiTheme="majorBidi" w:hAnsiTheme="majorBidi" w:cstheme="majorBidi"/>
                <w:i/>
                <w:iCs/>
                <w:sz w:val="18"/>
                <w:szCs w:val="18"/>
                <w:lang w:val="it-IT"/>
              </w:rPr>
            </w:pPr>
          </w:p>
        </w:tc>
        <w:tc>
          <w:tcPr>
            <w:tcW w:w="4820" w:type="dxa"/>
          </w:tcPr>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Secțiunea </w:t>
            </w:r>
            <w:r>
              <w:rPr>
                <w:rFonts w:asciiTheme="majorBidi" w:hAnsiTheme="majorBidi" w:cstheme="majorBidi"/>
                <w:b/>
                <w:bCs/>
                <w:sz w:val="18"/>
                <w:szCs w:val="18"/>
                <w:lang w:val="ro-RO"/>
              </w:rPr>
              <w:t>3</w:t>
            </w:r>
          </w:p>
          <w:p w:rsidR="00F02F76" w:rsidRPr="00F12C4B" w:rsidRDefault="00F02F76" w:rsidP="00670674">
            <w:pPr>
              <w:ind w:firstLine="708"/>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Implementarea soluțiilor comune pentru schimbul </w:t>
            </w:r>
            <w:r w:rsidRPr="00F12C4B">
              <w:rPr>
                <w:rFonts w:asciiTheme="majorBidi" w:hAnsiTheme="majorBidi" w:cstheme="majorBidi"/>
                <w:b/>
                <w:bCs/>
                <w:sz w:val="18"/>
                <w:szCs w:val="18"/>
                <w:lang w:val="ro-RO"/>
              </w:rPr>
              <w:t>de date</w:t>
            </w:r>
          </w:p>
          <w:p w:rsidR="00F02F76" w:rsidRPr="00F12C4B" w:rsidRDefault="00F02F76" w:rsidP="00670674">
            <w:pPr>
              <w:tabs>
                <w:tab w:val="left" w:pos="567"/>
                <w:tab w:val="left" w:pos="993"/>
                <w:tab w:val="left" w:pos="1134"/>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112.În funcție de cerințele privind schimbul de date prevăzute la </w:t>
            </w:r>
            <w:r w:rsidRPr="00F12C4B">
              <w:rPr>
                <w:rFonts w:asciiTheme="majorBidi" w:hAnsiTheme="majorBidi" w:cstheme="majorBidi"/>
                <w:b/>
                <w:sz w:val="18"/>
                <w:szCs w:val="18"/>
                <w:lang w:val="ro-RO"/>
              </w:rPr>
              <w:t>pct. 107</w:t>
            </w:r>
            <w:r w:rsidRPr="00F12C4B">
              <w:rPr>
                <w:rFonts w:asciiTheme="majorBidi" w:hAnsiTheme="majorBidi" w:cstheme="majorBidi"/>
                <w:sz w:val="18"/>
                <w:szCs w:val="18"/>
                <w:lang w:val="ro-RO"/>
              </w:rPr>
              <w:t xml:space="preserve">, OST pun la dispoziție și utilizează soluțiile comune pentru schimbul de date definite </w:t>
            </w:r>
            <w:r w:rsidRPr="00F12C4B">
              <w:rPr>
                <w:rFonts w:asciiTheme="majorBidi" w:hAnsiTheme="majorBidi" w:cstheme="majorBidi"/>
                <w:b/>
                <w:sz w:val="18"/>
                <w:szCs w:val="18"/>
                <w:lang w:val="ro-RO"/>
              </w:rPr>
              <w:t>la pct.  108-109</w:t>
            </w:r>
            <w:r w:rsidRPr="00F12C4B">
              <w:rPr>
                <w:rFonts w:asciiTheme="majorBidi" w:hAnsiTheme="majorBidi" w:cstheme="majorBidi"/>
                <w:sz w:val="18"/>
                <w:szCs w:val="18"/>
                <w:lang w:val="ro-RO"/>
              </w:rPr>
              <w:t xml:space="preserve">. </w:t>
            </w:r>
          </w:p>
          <w:p w:rsidR="00F02F76" w:rsidRPr="00F12C4B" w:rsidRDefault="00F02F76" w:rsidP="00670674">
            <w:pPr>
              <w:tabs>
                <w:tab w:val="left" w:pos="567"/>
                <w:tab w:val="left" w:pos="993"/>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 w:val="left" w:pos="1134"/>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113.În cazul în care, la, data intrării în vigoare a prezentului Codsunt deja instituite soluții pentru schimbul de date între un OST și contrapărți și dacă soluțiile existente pentru schimbul de date sunt compatibile cu </w:t>
            </w:r>
            <w:r w:rsidRPr="00F12C4B">
              <w:rPr>
                <w:rFonts w:asciiTheme="majorBidi" w:hAnsiTheme="majorBidi" w:cstheme="majorBidi"/>
                <w:b/>
                <w:sz w:val="18"/>
                <w:szCs w:val="18"/>
                <w:lang w:val="ro-RO"/>
              </w:rPr>
              <w:t>pct. 110-111</w:t>
            </w:r>
            <w:r w:rsidRPr="00F12C4B">
              <w:rPr>
                <w:rFonts w:asciiTheme="majorBidi" w:hAnsiTheme="majorBidi" w:cstheme="majorBidi"/>
                <w:sz w:val="18"/>
                <w:szCs w:val="18"/>
                <w:lang w:val="ro-RO"/>
              </w:rPr>
              <w:t xml:space="preserve">  și cu cerințele privind schimbul de date prevăzute la </w:t>
            </w:r>
            <w:r w:rsidRPr="00F12C4B">
              <w:rPr>
                <w:rFonts w:asciiTheme="majorBidi" w:hAnsiTheme="majorBidi" w:cstheme="majorBidi"/>
                <w:b/>
                <w:sz w:val="18"/>
                <w:szCs w:val="18"/>
                <w:lang w:val="ro-RO"/>
              </w:rPr>
              <w:t>pct.  106</w:t>
            </w:r>
            <w:r w:rsidRPr="00F12C4B">
              <w:rPr>
                <w:rFonts w:asciiTheme="majorBidi" w:hAnsiTheme="majorBidi" w:cstheme="majorBidi"/>
                <w:sz w:val="18"/>
                <w:szCs w:val="18"/>
                <w:lang w:val="ro-RO"/>
              </w:rPr>
              <w:t>, soluțiile existente pentru schimbul de date se pot aplica în continuare, după consultarea utilizatorilor de sistem și sub rezerva aprobării Agenției</w:t>
            </w:r>
            <w:r w:rsidRPr="00B91C10">
              <w:rPr>
                <w:rFonts w:asciiTheme="majorBidi" w:hAnsiTheme="majorBidi" w:cstheme="majorBidi"/>
                <w:sz w:val="18"/>
                <w:szCs w:val="18"/>
                <w:lang w:val="ro-RO"/>
              </w:rPr>
              <w:t>.</w:t>
            </w:r>
          </w:p>
          <w:p w:rsidR="00F02F76" w:rsidRPr="00B91C10" w:rsidRDefault="00F02F76" w:rsidP="00670674">
            <w:pPr>
              <w:tabs>
                <w:tab w:val="left" w:pos="567"/>
                <w:tab w:val="left" w:pos="851"/>
                <w:tab w:val="left" w:pos="1134"/>
              </w:tabs>
              <w:ind w:right="40"/>
              <w:outlineLvl w:val="0"/>
              <w:rPr>
                <w:rFonts w:asciiTheme="majorBidi" w:hAnsiTheme="majorBidi" w:cstheme="majorBidi"/>
                <w:sz w:val="18"/>
                <w:szCs w:val="18"/>
                <w:lang w:val="ro-RO"/>
              </w:rPr>
            </w:pPr>
          </w:p>
          <w:p w:rsidR="00F02F76" w:rsidRPr="00105C1A" w:rsidRDefault="00F02F76" w:rsidP="00670674">
            <w:pPr>
              <w:ind w:right="40"/>
              <w:contextualSpacing/>
              <w:outlineLvl w:val="0"/>
              <w:rPr>
                <w:rFonts w:asciiTheme="majorBidi" w:hAnsiTheme="majorBidi" w:cstheme="majorBidi"/>
                <w:sz w:val="18"/>
                <w:szCs w:val="18"/>
                <w:lang w:val="ro-RO"/>
              </w:rPr>
            </w:pPr>
            <w:r>
              <w:rPr>
                <w:rFonts w:asciiTheme="majorBidi" w:hAnsiTheme="majorBidi" w:cstheme="majorBidi"/>
                <w:sz w:val="18"/>
                <w:szCs w:val="18"/>
                <w:lang w:val="ro-RO"/>
              </w:rPr>
              <w:t xml:space="preserve"> </w:t>
            </w:r>
          </w:p>
        </w:tc>
        <w:tc>
          <w:tcPr>
            <w:tcW w:w="1417" w:type="dxa"/>
          </w:tcPr>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tc>
        <w:tc>
          <w:tcPr>
            <w:tcW w:w="4253" w:type="dxa"/>
          </w:tcPr>
          <w:p w:rsidR="00F02F76" w:rsidRPr="00481465" w:rsidRDefault="00F02F76" w:rsidP="00670674">
            <w:pPr>
              <w:jc w:val="both"/>
              <w:rPr>
                <w:rFonts w:asciiTheme="majorBidi" w:hAnsiTheme="majorBidi" w:cstheme="majorBidi"/>
                <w:sz w:val="18"/>
                <w:szCs w:val="18"/>
              </w:rPr>
            </w:pPr>
            <w:r w:rsidRPr="00481465">
              <w:rPr>
                <w:rFonts w:asciiTheme="majorBidi" w:hAnsiTheme="majorBidi" w:cstheme="majorBidi"/>
                <w:sz w:val="18"/>
                <w:szCs w:val="18"/>
              </w:rPr>
              <w:t xml:space="preserve">Article 23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Implementation of the common data exchange solutions</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Depending on the data exchange requirements under Article 20(2), transmission system operators shall make available and use the common data exchange solutions defined in Article 21.</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2. Where data exchange solutions between a transmission system operator and concerned counter-parties are in place on 1 October 2018 and provided that the existing data exchange solutions are compatible with Article 22 and with data exchange requirements under Article 20(2), the existing data exchange solutions may continue to apply after consultation with network users and subject to the approval of the national regulatory authority of the transmission system operator.</w:t>
            </w:r>
          </w:p>
        </w:tc>
      </w:tr>
      <w:tr w:rsidR="00F02F76" w:rsidRPr="00B91C10" w:rsidTr="00670674">
        <w:trPr>
          <w:trHeight w:val="1840"/>
        </w:trPr>
        <w:tc>
          <w:tcPr>
            <w:tcW w:w="5245" w:type="dxa"/>
          </w:tcPr>
          <w:p w:rsidR="00F02F76" w:rsidRPr="00167092" w:rsidRDefault="00F02F76" w:rsidP="00670674">
            <w:pPr>
              <w:shd w:val="clear" w:color="auto" w:fill="FFFFFF"/>
              <w:ind w:right="40"/>
              <w:jc w:val="both"/>
              <w:rPr>
                <w:rFonts w:asciiTheme="majorBidi" w:hAnsiTheme="majorBidi" w:cstheme="majorBidi"/>
                <w:i/>
                <w:iCs/>
                <w:sz w:val="18"/>
                <w:szCs w:val="18"/>
              </w:rPr>
            </w:pPr>
          </w:p>
        </w:tc>
        <w:tc>
          <w:tcPr>
            <w:tcW w:w="4820" w:type="dxa"/>
          </w:tcPr>
          <w:p w:rsidR="00F02F76" w:rsidRPr="00B91C10" w:rsidRDefault="00F02F76" w:rsidP="00670674">
            <w:pPr>
              <w:ind w:right="40" w:firstLine="708"/>
              <w:contextualSpacing/>
              <w:rPr>
                <w:rFonts w:asciiTheme="majorBidi" w:hAnsiTheme="majorBidi" w:cstheme="majorBidi"/>
                <w:b/>
                <w:bCs/>
                <w:sz w:val="18"/>
                <w:szCs w:val="18"/>
                <w:lang w:val="ro-RO"/>
              </w:rPr>
            </w:pPr>
          </w:p>
        </w:tc>
        <w:tc>
          <w:tcPr>
            <w:tcW w:w="1417" w:type="dxa"/>
          </w:tcPr>
          <w:p w:rsidR="00F02F76" w:rsidRPr="00167092" w:rsidRDefault="00CA0CFD" w:rsidP="00670674">
            <w:pPr>
              <w:jc w:val="both"/>
              <w:rPr>
                <w:rFonts w:asciiTheme="majorBidi" w:hAnsiTheme="majorBidi" w:cstheme="majorBidi"/>
                <w:sz w:val="18"/>
                <w:szCs w:val="18"/>
              </w:rPr>
            </w:pPr>
            <w:r>
              <w:rPr>
                <w:rFonts w:asciiTheme="majorBidi" w:hAnsiTheme="majorBidi" w:cstheme="majorBidi"/>
                <w:sz w:val="18"/>
                <w:szCs w:val="18"/>
              </w:rPr>
              <w:t>Prevederi UE neaplicabile</w:t>
            </w:r>
          </w:p>
        </w:tc>
        <w:tc>
          <w:tcPr>
            <w:tcW w:w="4253" w:type="dxa"/>
          </w:tcPr>
          <w:p w:rsidR="00F02F76" w:rsidRPr="00CA0CFD" w:rsidRDefault="00F02F76" w:rsidP="00670674">
            <w:pPr>
              <w:jc w:val="both"/>
            </w:pPr>
            <w:r w:rsidRPr="00CA0CFD">
              <w:t xml:space="preserve">Article 24 </w:t>
            </w:r>
          </w:p>
          <w:p w:rsidR="00F02F76" w:rsidRPr="00CA0CFD" w:rsidRDefault="00F02F76" w:rsidP="00670674">
            <w:pPr>
              <w:jc w:val="both"/>
              <w:rPr>
                <w:b/>
                <w:bCs/>
                <w:sz w:val="18"/>
                <w:szCs w:val="18"/>
              </w:rPr>
            </w:pPr>
            <w:r w:rsidRPr="00CA0CFD">
              <w:rPr>
                <w:b/>
                <w:bCs/>
                <w:sz w:val="18"/>
                <w:szCs w:val="18"/>
              </w:rPr>
              <w:t xml:space="preserve">Development process for common network operation tools </w:t>
            </w:r>
          </w:p>
          <w:p w:rsidR="00F02F76" w:rsidRPr="00CA0CFD" w:rsidRDefault="00F02F76" w:rsidP="00670674">
            <w:pPr>
              <w:jc w:val="both"/>
              <w:rPr>
                <w:rFonts w:asciiTheme="majorBidi" w:hAnsiTheme="majorBidi" w:cstheme="majorBidi"/>
                <w:sz w:val="18"/>
                <w:szCs w:val="18"/>
              </w:rPr>
            </w:pPr>
            <w:r w:rsidRPr="00CA0CFD">
              <w:rPr>
                <w:sz w:val="18"/>
                <w:szCs w:val="18"/>
              </w:rPr>
              <w:t>1. For each data exchange requirement under Article 20(2), a common network operation tool developed by Entsog in accordance with Article 8(3)(a) of Regulation (EC) No 715/2009 exists. A common network operation tool shall specify the common data exchange solution relevant for the respective data exchange requirement as mentioned in Article 21. A common network operation tool may also include business requirement specifications, release management and implementation guidelines.</w:t>
            </w:r>
          </w:p>
        </w:tc>
      </w:tr>
      <w:tr w:rsidR="00F02F76" w:rsidRPr="00B91C10" w:rsidTr="00670674">
        <w:trPr>
          <w:trHeight w:val="1240"/>
        </w:trPr>
        <w:tc>
          <w:tcPr>
            <w:tcW w:w="5245" w:type="dxa"/>
          </w:tcPr>
          <w:p w:rsidR="00F02F76" w:rsidRPr="00B91C10" w:rsidRDefault="00F02F76" w:rsidP="00670674">
            <w:pPr>
              <w:shd w:val="clear" w:color="auto" w:fill="FFFFFF"/>
              <w:ind w:right="40"/>
              <w:jc w:val="both"/>
              <w:rPr>
                <w:rFonts w:asciiTheme="majorBidi" w:hAnsiTheme="majorBidi" w:cstheme="majorBidi"/>
                <w:i/>
                <w:iCs/>
                <w:sz w:val="18"/>
                <w:szCs w:val="18"/>
              </w:rPr>
            </w:pPr>
          </w:p>
        </w:tc>
        <w:tc>
          <w:tcPr>
            <w:tcW w:w="4820" w:type="dxa"/>
          </w:tcPr>
          <w:p w:rsidR="00F02F76" w:rsidRPr="00B91C10" w:rsidRDefault="00F02F76" w:rsidP="00670674">
            <w:pPr>
              <w:ind w:right="40" w:firstLine="708"/>
              <w:contextualSpacing/>
              <w:rPr>
                <w:rFonts w:asciiTheme="majorBidi" w:hAnsiTheme="majorBidi" w:cstheme="majorBidi"/>
                <w:b/>
                <w:bCs/>
                <w:sz w:val="18"/>
                <w:szCs w:val="18"/>
                <w:lang w:val="ro-RO"/>
              </w:rPr>
            </w:pPr>
          </w:p>
        </w:tc>
        <w:tc>
          <w:tcPr>
            <w:tcW w:w="1417" w:type="dxa"/>
          </w:tcPr>
          <w:p w:rsidR="00F02F76" w:rsidRPr="00B91C10" w:rsidRDefault="00CA0CFD" w:rsidP="00670674">
            <w:pPr>
              <w:jc w:val="both"/>
              <w:rPr>
                <w:rFonts w:asciiTheme="majorBidi" w:hAnsiTheme="majorBidi" w:cstheme="majorBidi"/>
                <w:sz w:val="18"/>
                <w:szCs w:val="18"/>
              </w:rPr>
            </w:pPr>
            <w:r>
              <w:rPr>
                <w:rFonts w:asciiTheme="majorBidi" w:hAnsiTheme="majorBidi" w:cstheme="majorBidi"/>
                <w:sz w:val="18"/>
                <w:szCs w:val="18"/>
              </w:rPr>
              <w:t>Prevederi UE neaplicabile</w:t>
            </w:r>
          </w:p>
        </w:tc>
        <w:tc>
          <w:tcPr>
            <w:tcW w:w="4253" w:type="dxa"/>
          </w:tcPr>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b/>
                <w:bCs/>
                <w:sz w:val="18"/>
                <w:szCs w:val="18"/>
              </w:rPr>
              <w:t xml:space="preserve">CHAPTER VI </w:t>
            </w:r>
          </w:p>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b/>
                <w:bCs/>
                <w:sz w:val="18"/>
                <w:szCs w:val="18"/>
              </w:rPr>
              <w:t xml:space="preserve">FINAL PROVISIONS </w:t>
            </w:r>
          </w:p>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Article 25</w:t>
            </w:r>
          </w:p>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b/>
                <w:bCs/>
                <w:sz w:val="18"/>
                <w:szCs w:val="18"/>
              </w:rPr>
              <w:t xml:space="preserve"> Implementation monitoring </w:t>
            </w:r>
          </w:p>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sz w:val="18"/>
                <w:szCs w:val="18"/>
              </w:rPr>
              <w:t xml:space="preserve">1. Six months after the expiry of the deadline for transposing and implementing this Regulation the Energy Community Secretariat shall monitor and analyse how transmission system operators have implemented Chapters II to V of this Regulation and submit its report to t Energy Community Permanent High Level Group 2. By at the latest three months after the expiry of the deadline for transposing and implementing this Regulation transmission system operators shall communicate to the Energy Community Secretariat all necessary information enabling the Energy Community Secretariat to comply with its obligations under paragraph 1. </w:t>
            </w:r>
          </w:p>
        </w:tc>
      </w:tr>
      <w:tr w:rsidR="00F02F76" w:rsidRPr="00B91C10" w:rsidTr="00997596">
        <w:trPr>
          <w:trHeight w:val="416"/>
        </w:trPr>
        <w:tc>
          <w:tcPr>
            <w:tcW w:w="5245" w:type="dxa"/>
          </w:tcPr>
          <w:p w:rsidR="00F02F76" w:rsidRPr="00B91C10" w:rsidRDefault="00F02F76" w:rsidP="00670674">
            <w:pPr>
              <w:shd w:val="clear" w:color="auto" w:fill="FFFFFF"/>
              <w:ind w:right="40"/>
              <w:jc w:val="both"/>
              <w:rPr>
                <w:rFonts w:asciiTheme="majorBidi" w:hAnsiTheme="majorBidi" w:cstheme="majorBidi"/>
                <w:i/>
                <w:iCs/>
                <w:sz w:val="18"/>
                <w:szCs w:val="18"/>
              </w:rPr>
            </w:pPr>
          </w:p>
        </w:tc>
        <w:tc>
          <w:tcPr>
            <w:tcW w:w="4820" w:type="dxa"/>
          </w:tcPr>
          <w:p w:rsidR="00F02F76" w:rsidRPr="00B91C10" w:rsidRDefault="00F02F76" w:rsidP="00670674">
            <w:pPr>
              <w:ind w:right="40" w:firstLine="708"/>
              <w:contextualSpacing/>
              <w:rPr>
                <w:rFonts w:asciiTheme="majorBidi" w:hAnsiTheme="majorBidi" w:cstheme="majorBidi"/>
                <w:b/>
                <w:bCs/>
                <w:sz w:val="18"/>
                <w:szCs w:val="18"/>
                <w:lang w:val="ro-RO"/>
              </w:rPr>
            </w:pPr>
          </w:p>
        </w:tc>
        <w:tc>
          <w:tcPr>
            <w:tcW w:w="1417" w:type="dxa"/>
          </w:tcPr>
          <w:p w:rsidR="00F02F76" w:rsidRPr="00B91C10" w:rsidRDefault="00CA0CFD" w:rsidP="00670674">
            <w:pPr>
              <w:jc w:val="both"/>
              <w:rPr>
                <w:rFonts w:asciiTheme="majorBidi" w:hAnsiTheme="majorBidi" w:cstheme="majorBidi"/>
                <w:sz w:val="18"/>
                <w:szCs w:val="18"/>
              </w:rPr>
            </w:pPr>
            <w:r>
              <w:rPr>
                <w:rFonts w:asciiTheme="majorBidi" w:hAnsiTheme="majorBidi" w:cstheme="majorBidi"/>
                <w:sz w:val="18"/>
                <w:szCs w:val="18"/>
              </w:rPr>
              <w:t>Prevederi UE neaplicabile</w:t>
            </w:r>
          </w:p>
        </w:tc>
        <w:tc>
          <w:tcPr>
            <w:tcW w:w="4253" w:type="dxa"/>
          </w:tcPr>
          <w:p w:rsidR="00F02F76" w:rsidRPr="00CA0CFD" w:rsidRDefault="00F02F76" w:rsidP="00983016">
            <w:pPr>
              <w:jc w:val="center"/>
              <w:rPr>
                <w:rFonts w:asciiTheme="majorBidi" w:hAnsiTheme="majorBidi" w:cstheme="majorBidi"/>
                <w:sz w:val="18"/>
                <w:szCs w:val="18"/>
              </w:rPr>
            </w:pPr>
            <w:r w:rsidRPr="00CA0CFD">
              <w:rPr>
                <w:rFonts w:asciiTheme="majorBidi" w:hAnsiTheme="majorBidi" w:cstheme="majorBidi"/>
                <w:sz w:val="18"/>
                <w:szCs w:val="18"/>
              </w:rPr>
              <w:t>Article 26</w:t>
            </w:r>
          </w:p>
          <w:p w:rsidR="00F02F76" w:rsidRPr="00CA0CFD" w:rsidRDefault="00F02F76" w:rsidP="00983016">
            <w:pPr>
              <w:jc w:val="center"/>
              <w:rPr>
                <w:rFonts w:asciiTheme="majorBidi" w:hAnsiTheme="majorBidi" w:cstheme="majorBidi"/>
                <w:sz w:val="18"/>
                <w:szCs w:val="18"/>
              </w:rPr>
            </w:pPr>
            <w:r w:rsidRPr="00CA0CFD">
              <w:rPr>
                <w:rFonts w:asciiTheme="majorBidi" w:hAnsiTheme="majorBidi" w:cstheme="majorBidi"/>
                <w:b/>
                <w:bCs/>
                <w:sz w:val="18"/>
                <w:szCs w:val="18"/>
              </w:rPr>
              <w:t xml:space="preserve">Entry into force </w:t>
            </w:r>
            <w:r w:rsidRPr="00CA0CFD">
              <w:rPr>
                <w:rFonts w:asciiTheme="majorBidi" w:hAnsiTheme="majorBidi" w:cstheme="majorBidi"/>
                <w:b/>
                <w:bCs/>
                <w:sz w:val="18"/>
                <w:szCs w:val="18"/>
                <w:vertAlign w:val="superscript"/>
              </w:rPr>
              <w:t>1</w:t>
            </w:r>
            <w:r w:rsidRPr="00CA0CFD">
              <w:rPr>
                <w:rFonts w:asciiTheme="majorBidi" w:hAnsiTheme="majorBidi" w:cstheme="majorBidi"/>
                <w:sz w:val="18"/>
                <w:szCs w:val="18"/>
              </w:rPr>
              <w:t xml:space="preserve"> .</w:t>
            </w:r>
          </w:p>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 xml:space="preserve">1. Each Contracting Party shall transpose and implement Commission Regulation (EU) No 2015/703 by 1 October 2018 2. This Decision [2018/02/PHLG-EnC] shall be made binding on all market participants. Transposition shall be made without changes to the structure and text of Commission Regulatio (EU) No 2015/703 other than translation and the adaptations made by the present Decision 3. Each Contracting Party shall notify the Energy Community Secretariat of completed transposition within two weeks following the adoption of such measure 4. In transposing this Decision [2018/02/PHLG-EnC] Contracting Parties shall task national regulatory authorities with the monitoring of </w:t>
            </w:r>
            <w:r w:rsidRPr="00CA0CFD">
              <w:rPr>
                <w:rFonts w:asciiTheme="majorBidi" w:hAnsiTheme="majorBidi" w:cstheme="majorBidi"/>
                <w:sz w:val="18"/>
                <w:szCs w:val="18"/>
              </w:rPr>
              <w:lastRenderedPageBreak/>
              <w:t>and enforcing compliance with this Decision [2018/02/PHLG-EnC]</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color w:val="C00000"/>
                <w:sz w:val="18"/>
                <w:szCs w:val="18"/>
                <w:lang w:val="it-IT"/>
              </w:rPr>
            </w:pPr>
            <w:r w:rsidRPr="00B91C10">
              <w:rPr>
                <w:rFonts w:asciiTheme="majorBidi" w:hAnsiTheme="majorBidi" w:cstheme="majorBidi"/>
                <w:b/>
                <w:bCs/>
                <w:color w:val="C00000"/>
                <w:sz w:val="18"/>
                <w:szCs w:val="18"/>
                <w:lang w:val="it-IT"/>
              </w:rPr>
              <w:lastRenderedPageBreak/>
              <w:t>ANEXĂ</w:t>
            </w:r>
          </w:p>
          <w:p w:rsidR="00F02F76" w:rsidRPr="00B91C10" w:rsidRDefault="00F02F76" w:rsidP="00670674">
            <w:pPr>
              <w:shd w:val="clear" w:color="auto" w:fill="FFFFFF"/>
              <w:jc w:val="center"/>
              <w:rPr>
                <w:rFonts w:asciiTheme="majorBidi" w:hAnsiTheme="majorBidi" w:cstheme="majorBidi"/>
                <w:color w:val="C00000"/>
                <w:sz w:val="18"/>
                <w:szCs w:val="18"/>
                <w:lang w:val="it-IT"/>
              </w:rPr>
            </w:pPr>
            <w:r w:rsidRPr="00B91C10">
              <w:rPr>
                <w:rFonts w:asciiTheme="majorBidi" w:hAnsiTheme="majorBidi" w:cstheme="majorBidi"/>
                <w:b/>
                <w:bCs/>
                <w:color w:val="C00000"/>
                <w:sz w:val="18"/>
                <w:szCs w:val="18"/>
                <w:lang w:val="it-IT"/>
              </w:rPr>
              <w:t>Factori de conversie între condițiile de referință</w:t>
            </w:r>
          </w:p>
          <w:p w:rsidR="00F02F76" w:rsidRPr="00B91C10" w:rsidRDefault="00F02F76" w:rsidP="00670674">
            <w:pPr>
              <w:shd w:val="clear" w:color="auto" w:fill="FFFFFF"/>
              <w:jc w:val="center"/>
              <w:rPr>
                <w:rFonts w:asciiTheme="majorBidi" w:hAnsiTheme="majorBidi" w:cstheme="majorBidi"/>
                <w:i/>
                <w:iCs/>
                <w:color w:val="C00000"/>
                <w:sz w:val="18"/>
                <w:szCs w:val="18"/>
              </w:rPr>
            </w:pPr>
            <w:r w:rsidRPr="00B91C10">
              <w:rPr>
                <w:rFonts w:asciiTheme="majorBidi" w:hAnsiTheme="majorBidi" w:cstheme="majorBidi"/>
                <w:noProof/>
                <w:color w:val="C00000"/>
                <w:sz w:val="18"/>
                <w:szCs w:val="18"/>
                <w:lang w:eastAsia="en-US"/>
              </w:rPr>
              <w:drawing>
                <wp:inline distT="0" distB="0" distL="0" distR="0" wp14:anchorId="11A5FF07" wp14:editId="28355755">
                  <wp:extent cx="2617470" cy="75830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flipV="1">
                            <a:off x="0" y="0"/>
                            <a:ext cx="2719472" cy="787858"/>
                          </a:xfrm>
                          <a:prstGeom prst="rect">
                            <a:avLst/>
                          </a:prstGeom>
                        </pic:spPr>
                      </pic:pic>
                    </a:graphicData>
                  </a:graphic>
                </wp:inline>
              </w:drawing>
            </w:r>
          </w:p>
        </w:tc>
        <w:tc>
          <w:tcPr>
            <w:tcW w:w="4820" w:type="dxa"/>
          </w:tcPr>
          <w:p w:rsidR="00F02F76" w:rsidRPr="00B91C10" w:rsidRDefault="00F02F76" w:rsidP="00670674">
            <w:pPr>
              <w:shd w:val="clear" w:color="auto" w:fill="FFFFFF"/>
              <w:rPr>
                <w:rFonts w:asciiTheme="majorBidi" w:hAnsiTheme="majorBidi" w:cstheme="majorBidi"/>
                <w:b/>
                <w:bCs/>
                <w:color w:val="C00000"/>
                <w:sz w:val="18"/>
                <w:szCs w:val="18"/>
                <w:lang w:val="it-IT"/>
              </w:rPr>
            </w:pPr>
            <w:r w:rsidRPr="00B91C10">
              <w:rPr>
                <w:rFonts w:asciiTheme="majorBidi" w:hAnsiTheme="majorBidi" w:cstheme="majorBidi"/>
                <w:b/>
                <w:bCs/>
                <w:color w:val="C00000"/>
                <w:sz w:val="18"/>
                <w:szCs w:val="18"/>
                <w:lang w:val="it-IT"/>
              </w:rPr>
              <w:t>ANEXĂ</w:t>
            </w:r>
          </w:p>
          <w:p w:rsidR="00F02F76" w:rsidRPr="00B91C10" w:rsidRDefault="00F02F76" w:rsidP="00670674">
            <w:pPr>
              <w:shd w:val="clear" w:color="auto" w:fill="FFFFFF"/>
              <w:rPr>
                <w:rFonts w:asciiTheme="majorBidi" w:hAnsiTheme="majorBidi" w:cstheme="majorBidi"/>
                <w:color w:val="C00000"/>
                <w:sz w:val="18"/>
                <w:szCs w:val="18"/>
                <w:lang w:val="it-IT"/>
              </w:rPr>
            </w:pPr>
            <w:r w:rsidRPr="00B91C10">
              <w:rPr>
                <w:rFonts w:asciiTheme="majorBidi" w:hAnsiTheme="majorBidi" w:cstheme="majorBidi"/>
                <w:b/>
                <w:bCs/>
                <w:color w:val="C00000"/>
                <w:sz w:val="18"/>
                <w:szCs w:val="18"/>
                <w:lang w:val="it-IT"/>
              </w:rPr>
              <w:t>Factori de conversie între condițiile de referință</w:t>
            </w:r>
          </w:p>
          <w:p w:rsidR="00F02F76" w:rsidRPr="00B91C10" w:rsidRDefault="00F02F76" w:rsidP="00670674">
            <w:pPr>
              <w:rPr>
                <w:rFonts w:asciiTheme="majorBidi" w:hAnsiTheme="majorBidi" w:cstheme="majorBidi"/>
                <w:b/>
                <w:color w:val="C00000"/>
                <w:sz w:val="18"/>
                <w:szCs w:val="18"/>
              </w:rPr>
            </w:pPr>
            <w:r w:rsidRPr="00B91C10">
              <w:rPr>
                <w:rFonts w:asciiTheme="majorBidi" w:hAnsiTheme="majorBidi" w:cstheme="majorBidi"/>
                <w:noProof/>
                <w:color w:val="C00000"/>
                <w:sz w:val="18"/>
                <w:szCs w:val="18"/>
                <w:lang w:eastAsia="en-US"/>
              </w:rPr>
              <w:drawing>
                <wp:inline distT="0" distB="0" distL="0" distR="0" wp14:anchorId="21641CAA" wp14:editId="18AC75DC">
                  <wp:extent cx="2811145" cy="9041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flipV="1">
                            <a:off x="0" y="0"/>
                            <a:ext cx="2970274" cy="955283"/>
                          </a:xfrm>
                          <a:prstGeom prst="rect">
                            <a:avLst/>
                          </a:prstGeom>
                        </pic:spPr>
                      </pic:pic>
                    </a:graphicData>
                  </a:graphic>
                </wp:inline>
              </w:drawing>
            </w:r>
          </w:p>
        </w:tc>
        <w:tc>
          <w:tcPr>
            <w:tcW w:w="1417" w:type="dxa"/>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tc>
        <w:tc>
          <w:tcPr>
            <w:tcW w:w="4253" w:type="dxa"/>
          </w:tcPr>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ANNEX</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Conversion factors between reference conditions</w:t>
            </w:r>
          </w:p>
          <w:p w:rsidR="00CA0CFD" w:rsidRDefault="00CA0CFD" w:rsidP="00670674">
            <w:pPr>
              <w:jc w:val="both"/>
              <w:rPr>
                <w:rFonts w:asciiTheme="majorBidi" w:hAnsiTheme="majorBidi" w:cstheme="majorBidi"/>
                <w:noProof/>
                <w:color w:val="C00000"/>
                <w:sz w:val="18"/>
                <w:szCs w:val="18"/>
                <w:highlight w:val="green"/>
                <w:lang w:eastAsia="en-US"/>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noProof/>
                <w:color w:val="C00000"/>
                <w:sz w:val="18"/>
                <w:szCs w:val="18"/>
                <w:highlight w:val="green"/>
                <w:lang w:eastAsia="en-US"/>
              </w:rPr>
              <w:drawing>
                <wp:inline distT="0" distB="0" distL="0" distR="0" wp14:anchorId="2B323311" wp14:editId="3FDDEB38">
                  <wp:extent cx="2676525" cy="903605"/>
                  <wp:effectExtent l="0" t="0" r="9525" b="0"/>
                  <wp:docPr id="5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flipV="1">
                            <a:off x="0" y="0"/>
                            <a:ext cx="2868209" cy="968318"/>
                          </a:xfrm>
                          <a:prstGeom prst="rect">
                            <a:avLst/>
                          </a:prstGeom>
                        </pic:spPr>
                      </pic:pic>
                    </a:graphicData>
                  </a:graphic>
                </wp:inline>
              </w:drawing>
            </w:r>
          </w:p>
        </w:tc>
      </w:tr>
      <w:tr w:rsidR="00F02F76" w:rsidRPr="00C27D66" w:rsidTr="00670674">
        <w:trPr>
          <w:trHeight w:val="827"/>
        </w:trPr>
        <w:tc>
          <w:tcPr>
            <w:tcW w:w="15735" w:type="dxa"/>
            <w:gridSpan w:val="4"/>
            <w:shd w:val="clear" w:color="auto" w:fill="FFFF00"/>
          </w:tcPr>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 xml:space="preserve">Regulamentul (UE) Nr.2017/459 al Comisiei din 16 martie 2017 de stabilire a unui cod al reţelei privind </w:t>
            </w:r>
            <w:r w:rsidRPr="00B91C10">
              <w:rPr>
                <w:rFonts w:asciiTheme="majorBidi" w:hAnsiTheme="majorBidi" w:cstheme="majorBidi"/>
                <w:sz w:val="18"/>
                <w:szCs w:val="18"/>
                <w:highlight w:val="yellow"/>
                <w:lang w:val="it-IT"/>
              </w:rPr>
              <w:t>mecanismele de alocare a capacităţii în sistemele de transport al gazelor şi de abrogare a Regulamentului (</w:t>
            </w:r>
            <w:r w:rsidRPr="00B91C10">
              <w:rPr>
                <w:rFonts w:asciiTheme="majorBidi" w:hAnsiTheme="majorBidi" w:cstheme="majorBidi"/>
                <w:sz w:val="18"/>
                <w:szCs w:val="18"/>
                <w:lang w:val="it-IT"/>
              </w:rPr>
              <w:t>UE) nr.2013/984 publicat în Jurnalul Oficial al Uniunii Europene L 72/1 din 17 martie 2017, adaptat prin Decizia Nr.2018/06/PHLG-EnC al Grupului Permanent de Nivel Înalt al Comunităţii Energetice din 28 noiembrie 2018 privind implementarea Regulamentului (UE) Nr.2017/459 al Comisiei din 16 martie 2017 de stabilire a unui cod al reţelei privind mecanismele de alocare a capacităţii în sistemele de transport al gazelor şi de abrogare a Regulamentului (UE) nr.2013/984</w:t>
            </w:r>
          </w:p>
        </w:tc>
      </w:tr>
      <w:tr w:rsidR="00F02F76" w:rsidRPr="00B91C10" w:rsidTr="00670674">
        <w:trPr>
          <w:trHeight w:val="70"/>
        </w:trPr>
        <w:tc>
          <w:tcPr>
            <w:tcW w:w="5245" w:type="dxa"/>
          </w:tcPr>
          <w:p w:rsidR="00CA0CFD" w:rsidRDefault="00CA0CFD" w:rsidP="00670674">
            <w:pPr>
              <w:shd w:val="clear" w:color="auto" w:fill="FFFFFF"/>
              <w:jc w:val="center"/>
              <w:rPr>
                <w:rFonts w:asciiTheme="majorBidi" w:hAnsiTheme="majorBidi" w:cstheme="majorBidi"/>
                <w:i/>
                <w:iCs/>
                <w:sz w:val="18"/>
                <w:szCs w:val="18"/>
                <w:lang w:val="it-IT"/>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Obiect</w:t>
            </w:r>
          </w:p>
          <w:p w:rsidR="00F02F76"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Prezentul regulament stabilește un cod al rețelei care instituie mecanisme de alocare a capacității în sistemele de transport al gazelor pentru capacitatea existentă și incrementală. Prezentul regulament stabilește modalitatea de cooperare a operatorilor de transport și de sistem adiacenți pentru a facilita vânzările de capacitate, ținând seama de normele comerciale și tehnice generale privind mecanismele de alocare a capacității.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b/>
                <w:iCs/>
                <w:sz w:val="18"/>
                <w:szCs w:val="18"/>
                <w:lang w:val="ro-RO"/>
              </w:rPr>
            </w:pPr>
          </w:p>
          <w:p w:rsidR="00F02F76" w:rsidRPr="00C709E1" w:rsidRDefault="00F02F76" w:rsidP="00670674">
            <w:pPr>
              <w:shd w:val="clear" w:color="auto" w:fill="FFFFFF"/>
              <w:spacing w:line="312" w:lineRule="atLeast"/>
              <w:jc w:val="center"/>
              <w:rPr>
                <w:b/>
                <w:sz w:val="18"/>
                <w:szCs w:val="18"/>
                <w:lang w:val="ro-RO"/>
              </w:rPr>
            </w:pPr>
            <w:r w:rsidRPr="00C709E1">
              <w:rPr>
                <w:b/>
                <w:sz w:val="18"/>
                <w:szCs w:val="18"/>
                <w:lang w:val="ro-RO"/>
              </w:rPr>
              <w:t>MECANISMELE DE ALOCARE A CAPACITĂȚII ÎN REȚELELEDE TRANSPORT AL GAZELOR NATURALE</w:t>
            </w:r>
          </w:p>
          <w:p w:rsidR="00F02F76" w:rsidRPr="00C709E1" w:rsidRDefault="00F02F76" w:rsidP="00670674">
            <w:pPr>
              <w:shd w:val="clear" w:color="auto" w:fill="FFFFFF"/>
              <w:spacing w:line="312" w:lineRule="atLeast"/>
              <w:jc w:val="center"/>
              <w:rPr>
                <w:b/>
                <w:sz w:val="18"/>
                <w:szCs w:val="18"/>
                <w:lang w:val="ro-RO"/>
              </w:rPr>
            </w:pPr>
            <w:r w:rsidRPr="00C709E1">
              <w:rPr>
                <w:b/>
                <w:sz w:val="18"/>
                <w:szCs w:val="18"/>
                <w:lang w:val="ro-RO"/>
              </w:rPr>
              <w:t>DISPOZIȚII GENERALE</w:t>
            </w:r>
          </w:p>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1</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4</w:t>
            </w:r>
            <w:r w:rsidRPr="00B91C10">
              <w:rPr>
                <w:rFonts w:asciiTheme="majorBidi" w:hAnsiTheme="majorBidi" w:cstheme="majorBidi"/>
                <w:sz w:val="18"/>
                <w:szCs w:val="18"/>
                <w:lang w:val="ro-RO"/>
              </w:rPr>
              <w:t>. Prezentul Titlu stabilește mecanisme de alocare a capacității în rețelele de transport al gazelor naturale pentru capacitatea existentă și incrementală. Prezentul Titlu stabilește modalitatea de cooperare a OST adiacenți pentru a facilita vânzările de capacitate, ținând seama de normele comerciale și tehnice generale privind mecanismele de alocare a capacității.</w:t>
            </w:r>
          </w:p>
          <w:p w:rsidR="00F02F76" w:rsidRPr="00B91C10" w:rsidRDefault="00F02F76" w:rsidP="00670674">
            <w:pPr>
              <w:shd w:val="clear" w:color="auto" w:fill="FFFFFF"/>
              <w:jc w:val="both"/>
              <w:rPr>
                <w:rFonts w:asciiTheme="majorBidi" w:hAnsiTheme="majorBidi" w:cstheme="majorBidi"/>
                <w:sz w:val="18"/>
                <w:szCs w:val="18"/>
                <w:lang w:val="ro-RO"/>
              </w:rPr>
            </w:pP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Article 1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Subject matter</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This Regulation establishes a network code setting up capacity allocation mechanisms in gas transmission systems for existing and incremental capacity. This Regulation shall set out how adjacent transmission system operators cooperate in order to facilitate capacity sales, having regard to general commercial as well as technical rules related to capacity allocation mechanisms.</w:t>
            </w:r>
          </w:p>
        </w:tc>
      </w:tr>
      <w:tr w:rsidR="00F02F76" w:rsidRPr="00B91C10" w:rsidTr="00670674">
        <w:trPr>
          <w:trHeight w:val="281"/>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omeniul de aplicare</w:t>
            </w:r>
          </w:p>
          <w:p w:rsidR="009E2FDE" w:rsidRPr="00B91C10" w:rsidRDefault="009E2FDE"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Prezentul regulament se aplică punctelor de interconectare. De asemenea, el se poate aplica și punctelor de intrare dinspre țări terțe și de ieșire către acestea, sub rezerva deciziei autorității naționale de reglementare relevante. Prezentul regulament nu se aplică punctelor de ieșire către consumatorii finali și rețelele de distribuție, punctelor de intrare dinspre terminalele și instalațiile de producție de „gaz natural lichefiat” (GNL) și punctelor de intrare dinspre sau de ieșire către instalațiile de depozitare.</w:t>
            </w:r>
          </w:p>
          <w:p w:rsidR="009E2FDE" w:rsidRPr="00B91C10" w:rsidRDefault="009E2FDE"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(2)   Mecanismele standardizate de alocare a capacității instituite în conformitate cu prezentul regulament trebuie să includă o procedură de licitație pentru punctele de interconectare relevante de pe teritoriul Uniunii și pentru produsele standard de capacitate care urmează să fie oferite și alocate. În cazul în care se oferă capacitate incrementală, pot fi utilizate, de asemenea, mecanisme alternative de alocare, sub rezerva condițiilor prevăzute la articolul 30 alineatul (2).</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Prezentul regulament se aplică întregii capacități tehnice și întreruptibile în punctele de interconectare, precum și capacității suplimentare în sensul punctului 2.2.1 din anexa I la Regulamentul (CE) nr. 715/2009 și capacității incrementale. Prezentul regulament nu se aplică punctelor de interconectare între statele membre în cazul în care unul dintre aceste state membre beneficiază de o derogare în temeiul articolului 49 din Directiva 2009/73/CE.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cazul în care se aplică un mecanism alternativ de alocare a capacității în conformitate cu articolul 30, articolul 8 alineatele (1)-(7), articolele 11-18, articolul 19 alineatul (2) și articolul 37 nu se aplică nivelurilor de ofertă, cu excepția unei decizii contrare a autorităților naționale de reglementare relevante.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cazul în care se aplică metode implicite de alocare a capacității, autoritățile naționale de reglementare pot decide să nu aplice articolele 8-37.</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Pentru a preveni închiderea piețelor de aprovizionare din aval, autoritățile naționale de reglementare pot decide, după consultarea utilizatorilor rețelei, să ia măsuri proporționale pentru a limita posibilitatea ca un utilizator individual al rețelei să depună în avans o ofertă pentru capacitate în punctele de interconectare dintr-un stat membru.</w:t>
            </w: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r w:rsidRPr="00C709E1">
              <w:rPr>
                <w:rFonts w:asciiTheme="majorBidi" w:hAnsiTheme="majorBidi" w:cstheme="majorBidi"/>
                <w:b/>
                <w:iCs/>
                <w:sz w:val="18"/>
                <w:szCs w:val="18"/>
                <w:lang w:val="ro-RO"/>
              </w:rPr>
              <w:lastRenderedPageBreak/>
              <w:t xml:space="preserve">Secțiunea 1 </w:t>
            </w:r>
          </w:p>
          <w:p w:rsidR="009E2FDE" w:rsidRPr="00B91C10" w:rsidRDefault="009E2FDE" w:rsidP="00670674">
            <w:pPr>
              <w:shd w:val="clear" w:color="auto" w:fill="FFFFFF"/>
              <w:spacing w:line="312" w:lineRule="atLeast"/>
              <w:jc w:val="center"/>
              <w:rPr>
                <w:rFonts w:asciiTheme="majorBidi" w:hAnsiTheme="majorBidi" w:cstheme="majorBidi"/>
                <w:i/>
                <w:iCs/>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5</w:t>
            </w:r>
            <w:r w:rsidRPr="00B91C10">
              <w:rPr>
                <w:rFonts w:asciiTheme="majorBidi" w:hAnsiTheme="majorBidi" w:cstheme="majorBidi"/>
                <w:sz w:val="18"/>
                <w:szCs w:val="18"/>
                <w:lang w:val="ro-RO"/>
              </w:rPr>
              <w:t>.</w:t>
            </w:r>
            <w:r w:rsidRPr="00B91C10" w:rsidDel="007764C1">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 Titlu</w:t>
            </w:r>
            <w:r>
              <w:rPr>
                <w:rFonts w:asciiTheme="majorBidi" w:hAnsiTheme="majorBidi" w:cstheme="majorBidi"/>
                <w:sz w:val="18"/>
                <w:szCs w:val="18"/>
                <w:lang w:val="ro-RO"/>
              </w:rPr>
              <w:t>l IV</w:t>
            </w:r>
            <w:r w:rsidRPr="00B91C10">
              <w:rPr>
                <w:rFonts w:asciiTheme="majorBidi" w:hAnsiTheme="majorBidi" w:cstheme="majorBidi"/>
                <w:sz w:val="18"/>
                <w:szCs w:val="18"/>
                <w:lang w:val="ro-RO"/>
              </w:rPr>
              <w:t xml:space="preserve"> se aplică punctelor de interconectare între Părţile Contractante. Prezentul Titlu </w:t>
            </w:r>
            <w:r w:rsidRPr="00B91C10">
              <w:rPr>
                <w:rFonts w:asciiTheme="majorBidi" w:hAnsiTheme="majorBidi" w:cstheme="majorBidi"/>
                <w:i/>
                <w:sz w:val="18"/>
                <w:szCs w:val="18"/>
                <w:lang w:val="ro-RO"/>
              </w:rPr>
              <w:t>nu se aplică</w:t>
            </w:r>
            <w:r w:rsidRPr="00B91C10">
              <w:rPr>
                <w:rFonts w:asciiTheme="majorBidi" w:hAnsiTheme="majorBidi" w:cstheme="majorBidi"/>
                <w:sz w:val="18"/>
                <w:szCs w:val="18"/>
                <w:lang w:val="ro-RO"/>
              </w:rPr>
              <w:t xml:space="preserve"> la punctele de ieșire către consumatorii finali și la punctelede ieșire spre rețelele de distribuție, punctelor de intrare spre instalațiile de producere a gazelor lichefiate (GNL) terminale și punctelor de intrare spre sau de ieșire către depozitele de stocare.</w:t>
            </w:r>
          </w:p>
          <w:p w:rsidR="00F02F76" w:rsidRDefault="00F02F76" w:rsidP="00670674">
            <w:pPr>
              <w:tabs>
                <w:tab w:val="left" w:pos="851"/>
              </w:tabs>
              <w:jc w:val="both"/>
              <w:outlineLvl w:val="0"/>
              <w:rPr>
                <w:rFonts w:asciiTheme="majorBidi" w:hAnsiTheme="majorBidi" w:cstheme="majorBidi"/>
                <w:sz w:val="18"/>
                <w:szCs w:val="18"/>
                <w:lang w:val="ro-RO"/>
              </w:rPr>
            </w:pPr>
          </w:p>
          <w:p w:rsidR="009E2FDE" w:rsidRDefault="009E2FDE"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11</w:t>
            </w:r>
            <w:r>
              <w:rPr>
                <w:rFonts w:asciiTheme="majorBidi" w:hAnsiTheme="majorBidi" w:cstheme="majorBidi"/>
                <w:sz w:val="18"/>
                <w:szCs w:val="18"/>
                <w:lang w:val="ro-RO"/>
              </w:rPr>
              <w:t>6</w:t>
            </w:r>
            <w:r w:rsidRPr="00B91C10">
              <w:rPr>
                <w:rFonts w:asciiTheme="majorBidi" w:hAnsiTheme="majorBidi" w:cstheme="majorBidi"/>
                <w:sz w:val="18"/>
                <w:szCs w:val="18"/>
                <w:lang w:val="ro-RO"/>
              </w:rPr>
              <w:t>.</w:t>
            </w:r>
            <w:r w:rsidRPr="00B91C10" w:rsidDel="00D06C2C">
              <w:rPr>
                <w:rFonts w:asciiTheme="majorBidi" w:hAnsiTheme="majorBidi" w:cstheme="majorBidi"/>
                <w:sz w:val="18"/>
                <w:szCs w:val="18"/>
                <w:lang w:val="ro-RO"/>
              </w:rPr>
              <w:t xml:space="preserve"> </w:t>
            </w:r>
            <w:r w:rsidRPr="00C33F84">
              <w:rPr>
                <w:lang w:val="it-IT"/>
              </w:rPr>
              <w:t>Mecanismele standardizate de alocare a capacităţii instituite în conformitate cu prezentul Cod trebuie să includă o procedură de licitaţie pentru PCS, care urmează să fie oferite şi alocate la punctele de interconectare dintre ţările Părţi Contractante. În cazul în care se oferă capacitate incrementală, pot fi utilizate, de asemenea, mecanisme alternative de alocare, sub rezerva condiţiilor prevăzute la pct.292</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17</w:t>
            </w:r>
            <w:r w:rsidRPr="00B91C10">
              <w:rPr>
                <w:rFonts w:asciiTheme="majorBidi" w:hAnsiTheme="majorBidi" w:cstheme="majorBidi"/>
                <w:sz w:val="18"/>
                <w:szCs w:val="18"/>
                <w:lang w:val="ro-RO"/>
              </w:rPr>
              <w:t>.Prezentul Titlu se aplică întregii capacități tehnice și întreruptibile în punctele de interconectare, precum și capacității suplimentare în sensul Regulamentului privind accesul la rețelele de transport a gazelor naturale și gestionarea congestiilor</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w:t>
            </w:r>
          </w:p>
          <w:p w:rsidR="00F02F76" w:rsidRPr="00F62B03" w:rsidRDefault="00F02F76" w:rsidP="00670674">
            <w:pPr>
              <w:pStyle w:val="NormalWeb"/>
              <w:tabs>
                <w:tab w:val="left" w:pos="183"/>
                <w:tab w:val="left" w:pos="325"/>
              </w:tabs>
              <w:ind w:firstLine="0"/>
              <w:rPr>
                <w:sz w:val="18"/>
                <w:szCs w:val="18"/>
              </w:rPr>
            </w:pPr>
            <w:r w:rsidRPr="00B91C10">
              <w:rPr>
                <w:rFonts w:asciiTheme="majorBidi" w:hAnsiTheme="majorBidi" w:cstheme="majorBidi"/>
                <w:sz w:val="18"/>
                <w:szCs w:val="18"/>
              </w:rPr>
              <w:t>11</w:t>
            </w:r>
            <w:r>
              <w:rPr>
                <w:rFonts w:asciiTheme="majorBidi" w:hAnsiTheme="majorBidi" w:cstheme="majorBidi"/>
                <w:sz w:val="18"/>
                <w:szCs w:val="18"/>
              </w:rPr>
              <w:t>8</w:t>
            </w:r>
            <w:r w:rsidRPr="00B91C10">
              <w:rPr>
                <w:rFonts w:asciiTheme="majorBidi" w:hAnsiTheme="majorBidi" w:cstheme="majorBidi"/>
                <w:sz w:val="18"/>
                <w:szCs w:val="18"/>
              </w:rPr>
              <w:t xml:space="preserve">.În cazul în care se aplică un mecanism alternativ de alocare a capacității în conformitate cu </w:t>
            </w:r>
            <w:r w:rsidRPr="00B91C10">
              <w:rPr>
                <w:rFonts w:asciiTheme="majorBidi" w:hAnsiTheme="majorBidi" w:cstheme="majorBidi"/>
                <w:sz w:val="18"/>
                <w:szCs w:val="18"/>
                <w:highlight w:val="lightGray"/>
              </w:rPr>
              <w:t xml:space="preserve">pct. </w:t>
            </w:r>
            <w:r w:rsidRPr="00F62B03">
              <w:rPr>
                <w:sz w:val="18"/>
                <w:szCs w:val="18"/>
              </w:rPr>
              <w:t>291-296, se aplică pct.136-142, pct.153-241, pct.242, subpunctul 2) şi pct.312-317 nu se aplică nivelurilor de ofertă, dacă nu se decide altfel de către autorităţile naţionale de reglementare.</w:t>
            </w:r>
          </w:p>
          <w:p w:rsidR="00F02F76" w:rsidRDefault="00F02F76" w:rsidP="00670674">
            <w:pPr>
              <w:tabs>
                <w:tab w:val="left" w:pos="183"/>
                <w:tab w:val="left" w:pos="325"/>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119</w:t>
            </w:r>
            <w:r w:rsidRPr="00B91C10">
              <w:rPr>
                <w:rFonts w:asciiTheme="majorBidi" w:hAnsiTheme="majorBidi" w:cstheme="majorBidi"/>
                <w:sz w:val="18"/>
                <w:szCs w:val="18"/>
                <w:lang w:val="ro-RO"/>
              </w:rPr>
              <w:t xml:space="preserve">.În cazul în care se aplică metode implicite de alocare a capacității, autoritățile naționale de reglementare pot decide să nu aplice </w:t>
            </w:r>
            <w:r w:rsidRPr="00B91C10">
              <w:rPr>
                <w:rFonts w:asciiTheme="majorBidi" w:hAnsiTheme="majorBidi" w:cstheme="majorBidi"/>
                <w:sz w:val="18"/>
                <w:szCs w:val="18"/>
                <w:highlight w:val="lightGray"/>
                <w:lang w:val="ro-RO"/>
              </w:rPr>
              <w:t>pct. 1</w:t>
            </w:r>
            <w:r>
              <w:rPr>
                <w:rFonts w:asciiTheme="majorBidi" w:hAnsiTheme="majorBidi" w:cstheme="majorBidi"/>
                <w:sz w:val="18"/>
                <w:szCs w:val="18"/>
                <w:highlight w:val="lightGray"/>
                <w:lang w:val="ro-RO"/>
              </w:rPr>
              <w:t>36</w:t>
            </w:r>
            <w:r w:rsidRPr="00B91C10">
              <w:rPr>
                <w:rFonts w:asciiTheme="majorBidi" w:hAnsiTheme="majorBidi" w:cstheme="majorBidi"/>
                <w:sz w:val="18"/>
                <w:szCs w:val="18"/>
                <w:highlight w:val="lightGray"/>
                <w:lang w:val="ro-RO"/>
              </w:rPr>
              <w:t>-3</w:t>
            </w:r>
            <w:r>
              <w:rPr>
                <w:rFonts w:asciiTheme="majorBidi" w:hAnsiTheme="majorBidi" w:cstheme="majorBidi"/>
                <w:sz w:val="18"/>
                <w:szCs w:val="18"/>
                <w:highlight w:val="lightGray"/>
                <w:lang w:val="ro-RO"/>
              </w:rPr>
              <w:t>17</w:t>
            </w:r>
            <w:r w:rsidRPr="00B91C10">
              <w:rPr>
                <w:rFonts w:asciiTheme="majorBidi" w:hAnsiTheme="majorBidi" w:cstheme="majorBidi"/>
                <w:sz w:val="18"/>
                <w:szCs w:val="18"/>
                <w:highlight w:val="lightGray"/>
                <w:lang w:val="ro-RO"/>
              </w:rPr>
              <w:t>.</w:t>
            </w:r>
          </w:p>
          <w:p w:rsidR="00F02F76" w:rsidRPr="00B92852" w:rsidRDefault="00F02F76" w:rsidP="00B92852">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0</w:t>
            </w:r>
            <w:r w:rsidRPr="00B91C10">
              <w:rPr>
                <w:rFonts w:asciiTheme="majorBidi" w:hAnsiTheme="majorBidi" w:cstheme="majorBidi"/>
                <w:sz w:val="18"/>
                <w:szCs w:val="18"/>
                <w:lang w:val="ro-RO"/>
              </w:rPr>
              <w:t>.Pentru a preveni închiderea/ blocarea piețelor de aprovizionare din aval, autoritățile naționale de reglementare pot decide, după consultarea utilizatorilor de sistem, să ia măsuri proporționale pentru a limita posibilitatea ca un utilizator de sistem individual să depună în avans o ofertă pentru capacitate în punctele de interconect</w:t>
            </w:r>
            <w:r w:rsidR="00B92852">
              <w:rPr>
                <w:rFonts w:asciiTheme="majorBidi" w:hAnsiTheme="majorBidi" w:cstheme="majorBidi"/>
                <w:sz w:val="18"/>
                <w:szCs w:val="18"/>
                <w:lang w:val="ro-RO"/>
              </w:rPr>
              <w:t>are dintr-o Parte Contractantă.</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9E2FDE" w:rsidRPr="00B91C10" w:rsidRDefault="009E2FDE"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9E2FDE" w:rsidRDefault="009E2FDE" w:rsidP="00670674">
            <w:pPr>
              <w:jc w:val="both"/>
              <w:rPr>
                <w:rFonts w:asciiTheme="majorBidi" w:hAnsiTheme="majorBidi" w:cstheme="majorBidi"/>
                <w:sz w:val="18"/>
                <w:szCs w:val="18"/>
                <w:lang w:val="it-IT"/>
              </w:rPr>
            </w:pPr>
          </w:p>
          <w:p w:rsidR="009E2FDE" w:rsidRPr="00B91C10" w:rsidRDefault="009E2FDE"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B92852" w:rsidRPr="00B91C10" w:rsidRDefault="00B92852"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481465" w:rsidRDefault="00F02F76" w:rsidP="00670674">
            <w:pPr>
              <w:jc w:val="center"/>
              <w:rPr>
                <w:rFonts w:asciiTheme="majorBidi" w:hAnsiTheme="majorBidi" w:cstheme="majorBidi"/>
                <w:sz w:val="18"/>
                <w:szCs w:val="18"/>
              </w:rPr>
            </w:pPr>
            <w:r w:rsidRPr="00481465">
              <w:rPr>
                <w:rFonts w:asciiTheme="majorBidi" w:hAnsiTheme="majorBidi" w:cstheme="majorBidi"/>
                <w:sz w:val="18"/>
                <w:szCs w:val="18"/>
              </w:rPr>
              <w:lastRenderedPageBreak/>
              <w:t>Article 2</w:t>
            </w:r>
          </w:p>
          <w:p w:rsidR="00F02F76"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Scope</w:t>
            </w:r>
          </w:p>
          <w:p w:rsidR="009E2FDE" w:rsidRPr="00B91C10" w:rsidRDefault="009E2FDE" w:rsidP="00670674">
            <w:pPr>
              <w:jc w:val="center"/>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This Regulation shall apply to interconnection points between Contracting Parties. It may also apply to entry points from and exit points to third countries, subject to the decision of the relevant national regulatory authority. This Regulation shall not apply to exit points to end consumers and distribution networks, entry points from ‘liquefied natural gas’ (LNG) terminals and production facilities, and entry points from or exit points to storage facilities.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2. The standardised capacity allocation mechanisms set up in accordance with this Regulation shall include an auction procedure for relevant interconnection points within the Energy Community and the standard capacity products to be offered and allocated. Where incremental capacity is offered, alternative allocation mechanisms may also be used, subject to the conditions set out in Article 30(2).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This Regulation shall apply to all technical and interruptible capacity at interconnection points as well as to additional capacity in the meaning of point 2.2.1 of Annex I of Regulation (EC) No 715/2009 and to incremental capacity.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Where an alternative capacity allocation mechanism according to Article 30 is applied, Article 8(1) to (7), Articles 11 to 18, Article 19(2) and Article 37 shall not be applicable to the offer levels, unle ess decided otherwise by the relevant national regulatory authorities.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5.Where implicit capacity allocation methods are applied, national regulatory authorities may decide not to apply Articles 8 to 37.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6. In order to prevent foreclosure of downstream supply markets, national regulatory authorities may, after consulting network users, decide to take proportionate measures to limit up-front bidding for capacity by any single network user at interconnection points within a Contracting Party.</w:t>
            </w:r>
          </w:p>
        </w:tc>
      </w:tr>
      <w:tr w:rsidR="00F02F76" w:rsidRPr="00B91C10" w:rsidTr="00670674">
        <w:trPr>
          <w:trHeight w:val="99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3</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Definiții</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sensul prezentului regulament, se aplică definițiile prevăzute la articolul 2 din Regulamentul (CE) nr. 715/2009, la articolul 3 din Regulamentul (UE) 2017/460 al Comisiei</w:t>
            </w:r>
            <w:hyperlink r:id="rId17" w:anchor="ntr6-L_2017072RO.01000101-E0006" w:history="1">
              <w:r w:rsidRPr="00B91C10">
                <w:rPr>
                  <w:rFonts w:asciiTheme="majorBidi" w:hAnsiTheme="majorBidi" w:cstheme="majorBidi"/>
                  <w:sz w:val="18"/>
                  <w:szCs w:val="18"/>
                  <w:lang w:val="it-IT"/>
                </w:rPr>
                <w:t> (</w:t>
              </w:r>
              <w:r w:rsidRPr="00B91C10">
                <w:rPr>
                  <w:rFonts w:asciiTheme="majorBidi" w:hAnsiTheme="majorBidi" w:cstheme="majorBidi"/>
                  <w:sz w:val="18"/>
                  <w:szCs w:val="18"/>
                  <w:vertAlign w:val="superscript"/>
                  <w:lang w:val="it-IT"/>
                </w:rPr>
                <w:t>6</w:t>
              </w:r>
              <w:r w:rsidRPr="00B91C10">
                <w:rPr>
                  <w:rFonts w:asciiTheme="majorBidi" w:hAnsiTheme="majorBidi" w:cstheme="majorBidi"/>
                  <w:sz w:val="18"/>
                  <w:szCs w:val="18"/>
                  <w:lang w:val="it-IT"/>
                </w:rPr>
                <w:t>)</w:t>
              </w:r>
            </w:hyperlink>
            <w:r w:rsidRPr="00B91C10">
              <w:rPr>
                <w:rFonts w:asciiTheme="majorBidi" w:hAnsiTheme="majorBidi" w:cstheme="majorBidi"/>
                <w:sz w:val="18"/>
                <w:szCs w:val="18"/>
                <w:lang w:val="it-IT"/>
              </w:rPr>
              <w:t xml:space="preserve"> și la articolul 2 din Directiva 2009/73/CE. </w:t>
            </w:r>
            <w:r w:rsidRPr="00C33F84">
              <w:rPr>
                <w:rFonts w:asciiTheme="majorBidi" w:hAnsiTheme="majorBidi" w:cstheme="majorBidi"/>
                <w:sz w:val="18"/>
                <w:szCs w:val="18"/>
                <w:lang w:val="it-IT"/>
              </w:rPr>
              <w:t>De asemenea, se aplică următoarele definiții:</w:t>
            </w:r>
          </w:p>
          <w:p w:rsidR="00477A1B" w:rsidRDefault="00477A1B" w:rsidP="00670674">
            <w:pPr>
              <w:shd w:val="clear" w:color="auto" w:fill="FFFFFF"/>
              <w:jc w:val="both"/>
              <w:rPr>
                <w:rFonts w:asciiTheme="majorBidi" w:hAnsiTheme="majorBidi" w:cstheme="majorBidi"/>
                <w:sz w:val="18"/>
                <w:szCs w:val="18"/>
                <w:lang w:val="it-IT"/>
              </w:rPr>
            </w:pPr>
          </w:p>
          <w:p w:rsidR="00477A1B" w:rsidRPr="00C33F84" w:rsidRDefault="00477A1B" w:rsidP="00670674">
            <w:pPr>
              <w:shd w:val="clear" w:color="auto" w:fill="FFFFFF"/>
              <w:jc w:val="both"/>
              <w:rPr>
                <w:rFonts w:asciiTheme="majorBidi" w:hAnsiTheme="majorBidi" w:cstheme="majorBidi"/>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82"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Pr="00C33F84" w:rsidRDefault="00F02F76" w:rsidP="00670674">
                  <w:pPr>
                    <w:jc w:val="both"/>
                    <w:rPr>
                      <w:rFonts w:asciiTheme="majorBidi" w:hAnsiTheme="majorBidi" w:cstheme="majorBidi"/>
                      <w:sz w:val="18"/>
                      <w:szCs w:val="18"/>
                      <w:lang w:val="it-IT"/>
                    </w:rPr>
                  </w:pPr>
                  <w:r w:rsidRPr="00C33F84">
                    <w:rPr>
                      <w:rFonts w:asciiTheme="majorBidi" w:hAnsiTheme="majorBidi" w:cstheme="majorBidi"/>
                      <w:sz w:val="18"/>
                      <w:szCs w:val="18"/>
                      <w:lang w:val="it-IT"/>
                    </w:rPr>
                    <w:t>1.</w:t>
                  </w:r>
                </w:p>
              </w:tc>
              <w:tc>
                <w:tcPr>
                  <w:tcW w:w="4947" w:type="dxa"/>
                  <w:shd w:val="clear" w:color="auto" w:fill="FFFFFF"/>
                  <w:hideMark/>
                </w:tcPr>
                <w:p w:rsidR="00F02F76" w:rsidRPr="00380C00" w:rsidRDefault="00F02F76" w:rsidP="00670674">
                  <w:pPr>
                    <w:jc w:val="both"/>
                    <w:rPr>
                      <w:rFonts w:asciiTheme="majorBidi" w:hAnsiTheme="majorBidi" w:cstheme="majorBidi"/>
                      <w:sz w:val="18"/>
                      <w:szCs w:val="18"/>
                      <w:lang w:val="it-IT"/>
                    </w:rPr>
                  </w:pPr>
                  <w:r w:rsidRPr="00380C00">
                    <w:rPr>
                      <w:rFonts w:asciiTheme="majorBidi" w:hAnsiTheme="majorBidi" w:cstheme="majorBidi"/>
                      <w:sz w:val="18"/>
                      <w:szCs w:val="18"/>
                      <w:lang w:val="it-IT"/>
                    </w:rPr>
                    <w:t>„capacitate incrementală” înseamnă o posibilă creștere viitoare, prin intermediul unor proceduri bazate pe piață, a capacității tehnice sau a eventualei noi capacități create acolo unde în prezent nu există niciuna, care poate fi oferită pe baza unor investiții în infrastructura fizică sau a optimizării capacității pe termen lung și care poate fi alocată ulterior sub rezerva obținerii de rezultate pozitive la testul economic, în următoarele cazuri:</w:t>
                  </w:r>
                </w:p>
                <w:tbl>
                  <w:tblPr>
                    <w:tblW w:w="5000" w:type="pct"/>
                    <w:tblLayout w:type="fixed"/>
                    <w:tblCellMar>
                      <w:left w:w="0" w:type="dxa"/>
                      <w:right w:w="0" w:type="dxa"/>
                    </w:tblCellMar>
                    <w:tblLook w:val="04A0" w:firstRow="1" w:lastRow="0" w:firstColumn="1" w:lastColumn="0" w:noHBand="0" w:noVBand="1"/>
                  </w:tblPr>
                  <w:tblGrid>
                    <w:gridCol w:w="337"/>
                    <w:gridCol w:w="4610"/>
                  </w:tblGrid>
                  <w:tr w:rsidR="00F02F76" w:rsidRPr="00C27D66" w:rsidTr="00670674">
                    <w:tc>
                      <w:tcPr>
                        <w:tcW w:w="613"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607"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punctele de interconectare existente;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4"/>
                    <w:gridCol w:w="4743"/>
                  </w:tblGrid>
                  <w:tr w:rsidR="00F02F76" w:rsidRPr="00C27D66" w:rsidTr="00670674">
                    <w:tc>
                      <w:tcPr>
                        <w:tcW w:w="36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55"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prin instituirea unui nou punct sau a unor noi puncte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6"/>
                    <w:gridCol w:w="4821"/>
                  </w:tblGrid>
                  <w:tr w:rsidR="00F02F76" w:rsidRPr="00C27D66" w:rsidTr="00670674">
                    <w:tc>
                      <w:tcPr>
                        <w:tcW w:w="219"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w:t>
                        </w:r>
                      </w:p>
                    </w:tc>
                    <w:tc>
                      <w:tcPr>
                        <w:tcW w:w="900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drept capacitate fizică de flux inversat într-unul sau mai multe puncte de interconectare, care nu a mai fost oferită;</w:t>
                        </w:r>
                      </w:p>
                    </w:tc>
                  </w:tr>
                </w:tbl>
                <w:p w:rsidR="00F02F76" w:rsidRPr="00B91C10" w:rsidRDefault="00F02F76" w:rsidP="00670674">
                  <w:pPr>
                    <w:jc w:val="both"/>
                    <w:rPr>
                      <w:rFonts w:asciiTheme="majorBidi" w:hAnsiTheme="majorBidi" w:cstheme="majorBidi"/>
                      <w:sz w:val="18"/>
                      <w:szCs w:val="18"/>
                      <w:lang w:val="it-IT"/>
                    </w:rPr>
                  </w:pPr>
                </w:p>
              </w:tc>
            </w:tr>
          </w:tbl>
          <w:p w:rsidR="00F02F76" w:rsidRPr="00380C00" w:rsidRDefault="00F02F76" w:rsidP="00670674">
            <w:pPr>
              <w:jc w:val="both"/>
              <w:rPr>
                <w:rFonts w:asciiTheme="majorBidi" w:hAnsiTheme="majorBidi" w:cstheme="majorBidi"/>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380C0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 de interconectare” înseamnă un punct fizic sau virtual care conectează sisteme de intrare/ieșire adiacente sau care conectează un sistem de intrare/ieșire la o conductă de interconectare, în măsura în care aceste puncte fac obiectul unor proceduri de rezervare de către utilizatorii rețelei;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„mecanism alternativ de alocare” înseamnă un mecanism de alocare pentru nivelul de ofertă sau pentru capacitatea incrementală, conceput de la caz la caz de către operatorii de transport și de sistem și aprobat de autoritățile naționale de reglementare, pentru a răspunde solicitărilor de cerere condiționată;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„produs standard de capacitate” înseamnă un anumit volum de capacitate de transport într-o perioadă de timp dată, într-un punct de interconectare specificat;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 de ofertă” înseamnă suma capacității disponibile și a nivelului aferent de capacitate incrementală oferit pentru fiecare dintre produsele standard de capacitate anuală într-un punct de interconectare;</w:t>
                  </w:r>
                </w:p>
              </w:tc>
            </w:tr>
          </w:tbl>
          <w:p w:rsidR="00F02F76" w:rsidRPr="00380C00" w:rsidRDefault="00F02F76" w:rsidP="00670674">
            <w:pPr>
              <w:jc w:val="both"/>
              <w:rPr>
                <w:rFonts w:asciiTheme="majorBidi" w:hAnsiTheme="majorBidi" w:cstheme="majorBidi"/>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380C00" w:rsidRDefault="00F02F76" w:rsidP="00670674">
                  <w:pPr>
                    <w:jc w:val="both"/>
                    <w:rPr>
                      <w:rFonts w:asciiTheme="majorBidi" w:hAnsiTheme="majorBidi" w:cstheme="majorBidi"/>
                      <w:sz w:val="18"/>
                      <w:szCs w:val="18"/>
                      <w:lang w:val="it-IT"/>
                    </w:rPr>
                  </w:pPr>
                </w:p>
                <w:p w:rsidR="00F02F76" w:rsidRPr="00380C0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„metodă implicită de alocare” înseamnă o metodă de alocare a capacității prin care se alocă în același timp, eventual prin intermediul unei licitații, atât capacitatea de transport, cât și cantitatea de gaz corespunzătoare;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6"/>
              <w:gridCol w:w="4943"/>
            </w:tblGrid>
            <w:tr w:rsidR="00F02F76" w:rsidRPr="00C27D66" w:rsidTr="00670674">
              <w:tc>
                <w:tcPr>
                  <w:tcW w:w="14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w:t>
                  </w:r>
                </w:p>
              </w:tc>
              <w:tc>
                <w:tcPr>
                  <w:tcW w:w="921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„rundă de licitație” înseamnă perioada de timp în cursul căreia utilizatorii rețelei pot depune, modifica sau retrage oferte;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 mare de tarif” înseamnă o sumă fixă sau variabilă definită pentru un punct de interconectare și pentru un produs standard de capacitate;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„proiect de capacitate incrementală” înseamnă un proiect de mărire a volumului de capacitate tehnică într-un punct de interconectare existent sau de stabilire a unui nou punct de interconectare pe baza alocării capacității în cadrul procesului de capacitate incrementală precedent;</w:t>
                  </w:r>
                </w:p>
                <w:p w:rsidR="00F12C4B" w:rsidRPr="00B91C10" w:rsidRDefault="00F12C4B"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6"/>
              <w:gridCol w:w="4893"/>
            </w:tblGrid>
            <w:tr w:rsidR="00F02F76" w:rsidRPr="00B91C10" w:rsidTr="00670674">
              <w:tc>
                <w:tcPr>
                  <w:tcW w:w="23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10.</w:t>
                  </w:r>
                </w:p>
              </w:tc>
              <w:tc>
                <w:tcPr>
                  <w:tcW w:w="9119"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„test economic” înseamnă un test aplicat pentru a evalua viabilitatea economică a proiectelor de capacitate incrementală;</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11.</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 de capacitate incrementală” înseamnă un proces de evaluare a cererii de pe piață pentru capacitate incrementală, care include o etapă neobligatorie, în care utilizatorii rețelei își exprimă și își cuantifică cererea pentru capacitatea incrementală, și o etapă obligatorie, în care unul sau mai mulți operatori de transport și de sistem solicită utilizatorilor rețelei angajamente obligatorii pentru contractarea de capacitate;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12.</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 agregată” înseamnă un produs standard de capacitate oferit printr-un angajament ferm, care constă din capacitatea de intrare și de ieșire corespunzătoare de ambele părți ale fiecărui punct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13.</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„acord de interconectare” înseamnă un acord încheiat de operatorii de transport și de sistem adiacenți, ale căror sisteme sunt conectate într-un anumit punct de interconectare, care stabilește clauzele și condițiile, procedurile de operare și dispozițiile în ceea ce privește predarea și/sau preluarea de gaze în punctul de interconectare, cu scopul de a facilita interoperabilitatea eficientă a rețelelor de transport interconectate, astfel cum se stabilește în capitolul II din Regulamentul (UE) 2015/703;</w:t>
                  </w:r>
                </w:p>
                <w:p w:rsidR="00F12C4B"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14.</w:t>
                  </w:r>
                </w:p>
              </w:tc>
              <w:tc>
                <w:tcPr>
                  <w:tcW w:w="9130"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„capacități concurente” înseamnă capacitățile în cazul cărora capacitatea disponibilă într-un punct al rețelei nu poate fi alocată fără a se reduce integral sau parțial capacitatea disponibilă într-un alt punct al rețelei;</w:t>
                  </w: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15.</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„calendar al licitației” înseamnă un tabel cu informații privind licitațiile specifice care este publicat de ENTSOG până în luna ianuarie a fiecărui an calendaristic pentru licitațiile care au loc între luna martie și luna februarie a anului calendaristic următor și care constau din toate datele relevante pentru licitații, inclusiv datele de începere și produsele standard de capacitate cărora li se aplică;</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16.</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„zi gazieră” înseamnă perioada cuprinsă între ora 5.00 și ora 5.00 UTC a zilei următoare, pentru ora de iarnă, și între ora 4.00 și ora 4.00 UTC a zilei următoare, pentru ora de vară;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17.</w:t>
                  </w:r>
                </w:p>
              </w:tc>
              <w:tc>
                <w:tcPr>
                  <w:tcW w:w="9130"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„capacitate intra-zilnică” înseamnă capacitatea oferită și alocată după închiderea licitațiilor de capacitate pentru ziua următoare în ceea ce privește ziua respectivă;</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18.</w:t>
                  </w:r>
                </w:p>
              </w:tc>
              <w:tc>
                <w:tcPr>
                  <w:tcW w:w="9130"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„licitație cu preț crescător” înseamnă o licitație în care un utilizator al rețelei precizează cantitățile pentru care licitează în funcție de nivelurile de tarif definite, care sunt anunțate în mod secvențial;</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19.</w:t>
                  </w:r>
                </w:p>
              </w:tc>
              <w:tc>
                <w:tcPr>
                  <w:tcW w:w="9130"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„licitație cu preț uniform” înseamnă o licitație în care utilizatorul rețelei face o ofertă de preț și de cantitate, în cadrul unei singure runde de licitație, și toți utilizatorii rețelei care reușesc să obțină capacitate plătesc prețul celei mai mici oferte câștigătoare;</w:t>
                  </w:r>
                </w:p>
                <w:p w:rsidR="00F02F76" w:rsidRDefault="00F02F76" w:rsidP="00670674">
                  <w:pPr>
                    <w:jc w:val="both"/>
                    <w:rPr>
                      <w:rFonts w:asciiTheme="majorBidi" w:hAnsiTheme="majorBidi" w:cstheme="majorBidi"/>
                      <w:sz w:val="18"/>
                      <w:szCs w:val="18"/>
                    </w:rPr>
                  </w:pPr>
                </w:p>
                <w:p w:rsidR="00C302B1" w:rsidRPr="00B91C10" w:rsidRDefault="00C302B1"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1"/>
              <w:gridCol w:w="4798"/>
            </w:tblGrid>
            <w:tr w:rsidR="00F02F76" w:rsidRPr="00B91C10" w:rsidTr="00670674">
              <w:tc>
                <w:tcPr>
                  <w:tcW w:w="41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20.</w:t>
                  </w:r>
                </w:p>
              </w:tc>
              <w:tc>
                <w:tcPr>
                  <w:tcW w:w="8941"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„preț de rezervă” înseamnă prețul minim eligibil în cadrul licitației;</w:t>
                  </w:r>
                </w:p>
              </w:tc>
            </w:tr>
            <w:tr w:rsidR="00F02F76" w:rsidRPr="00B91C10" w:rsidTr="00670674">
              <w:tc>
                <w:tcPr>
                  <w:tcW w:w="414" w:type="dxa"/>
                  <w:shd w:val="clear" w:color="auto" w:fill="FFFFFF"/>
                </w:tcPr>
                <w:p w:rsidR="00F02F76" w:rsidRPr="00B91C10" w:rsidRDefault="00F02F76" w:rsidP="00670674">
                  <w:pPr>
                    <w:jc w:val="both"/>
                    <w:rPr>
                      <w:rFonts w:asciiTheme="majorBidi" w:hAnsiTheme="majorBidi" w:cstheme="majorBidi"/>
                      <w:sz w:val="18"/>
                      <w:szCs w:val="18"/>
                    </w:rPr>
                  </w:pPr>
                </w:p>
              </w:tc>
              <w:tc>
                <w:tcPr>
                  <w:tcW w:w="8941" w:type="dxa"/>
                  <w:shd w:val="clear" w:color="auto" w:fill="FFFFFF"/>
                </w:tcPr>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21.</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 mic de tarif” înseamnă o sumă fixă sau variabilă definită pentru fiecare punct de interconectare și pentru fiecare produs de capacitate standard, care este mai mică decât nivelul mare de tarif;</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22.</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„prima subcotare” înseamnă situația în care cererea agregată la nivelul tuturor utilizatorilor rețelei este mai mică decât capacitatea oferită la sfârșitul celei de a doua runde de licitație sau într-o rundă de licitație ulterioară;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23.</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 de interconectare virtual” înseamnă două sau mai multe puncte de interconectare care conectează aceleași două sisteme de intrare/ieșire adiacente, integrate pentru a furniza un serviciu de capacitate unic;</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24.</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„factor </w:t>
                  </w:r>
                  <w:r w:rsidRPr="00B91C10">
                    <w:rPr>
                      <w:rFonts w:asciiTheme="majorBidi" w:hAnsiTheme="majorBidi" w:cstheme="majorBidi"/>
                      <w:i/>
                      <w:iCs/>
                      <w:sz w:val="18"/>
                      <w:szCs w:val="18"/>
                      <w:lang w:val="en-GB"/>
                    </w:rPr>
                    <w:t>f</w:t>
                  </w:r>
                  <w:r w:rsidRPr="00B91C10">
                    <w:rPr>
                      <w:rFonts w:asciiTheme="majorBidi" w:hAnsiTheme="majorBidi" w:cstheme="majorBidi"/>
                      <w:sz w:val="18"/>
                      <w:szCs w:val="18"/>
                      <w:lang w:val="en-GB"/>
                    </w:rPr>
                    <w:t>” înseamnă partea din valoarea actuală a creșterii preconizate în ceea ce privește venitul autorizat sau venitul-țintă al operatorului de transport și de sistem asociat capacității incrementale incluse în nivelul de ofertă respectiv, astfel cum este stabilit la articolul 22 alineatul (1) litera (b), care urmează să fie acoperită de valoarea actuală a angajamentelor obligatorii ale utilizatorilor rețelei privind contractarea de capacitate, calculată conform dispozițiilor de la articolul 22 alineatul (1) litera (a);</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25.</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„supranominalizare” înseamnă dreptul utilizatorilor rețelei care îndeplinesc cerințele minime să depună nominalizări pentru a solicita capacitate întreruptibilă în orice moment al zilei prin depunerea unei nominalizări care sporește valoarea totală a nominalizărilor lor la un nivel mai mare decât capacitatea lor contractată.</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C709E1" w:rsidRDefault="00F02F76" w:rsidP="00670674">
            <w:pPr>
              <w:shd w:val="clear" w:color="auto" w:fill="FFFFFF"/>
              <w:spacing w:line="312" w:lineRule="atLeast"/>
              <w:jc w:val="center"/>
              <w:rPr>
                <w:rFonts w:asciiTheme="majorBidi" w:hAnsiTheme="majorBidi" w:cstheme="majorBidi"/>
                <w:b/>
                <w:iCs/>
                <w:sz w:val="18"/>
                <w:szCs w:val="18"/>
                <w:lang w:val="ro-RO"/>
              </w:rPr>
            </w:pPr>
            <w:r w:rsidRPr="00C709E1">
              <w:rPr>
                <w:rFonts w:asciiTheme="majorBidi" w:hAnsiTheme="majorBidi" w:cstheme="majorBidi"/>
                <w:b/>
                <w:iCs/>
                <w:sz w:val="18"/>
                <w:szCs w:val="18"/>
                <w:lang w:val="ro-RO"/>
              </w:rPr>
              <w:lastRenderedPageBreak/>
              <w:t>Titlul I</w:t>
            </w:r>
          </w:p>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C709E1">
              <w:rPr>
                <w:rFonts w:asciiTheme="majorBidi" w:hAnsiTheme="majorBidi" w:cstheme="majorBidi"/>
                <w:b/>
                <w:iCs/>
                <w:sz w:val="18"/>
                <w:szCs w:val="18"/>
                <w:lang w:val="ro-RO"/>
              </w:rPr>
              <w:t>Secțiunea 2</w:t>
            </w:r>
          </w:p>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r>
              <w:rPr>
                <w:rFonts w:asciiTheme="majorBidi" w:hAnsiTheme="majorBidi" w:cstheme="majorBidi"/>
                <w:b/>
                <w:iCs/>
                <w:sz w:val="18"/>
                <w:szCs w:val="18"/>
                <w:lang w:val="ro-RO"/>
              </w:rPr>
              <w:t>Termeni și noțiuni</w:t>
            </w:r>
          </w:p>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p>
          <w:p w:rsidR="00477A1B" w:rsidRDefault="00477A1B" w:rsidP="00670674">
            <w:pPr>
              <w:contextualSpacing/>
              <w:jc w:val="both"/>
              <w:rPr>
                <w:rFonts w:asciiTheme="majorBidi" w:hAnsiTheme="majorBidi" w:cstheme="majorBidi"/>
                <w:b/>
                <w:sz w:val="18"/>
                <w:szCs w:val="18"/>
                <w:lang w:val="ro-RO"/>
              </w:rPr>
            </w:pPr>
          </w:p>
          <w:p w:rsidR="00930133" w:rsidRDefault="00930133" w:rsidP="00670674">
            <w:pPr>
              <w:contextualSpacing/>
              <w:jc w:val="both"/>
              <w:rPr>
                <w:rFonts w:asciiTheme="majorBidi" w:hAnsiTheme="majorBidi" w:cstheme="majorBidi"/>
                <w:b/>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capacitate incrementală</w:t>
            </w:r>
            <w:r w:rsidRPr="00B91C10">
              <w:rPr>
                <w:rFonts w:asciiTheme="majorBidi" w:hAnsiTheme="majorBidi" w:cstheme="majorBidi"/>
                <w:sz w:val="18"/>
                <w:szCs w:val="18"/>
                <w:lang w:val="ro-RO"/>
              </w:rPr>
              <w:t xml:space="preserve"> –  posibilă viitoare creștere, prin intermediul unor proceduri bazate pe piață, a capacității tehnice sau i capacități</w:t>
            </w:r>
            <w:r>
              <w:rPr>
                <w:rFonts w:asciiTheme="majorBidi" w:hAnsiTheme="majorBidi" w:cstheme="majorBidi"/>
                <w:sz w:val="18"/>
                <w:szCs w:val="18"/>
                <w:lang w:val="ro-RO"/>
              </w:rPr>
              <w:t>i noi</w:t>
            </w:r>
            <w:r w:rsidRPr="00B91C10">
              <w:rPr>
                <w:rFonts w:asciiTheme="majorBidi" w:hAnsiTheme="majorBidi" w:cstheme="majorBidi"/>
                <w:sz w:val="18"/>
                <w:szCs w:val="18"/>
                <w:lang w:val="ro-RO"/>
              </w:rPr>
              <w:t xml:space="preserve"> create acolo unde în prezent nu există niciuna, care poate fi oferită pe baza unor investiții în infrastructura fizică sau a optimizării capacității pe termen lung și care poate fi alocată ulterior sub rezerva obținerii de rezultate pozitive la testul economic, în următoarele cazuri: </w:t>
            </w:r>
          </w:p>
          <w:p w:rsidR="00F02F76" w:rsidRPr="00B91C10" w:rsidRDefault="00F02F76" w:rsidP="00C302B1">
            <w:pPr>
              <w:pStyle w:val="ListParagraph"/>
              <w:numPr>
                <w:ilvl w:val="0"/>
                <w:numId w:val="38"/>
              </w:numPr>
              <w:tabs>
                <w:tab w:val="left" w:pos="41"/>
                <w:tab w:val="left" w:pos="289"/>
              </w:tabs>
              <w:suppressAutoHyphens w:val="0"/>
              <w:ind w:left="0" w:firstLine="0"/>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la punctele de interconectare existente;</w:t>
            </w:r>
          </w:p>
          <w:p w:rsidR="00F02F76" w:rsidRPr="00B91C10" w:rsidRDefault="00F02F76" w:rsidP="00C302B1">
            <w:pPr>
              <w:pStyle w:val="ListParagraph"/>
              <w:numPr>
                <w:ilvl w:val="0"/>
                <w:numId w:val="38"/>
              </w:numPr>
              <w:tabs>
                <w:tab w:val="left" w:pos="41"/>
                <w:tab w:val="left" w:pos="289"/>
              </w:tabs>
              <w:suppressAutoHyphens w:val="0"/>
              <w:ind w:left="0" w:firstLine="0"/>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prin instituirea unui nou punct sau a unor noi puncte de interconectare;</w:t>
            </w:r>
          </w:p>
          <w:p w:rsidR="00F02F76" w:rsidRPr="00B91C10" w:rsidRDefault="00F02F76" w:rsidP="00C302B1">
            <w:pPr>
              <w:pStyle w:val="ListParagraph"/>
              <w:numPr>
                <w:ilvl w:val="0"/>
                <w:numId w:val="38"/>
              </w:numPr>
              <w:tabs>
                <w:tab w:val="left" w:pos="41"/>
                <w:tab w:val="left" w:pos="289"/>
              </w:tabs>
              <w:suppressAutoHyphens w:val="0"/>
              <w:ind w:left="0" w:firstLine="0"/>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lastRenderedPageBreak/>
              <w:t>drept capacitate fizică de flux inversat într-unul sau mai multe puncte de interconectare, care nu a mai fost oferită anterior;</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punct de interconectare</w:t>
            </w:r>
            <w:r w:rsidRPr="00B91C10">
              <w:rPr>
                <w:rFonts w:asciiTheme="majorBidi" w:hAnsiTheme="majorBidi" w:cstheme="majorBidi"/>
                <w:sz w:val="18"/>
                <w:szCs w:val="18"/>
                <w:lang w:val="ro-RO"/>
              </w:rPr>
              <w:t xml:space="preserve"> – un punct fizic sau virtual care conectează sisteme de intrare/ieșire adiacente sau care conectează un sistem de intrare/ieșire la o conductă de interconectare, în măsura în care aceste puncte fac obiectul unor proceduri de rezervare de către utilizatorii de sistem;</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mecanism alternativ de alocare</w:t>
            </w:r>
            <w:r w:rsidRPr="00B91C10">
              <w:rPr>
                <w:rFonts w:asciiTheme="majorBidi" w:hAnsiTheme="majorBidi" w:cstheme="majorBidi"/>
                <w:sz w:val="18"/>
                <w:szCs w:val="18"/>
                <w:lang w:val="ro-RO"/>
              </w:rPr>
              <w:t xml:space="preserve"> – mecanism de alocare pentru nivelul de ofertă sau pentru capacitatea incrementală, conceput de la caz la caz de către OST și aprobat de </w:t>
            </w:r>
            <w:r w:rsidRPr="00B91C10">
              <w:rPr>
                <w:rFonts w:asciiTheme="majorBidi" w:hAnsiTheme="majorBidi" w:cstheme="majorBidi"/>
                <w:i/>
                <w:sz w:val="18"/>
                <w:szCs w:val="18"/>
                <w:lang w:val="ro-RO"/>
              </w:rPr>
              <w:t>Agenți</w:t>
            </w:r>
            <w:r>
              <w:rPr>
                <w:rFonts w:asciiTheme="majorBidi" w:hAnsiTheme="majorBidi" w:cstheme="majorBidi"/>
                <w:i/>
                <w:sz w:val="18"/>
                <w:szCs w:val="18"/>
                <w:lang w:val="ro-RO"/>
              </w:rPr>
              <w:t>r</w:t>
            </w:r>
            <w:r w:rsidRPr="00B91C10">
              <w:rPr>
                <w:rFonts w:asciiTheme="majorBidi" w:hAnsiTheme="majorBidi" w:cstheme="majorBidi"/>
                <w:sz w:val="18"/>
                <w:szCs w:val="18"/>
                <w:lang w:val="ro-RO"/>
              </w:rPr>
              <w:t>, pentru a răspunde solicitărilor de cerere condiționată;</w:t>
            </w:r>
          </w:p>
          <w:p w:rsidR="00F02F76" w:rsidRPr="00B91C10" w:rsidRDefault="00F02F76" w:rsidP="00670674">
            <w:pPr>
              <w:shd w:val="clear" w:color="auto" w:fill="FFFFFF"/>
              <w:rPr>
                <w:rFonts w:asciiTheme="majorBidi" w:hAnsiTheme="majorBidi" w:cstheme="majorBidi"/>
                <w:b/>
                <w:iCs/>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t>produs de capacitate standard (PSC)</w:t>
            </w:r>
            <w:r w:rsidRPr="00B91C10">
              <w:rPr>
                <w:rFonts w:asciiTheme="majorBidi" w:hAnsiTheme="majorBidi" w:cstheme="majorBidi"/>
                <w:sz w:val="18"/>
                <w:szCs w:val="18"/>
                <w:lang w:val="ro-RO"/>
              </w:rPr>
              <w:t xml:space="preserve"> –capacitate</w:t>
            </w:r>
            <w:r>
              <w:rPr>
                <w:rFonts w:asciiTheme="majorBidi" w:hAnsiTheme="majorBidi" w:cstheme="majorBidi"/>
                <w:sz w:val="18"/>
                <w:szCs w:val="18"/>
                <w:lang w:val="ro-RO"/>
              </w:rPr>
              <w:t>a</w:t>
            </w:r>
            <w:r w:rsidRPr="00B91C10">
              <w:rPr>
                <w:rFonts w:asciiTheme="majorBidi" w:hAnsiTheme="majorBidi" w:cstheme="majorBidi"/>
                <w:sz w:val="18"/>
                <w:szCs w:val="18"/>
                <w:lang w:val="ro-RO"/>
              </w:rPr>
              <w:t xml:space="preserve"> de transport într-o perioadă de timp dată, într-un punct de interconectare;</w:t>
            </w:r>
          </w:p>
          <w:p w:rsidR="00F02F76" w:rsidRPr="00B91C10" w:rsidRDefault="00F02F76" w:rsidP="00670674">
            <w:pPr>
              <w:shd w:val="clear" w:color="auto" w:fill="FFFFFF"/>
              <w:rPr>
                <w:rFonts w:asciiTheme="majorBidi" w:hAnsiTheme="majorBidi" w:cstheme="majorBidi"/>
                <w:sz w:val="18"/>
                <w:szCs w:val="18"/>
                <w:lang w:val="ro-RO"/>
              </w:rPr>
            </w:pPr>
          </w:p>
          <w:p w:rsidR="00F02F76" w:rsidRPr="00B91C10" w:rsidRDefault="00F02F76" w:rsidP="00670674">
            <w:pPr>
              <w:shd w:val="clear" w:color="auto" w:fill="FFFFFF"/>
              <w:rPr>
                <w:rFonts w:asciiTheme="majorBidi" w:hAnsiTheme="majorBidi" w:cstheme="majorBidi"/>
                <w:sz w:val="18"/>
                <w:szCs w:val="18"/>
                <w:lang w:val="it-IT"/>
              </w:rPr>
            </w:pPr>
            <w:r w:rsidRPr="00A64EA3">
              <w:rPr>
                <w:rFonts w:asciiTheme="majorBidi" w:hAnsiTheme="majorBidi" w:cstheme="majorBidi"/>
                <w:b/>
                <w:sz w:val="18"/>
                <w:szCs w:val="18"/>
                <w:lang w:val="it-IT"/>
              </w:rPr>
              <w:t>„nivel</w:t>
            </w:r>
            <w:r>
              <w:rPr>
                <w:rFonts w:asciiTheme="majorBidi" w:hAnsiTheme="majorBidi" w:cstheme="majorBidi"/>
                <w:b/>
                <w:sz w:val="18"/>
                <w:szCs w:val="18"/>
                <w:lang w:val="it-IT"/>
              </w:rPr>
              <w:t>ul</w:t>
            </w:r>
            <w:r w:rsidRPr="00A64EA3">
              <w:rPr>
                <w:rFonts w:asciiTheme="majorBidi" w:hAnsiTheme="majorBidi" w:cstheme="majorBidi"/>
                <w:b/>
                <w:sz w:val="18"/>
                <w:szCs w:val="18"/>
                <w:lang w:val="it-IT"/>
              </w:rPr>
              <w:t xml:space="preserve"> ofert</w:t>
            </w:r>
            <w:r>
              <w:rPr>
                <w:rFonts w:asciiTheme="majorBidi" w:hAnsiTheme="majorBidi" w:cstheme="majorBidi"/>
                <w:b/>
                <w:sz w:val="18"/>
                <w:szCs w:val="18"/>
                <w:lang w:val="it-IT"/>
              </w:rPr>
              <w:t>ei</w:t>
            </w:r>
            <w:r w:rsidRPr="00A64EA3">
              <w:rPr>
                <w:rFonts w:asciiTheme="majorBidi" w:hAnsiTheme="majorBidi" w:cstheme="majorBidi"/>
                <w:b/>
                <w:sz w:val="18"/>
                <w:szCs w:val="18"/>
                <w:lang w:val="it-IT"/>
              </w:rPr>
              <w:t>”</w:t>
            </w:r>
            <w:r w:rsidRPr="00B91C10">
              <w:rPr>
                <w:rFonts w:asciiTheme="majorBidi" w:hAnsiTheme="majorBidi" w:cstheme="majorBidi"/>
                <w:sz w:val="18"/>
                <w:szCs w:val="18"/>
                <w:lang w:val="it-IT"/>
              </w:rPr>
              <w:t xml:space="preserve"> suma capacității disponibile și a nivelului de capacitate incrementală oferit pentru fiecare dintre </w:t>
            </w:r>
            <w:r>
              <w:rPr>
                <w:rFonts w:asciiTheme="majorBidi" w:hAnsiTheme="majorBidi" w:cstheme="majorBidi"/>
                <w:sz w:val="18"/>
                <w:szCs w:val="18"/>
                <w:lang w:val="it-IT"/>
              </w:rPr>
              <w:t xml:space="preserve">PCS </w:t>
            </w:r>
            <w:r w:rsidRPr="00B91C10">
              <w:rPr>
                <w:rFonts w:asciiTheme="majorBidi" w:hAnsiTheme="majorBidi" w:cstheme="majorBidi"/>
                <w:sz w:val="18"/>
                <w:szCs w:val="18"/>
                <w:lang w:val="it-IT"/>
              </w:rPr>
              <w:t xml:space="preserve"> anuală într-un punct de interconectare;</w:t>
            </w:r>
          </w:p>
          <w:p w:rsidR="00F02F76" w:rsidRDefault="00F02F76" w:rsidP="00670674">
            <w:pPr>
              <w:contextualSpacing/>
              <w:jc w:val="both"/>
              <w:rPr>
                <w:rFonts w:asciiTheme="majorBidi" w:hAnsiTheme="majorBidi" w:cstheme="majorBidi"/>
                <w:b/>
                <w:sz w:val="18"/>
                <w:szCs w:val="18"/>
                <w:lang w:val="ro-RO"/>
              </w:rPr>
            </w:pPr>
          </w:p>
          <w:p w:rsidR="00477A1B" w:rsidRDefault="00477A1B" w:rsidP="00670674">
            <w:pPr>
              <w:contextualSpacing/>
              <w:jc w:val="both"/>
              <w:rPr>
                <w:rFonts w:asciiTheme="majorBidi" w:hAnsiTheme="majorBidi" w:cstheme="majorBidi"/>
                <w:b/>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metodă implicită de alocare</w:t>
            </w:r>
            <w:r w:rsidRPr="00B91C10">
              <w:rPr>
                <w:rFonts w:asciiTheme="majorBidi" w:hAnsiTheme="majorBidi" w:cstheme="majorBidi"/>
                <w:sz w:val="18"/>
                <w:szCs w:val="18"/>
                <w:lang w:val="ro-RO"/>
              </w:rPr>
              <w:t xml:space="preserve"> – metodă de alocare a capacității prin care se alocă în același timp, eventual prin intermediul unei licitații, atât capacitatea de transport, cât și cantitatea de gaz corespunzătoare;</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rundă de licitație</w:t>
            </w:r>
            <w:r w:rsidRPr="00B91C10">
              <w:rPr>
                <w:rFonts w:asciiTheme="majorBidi" w:hAnsiTheme="majorBidi" w:cstheme="majorBidi"/>
                <w:sz w:val="18"/>
                <w:szCs w:val="18"/>
                <w:lang w:val="ro-RO"/>
              </w:rPr>
              <w:t xml:space="preserve"> – perioada în cursul căreia utilizatorii de sistem pot depune, modifica sau retrage oferte;</w:t>
            </w:r>
          </w:p>
          <w:p w:rsidR="00F02F76" w:rsidRDefault="00F02F76" w:rsidP="00670674">
            <w:pPr>
              <w:shd w:val="clear" w:color="auto" w:fill="FFFFFF"/>
              <w:rPr>
                <w:rFonts w:asciiTheme="majorBidi" w:hAnsiTheme="majorBidi" w:cstheme="majorBidi"/>
                <w:b/>
                <w:iCs/>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nivel mare de tarif</w:t>
            </w:r>
            <w:r w:rsidRPr="00B91C10">
              <w:rPr>
                <w:rFonts w:asciiTheme="majorBidi" w:hAnsiTheme="majorBidi" w:cstheme="majorBidi"/>
                <w:sz w:val="18"/>
                <w:szCs w:val="18"/>
                <w:lang w:val="ro-RO"/>
              </w:rPr>
              <w:t xml:space="preserve"> –  sumă fixă sau variabilă definită pentru un punct de interconectare și pentru un PSC;</w:t>
            </w:r>
          </w:p>
          <w:p w:rsidR="00F02F76" w:rsidRPr="00B91C10" w:rsidRDefault="00F02F76" w:rsidP="00670674">
            <w:pPr>
              <w:shd w:val="clear" w:color="auto" w:fill="FFFFFF"/>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sz w:val="18"/>
                <w:szCs w:val="18"/>
                <w:lang w:val="ro-RO"/>
              </w:rPr>
            </w:pPr>
            <w:r w:rsidRPr="00B91C10">
              <w:rPr>
                <w:rFonts w:asciiTheme="majorBidi" w:hAnsiTheme="majorBidi" w:cstheme="majorBidi"/>
                <w:b/>
                <w:sz w:val="18"/>
                <w:szCs w:val="18"/>
                <w:lang w:val="ro-RO"/>
              </w:rPr>
              <w:t>proiect de capacitate incrementală</w:t>
            </w:r>
            <w:r w:rsidRPr="00B91C10">
              <w:rPr>
                <w:rFonts w:asciiTheme="majorBidi" w:hAnsiTheme="majorBidi" w:cstheme="majorBidi"/>
                <w:sz w:val="18"/>
                <w:szCs w:val="18"/>
                <w:lang w:val="ro-RO"/>
              </w:rPr>
              <w:t xml:space="preserve"> – proiect de mărire a capacității tehnice într-un punct de interconectare existent sau de stabilire a unui nou punct de interconectare pe baza alocării capacității în cadrul procesului de capacitate incrementală precedent;</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test economic</w:t>
            </w:r>
            <w:r w:rsidRPr="00B91C10">
              <w:rPr>
                <w:rFonts w:asciiTheme="majorBidi" w:hAnsiTheme="majorBidi" w:cstheme="majorBidi"/>
                <w:sz w:val="18"/>
                <w:szCs w:val="18"/>
                <w:lang w:val="ro-RO"/>
              </w:rPr>
              <w:t xml:space="preserve"> – test aplicat pentru a evalua viabilitatea economică a proiectelor de capacitate incrementală;</w:t>
            </w:r>
          </w:p>
          <w:p w:rsidR="00F02F76" w:rsidRPr="00B91C10" w:rsidRDefault="00F02F76" w:rsidP="00670674">
            <w:pPr>
              <w:shd w:val="clear" w:color="auto" w:fill="FFFFFF"/>
              <w:jc w:val="both"/>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b/>
                <w:iCs/>
                <w:sz w:val="18"/>
                <w:szCs w:val="18"/>
                <w:lang w:val="it-IT"/>
              </w:rPr>
            </w:pPr>
            <w:r w:rsidRPr="00B91C10">
              <w:rPr>
                <w:rFonts w:asciiTheme="majorBidi" w:hAnsiTheme="majorBidi" w:cstheme="majorBidi"/>
                <w:b/>
                <w:bCs/>
                <w:sz w:val="18"/>
                <w:szCs w:val="18"/>
                <w:lang w:val="it-IT"/>
              </w:rPr>
              <w:t>proces de capacitate incrementală</w:t>
            </w:r>
            <w:r w:rsidRPr="00B91C10">
              <w:rPr>
                <w:rFonts w:asciiTheme="majorBidi" w:hAnsiTheme="majorBidi" w:cstheme="majorBidi"/>
                <w:sz w:val="18"/>
                <w:szCs w:val="18"/>
                <w:lang w:val="it-IT"/>
              </w:rPr>
              <w:t xml:space="preserve"> – proces de evaluare a cererii de pe piaţă pentru capacitate incrementală, care include o etapă neobligatorie în care utilizatorii de sistem îşi exprimă şi îşi cuantifică cererea pentru capacitatea incrementală, şi o etapă obligatorie în care unul sau mai mulţi OST solicită utilizatorilor de sistem angajamente obligatorii pentru contractarea capacităţii;</w:t>
            </w:r>
          </w:p>
          <w:p w:rsidR="00F02F76" w:rsidRPr="00B91C10" w:rsidRDefault="00F02F76" w:rsidP="00670674">
            <w:pPr>
              <w:shd w:val="clear" w:color="auto" w:fill="FFFFFF"/>
              <w:jc w:val="both"/>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capacitate agregată</w:t>
            </w:r>
            <w:r w:rsidRPr="00B91C10">
              <w:rPr>
                <w:rFonts w:asciiTheme="majorBidi" w:hAnsiTheme="majorBidi" w:cstheme="majorBidi"/>
                <w:sz w:val="18"/>
                <w:szCs w:val="18"/>
                <w:lang w:val="ro-RO"/>
              </w:rPr>
              <w:t xml:space="preserve"> – PSC oferit printr-un angajament ferm, care constă din capacitatea de intrare și de ieșire corespunzătoare de ambele părți ale unui punct de interconectare;</w:t>
            </w:r>
          </w:p>
          <w:p w:rsidR="00F02F76" w:rsidRPr="00B91C10" w:rsidRDefault="00F02F76" w:rsidP="00670674">
            <w:pPr>
              <w:shd w:val="clear" w:color="auto" w:fill="FFFFFF"/>
              <w:jc w:val="both"/>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sz w:val="18"/>
                <w:szCs w:val="18"/>
                <w:lang w:val="ro-RO"/>
              </w:rPr>
            </w:pPr>
            <w:r w:rsidRPr="00B91C10">
              <w:rPr>
                <w:rFonts w:asciiTheme="majorBidi" w:hAnsiTheme="majorBidi" w:cstheme="majorBidi"/>
                <w:b/>
                <w:sz w:val="18"/>
                <w:szCs w:val="18"/>
                <w:lang w:val="ro-RO"/>
              </w:rPr>
              <w:t>acord de interconectare</w:t>
            </w:r>
            <w:r w:rsidRPr="00B91C10">
              <w:rPr>
                <w:rFonts w:asciiTheme="majorBidi" w:hAnsiTheme="majorBidi" w:cstheme="majorBidi"/>
                <w:sz w:val="18"/>
                <w:szCs w:val="18"/>
                <w:lang w:val="ro-RO"/>
              </w:rPr>
              <w:t xml:space="preserve"> – acord încheiat între OST adiacenți, ale căror sisteme sunt conectate într-un anumit punct de interconectare transfrontalier și care stabilește clauzele și condițiile, procedurile de operare și dispozițiile cu privire la predarea și/sau preluarea gazelor naturale cu scopul de a asigura interoperabilitatea eficientă a rețelelor de transport al gazelor naturale;</w:t>
            </w:r>
          </w:p>
          <w:p w:rsidR="00F02F76" w:rsidRDefault="00F02F76" w:rsidP="00670674">
            <w:pPr>
              <w:contextualSpacing/>
              <w:jc w:val="both"/>
              <w:rPr>
                <w:rFonts w:asciiTheme="majorBidi" w:hAnsiTheme="majorBidi" w:cstheme="majorBidi"/>
                <w:b/>
                <w:sz w:val="18"/>
                <w:szCs w:val="18"/>
                <w:lang w:val="ro-RO"/>
              </w:rPr>
            </w:pPr>
          </w:p>
          <w:p w:rsidR="00F02F76" w:rsidRDefault="00F02F76" w:rsidP="00670674">
            <w:pPr>
              <w:contextualSpacing/>
              <w:jc w:val="both"/>
              <w:rPr>
                <w:rFonts w:asciiTheme="majorBidi" w:hAnsiTheme="majorBidi" w:cstheme="majorBidi"/>
                <w:b/>
                <w:sz w:val="18"/>
                <w:szCs w:val="18"/>
                <w:lang w:val="ro-RO"/>
              </w:rPr>
            </w:pPr>
          </w:p>
          <w:p w:rsidR="00477A1B" w:rsidRPr="00B91C10" w:rsidRDefault="00477A1B" w:rsidP="00670674">
            <w:pPr>
              <w:contextualSpacing/>
              <w:jc w:val="both"/>
              <w:rPr>
                <w:rFonts w:asciiTheme="majorBidi" w:hAnsiTheme="majorBidi" w:cstheme="majorBidi"/>
                <w:b/>
                <w:sz w:val="18"/>
                <w:szCs w:val="18"/>
                <w:lang w:val="ro-RO"/>
              </w:rPr>
            </w:pPr>
          </w:p>
          <w:p w:rsidR="00F02F76"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capacități concurente</w:t>
            </w:r>
            <w:r w:rsidRPr="00B91C10">
              <w:rPr>
                <w:rFonts w:asciiTheme="majorBidi" w:hAnsiTheme="majorBidi" w:cstheme="majorBidi"/>
                <w:sz w:val="18"/>
                <w:szCs w:val="18"/>
                <w:lang w:val="ro-RO"/>
              </w:rPr>
              <w:t xml:space="preserve"> – capacitățile în cazul cărora capacitatea disponibilă într-un punct al rețelei nu poate fi alocată fără a se reduce integral sau parțial capacitatea disponibilă într-un alt punct al rețelei;</w:t>
            </w:r>
          </w:p>
          <w:p w:rsidR="00F02F76" w:rsidRPr="00B91C10" w:rsidRDefault="00F02F76" w:rsidP="00670674">
            <w:pPr>
              <w:contextualSpacing/>
              <w:jc w:val="both"/>
              <w:rPr>
                <w:rFonts w:asciiTheme="majorBidi" w:hAnsiTheme="majorBidi" w:cstheme="majorBidi"/>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t>calendar al licitației</w:t>
            </w:r>
            <w:r w:rsidRPr="00B91C10">
              <w:rPr>
                <w:rFonts w:asciiTheme="majorBidi" w:hAnsiTheme="majorBidi" w:cstheme="majorBidi"/>
                <w:sz w:val="18"/>
                <w:szCs w:val="18"/>
                <w:lang w:val="ro-RO"/>
              </w:rPr>
              <w:t xml:space="preserve"> – tabel cu informații privind licitațiile specifice care este publicat de ENTSO-G în fiecare an calendaristic pentru licitațiile care au loc între luna martie și luna februarie a anului calendaristic următor și care constau din toate datele pentru licitații, inclusiv datele de începere a licitațiilor și PSC cărora li se aplică;</w:t>
            </w:r>
          </w:p>
          <w:p w:rsidR="00F02F76" w:rsidRDefault="00F02F76" w:rsidP="00670674">
            <w:pPr>
              <w:contextualSpacing/>
              <w:jc w:val="both"/>
              <w:rPr>
                <w:rFonts w:asciiTheme="majorBidi" w:hAnsiTheme="majorBidi" w:cstheme="majorBidi"/>
                <w:b/>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zi gazieră</w:t>
            </w:r>
            <w:r w:rsidRPr="00B91C10">
              <w:rPr>
                <w:rFonts w:asciiTheme="majorBidi" w:hAnsiTheme="majorBidi" w:cstheme="majorBidi"/>
                <w:sz w:val="18"/>
                <w:szCs w:val="18"/>
                <w:lang w:val="ro-RO"/>
              </w:rPr>
              <w:t xml:space="preserve"> – perioada cuprinsă între ora 5.00 și ora 5.00 UTC a zilei următoare, pentru ora de iarnă, și între ora 4.00 și ora 4.00 UTC a zilei următoare, pentru ora de vară;</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capacitate intra-zilnică</w:t>
            </w:r>
            <w:r w:rsidRPr="00B91C10">
              <w:rPr>
                <w:rFonts w:asciiTheme="majorBidi" w:hAnsiTheme="majorBidi" w:cstheme="majorBidi"/>
                <w:sz w:val="18"/>
                <w:szCs w:val="18"/>
                <w:lang w:val="ro-RO"/>
              </w:rPr>
              <w:t xml:space="preserve"> – capacitatea oferită și alocată după închiderea licitațiilor de capacitate pentru ziua următoare cu referire la ziua respectivă;</w:t>
            </w:r>
          </w:p>
          <w:p w:rsidR="00F02F76" w:rsidRPr="00B91C10" w:rsidRDefault="00F02F76" w:rsidP="00670674">
            <w:pPr>
              <w:contextualSpacing/>
              <w:jc w:val="both"/>
              <w:rPr>
                <w:rFonts w:asciiTheme="majorBidi" w:hAnsiTheme="majorBidi" w:cstheme="majorBidi"/>
                <w:b/>
                <w:sz w:val="18"/>
                <w:szCs w:val="18"/>
                <w:lang w:val="ro-RO"/>
              </w:rPr>
            </w:pPr>
            <w:r w:rsidRPr="00B91C10">
              <w:rPr>
                <w:rFonts w:asciiTheme="majorBidi" w:hAnsiTheme="majorBidi" w:cstheme="majorBidi"/>
                <w:b/>
                <w:sz w:val="18"/>
                <w:szCs w:val="18"/>
                <w:lang w:val="ro-RO"/>
              </w:rPr>
              <w:t>licitație cu preț crescător</w:t>
            </w:r>
            <w:r w:rsidRPr="00B91C10">
              <w:rPr>
                <w:rFonts w:asciiTheme="majorBidi" w:hAnsiTheme="majorBidi" w:cstheme="majorBidi"/>
                <w:sz w:val="18"/>
                <w:szCs w:val="18"/>
                <w:lang w:val="ro-RO"/>
              </w:rPr>
              <w:t xml:space="preserve"> –  </w:t>
            </w:r>
            <w:r w:rsidRPr="00C33F84">
              <w:rPr>
                <w:lang w:val="ro-RO"/>
              </w:rPr>
              <w:t>licitaţie în care un utilizator de sistem precizează cantităţile pentru care licitează, în funcţie de nivelurile de preţ stabilite, care sunt anunţate în mod succesiv</w:t>
            </w:r>
            <w:r w:rsidRPr="00B91C10" w:rsidDel="000F14A8">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licitație cu preț uniform</w:t>
            </w:r>
            <w:r w:rsidRPr="00B91C10">
              <w:rPr>
                <w:rFonts w:asciiTheme="majorBidi" w:hAnsiTheme="majorBidi" w:cstheme="majorBidi"/>
                <w:sz w:val="18"/>
                <w:szCs w:val="18"/>
                <w:lang w:val="ro-RO"/>
              </w:rPr>
              <w:t xml:space="preserve"> –  licitație în care utilizatorul de retea face o ofertă de preț și de cantitate, în cadrul unei singure runde de licitație, și toți utilizatorii de sistem care reușesc să obțină capacitate plătesc prețul celei mai mici oferte câștigătoare;</w:t>
            </w:r>
          </w:p>
          <w:p w:rsidR="00F02F76" w:rsidRDefault="00F02F76" w:rsidP="00670674">
            <w:pPr>
              <w:shd w:val="clear" w:color="auto" w:fill="FFFFFF"/>
              <w:rPr>
                <w:rFonts w:asciiTheme="majorBidi" w:hAnsiTheme="majorBidi" w:cstheme="majorBidi"/>
                <w:b/>
                <w:sz w:val="18"/>
                <w:szCs w:val="18"/>
                <w:lang w:val="ro-RO"/>
              </w:rPr>
            </w:pPr>
          </w:p>
          <w:p w:rsidR="00C302B1" w:rsidRDefault="00C302B1" w:rsidP="00670674">
            <w:pPr>
              <w:shd w:val="clear" w:color="auto" w:fill="FFFFFF"/>
              <w:rPr>
                <w:rFonts w:asciiTheme="majorBidi" w:hAnsiTheme="majorBidi" w:cstheme="majorBidi"/>
                <w:b/>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t>preț de rezervă</w:t>
            </w:r>
            <w:r w:rsidRPr="00B91C10">
              <w:rPr>
                <w:rFonts w:asciiTheme="majorBidi" w:hAnsiTheme="majorBidi" w:cstheme="majorBidi"/>
                <w:sz w:val="18"/>
                <w:szCs w:val="18"/>
                <w:lang w:val="ro-RO"/>
              </w:rPr>
              <w:t xml:space="preserve"> – prețul minim eligibil în cadrul licitației;</w:t>
            </w:r>
          </w:p>
          <w:p w:rsidR="00F02F76" w:rsidRPr="00B91C10" w:rsidRDefault="00F02F76" w:rsidP="00670674">
            <w:pPr>
              <w:shd w:val="clear" w:color="auto" w:fill="FFFFFF"/>
              <w:rPr>
                <w:rFonts w:asciiTheme="majorBidi" w:hAnsiTheme="majorBidi" w:cstheme="majorBidi"/>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lastRenderedPageBreak/>
              <w:t>nivel mic de tarif</w:t>
            </w:r>
            <w:r w:rsidRPr="00B91C10">
              <w:rPr>
                <w:rFonts w:asciiTheme="majorBidi" w:hAnsiTheme="majorBidi" w:cstheme="majorBidi"/>
                <w:sz w:val="18"/>
                <w:szCs w:val="18"/>
                <w:lang w:val="ro-RO"/>
              </w:rPr>
              <w:t xml:space="preserve"> –  sumă fixă sau variabilă definită pentru fiecare punct de interconectare și pentru fiecare PSC, care este mai mică decât nivelul mare de tarif;</w:t>
            </w:r>
          </w:p>
          <w:p w:rsidR="00F02F76" w:rsidRPr="00B91C10" w:rsidRDefault="00F02F76" w:rsidP="00670674">
            <w:pPr>
              <w:shd w:val="clear" w:color="auto" w:fill="FFFFFF"/>
              <w:rPr>
                <w:rFonts w:asciiTheme="majorBidi" w:hAnsiTheme="majorBidi" w:cstheme="majorBidi"/>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prima subcotare</w:t>
            </w:r>
            <w:r w:rsidRPr="00B91C10">
              <w:rPr>
                <w:rFonts w:asciiTheme="majorBidi" w:hAnsiTheme="majorBidi" w:cstheme="majorBidi"/>
                <w:sz w:val="18"/>
                <w:szCs w:val="18"/>
                <w:lang w:val="ro-RO"/>
              </w:rPr>
              <w:t xml:space="preserve"> –situația în care cererea agregată la nivelul tuturor utilizatorilor de sistem este mai mică decât capacitatea oferită la sfârșitul celei de a doua runde de licitație sau într-o rundă de licitație ulterioară;</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punct de interconectare virtual</w:t>
            </w:r>
            <w:r w:rsidRPr="00B91C10">
              <w:rPr>
                <w:rFonts w:asciiTheme="majorBidi" w:hAnsiTheme="majorBidi" w:cstheme="majorBidi"/>
                <w:sz w:val="18"/>
                <w:szCs w:val="18"/>
                <w:lang w:val="ro-RO"/>
              </w:rPr>
              <w:t xml:space="preserve"> –</w:t>
            </w:r>
            <w:r>
              <w:rPr>
                <w:rFonts w:asciiTheme="majorBidi" w:hAnsiTheme="majorBidi" w:cstheme="majorBidi"/>
                <w:sz w:val="18"/>
                <w:szCs w:val="18"/>
                <w:lang w:val="ro-RO"/>
              </w:rPr>
              <w:t xml:space="preserve">2 </w:t>
            </w:r>
            <w:r w:rsidRPr="00B91C10">
              <w:rPr>
                <w:rFonts w:asciiTheme="majorBidi" w:hAnsiTheme="majorBidi" w:cstheme="majorBidi"/>
                <w:sz w:val="18"/>
                <w:szCs w:val="18"/>
                <w:lang w:val="ro-RO"/>
              </w:rPr>
              <w:t>sau mai multe puncte de interconectare</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care conectează </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sisteme de intrare/ieșire adiacente integrate</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pentru a furniza un serviciu de capacitate unic;</w:t>
            </w:r>
          </w:p>
          <w:p w:rsidR="00F02F76" w:rsidRPr="00B91C10" w:rsidRDefault="00F02F76" w:rsidP="00670674">
            <w:pPr>
              <w:contextualSpacing/>
              <w:jc w:val="both"/>
              <w:rPr>
                <w:rFonts w:asciiTheme="majorBidi" w:hAnsiTheme="majorBidi" w:cstheme="majorBidi"/>
                <w:sz w:val="18"/>
                <w:szCs w:val="18"/>
                <w:lang w:val="ro-RO"/>
              </w:rPr>
            </w:pPr>
          </w:p>
          <w:p w:rsidR="00F02F76" w:rsidRPr="00F12C4B" w:rsidRDefault="00F02F76" w:rsidP="00F12C4B">
            <w:pPr>
              <w:rPr>
                <w:rFonts w:asciiTheme="majorBidi" w:hAnsiTheme="majorBidi" w:cstheme="majorBidi"/>
                <w:sz w:val="18"/>
                <w:szCs w:val="18"/>
                <w:lang w:val="ro-RO"/>
              </w:rPr>
            </w:pPr>
            <w:r w:rsidRPr="00B91C10">
              <w:rPr>
                <w:rFonts w:asciiTheme="majorBidi" w:hAnsiTheme="majorBidi" w:cstheme="majorBidi"/>
                <w:b/>
                <w:sz w:val="18"/>
                <w:szCs w:val="18"/>
                <w:lang w:val="ro-RO"/>
              </w:rPr>
              <w:t>factor f</w:t>
            </w:r>
            <w:r w:rsidRPr="00B91C10">
              <w:rPr>
                <w:rFonts w:asciiTheme="majorBidi" w:hAnsiTheme="majorBidi" w:cstheme="majorBidi"/>
                <w:sz w:val="18"/>
                <w:szCs w:val="18"/>
                <w:lang w:val="ro-RO"/>
              </w:rPr>
              <w:t xml:space="preserve"> – partea din valoarea </w:t>
            </w:r>
            <w:r w:rsidRPr="00F12C4B">
              <w:rPr>
                <w:rFonts w:asciiTheme="majorBidi" w:hAnsiTheme="majorBidi" w:cstheme="majorBidi"/>
                <w:sz w:val="18"/>
                <w:szCs w:val="18"/>
                <w:lang w:val="ro-RO"/>
              </w:rPr>
              <w:t>actuală a creșterii preconizate a venitului reglementat sau venitului-țintă al OST asociat capacității incrementale incluse în nivelul de ofertă respectiv, astfel cum este stabilit la pct. 250, subpunctul 1)  litera b), care urmează să fie acoperită de valoarea actuală a angajamentelor obligatorii ale utilizatorilor de sistem privind contractarea capacității, calculată conform dispozițiilor de la pct. 250, subpunctul 1),  litera a);</w:t>
            </w:r>
          </w:p>
          <w:p w:rsidR="00F02F76" w:rsidRPr="00377A09" w:rsidRDefault="00F02F76" w:rsidP="00F12C4B">
            <w:pPr>
              <w:contextualSpacing/>
              <w:jc w:val="both"/>
              <w:rPr>
                <w:rFonts w:asciiTheme="majorBidi" w:hAnsiTheme="majorBidi" w:cstheme="majorBidi"/>
                <w:sz w:val="18"/>
                <w:szCs w:val="18"/>
                <w:lang w:val="ro-RO"/>
              </w:rPr>
            </w:pPr>
            <w:r w:rsidRPr="00F12C4B">
              <w:rPr>
                <w:rFonts w:asciiTheme="majorBidi" w:hAnsiTheme="majorBidi" w:cstheme="majorBidi"/>
                <w:b/>
                <w:sz w:val="18"/>
                <w:szCs w:val="18"/>
                <w:lang w:val="ro-RO"/>
              </w:rPr>
              <w:t>supranominalizare</w:t>
            </w:r>
            <w:r w:rsidRPr="00F12C4B">
              <w:rPr>
                <w:rFonts w:asciiTheme="majorBidi" w:hAnsiTheme="majorBidi" w:cstheme="majorBidi"/>
                <w:sz w:val="18"/>
                <w:szCs w:val="18"/>
                <w:lang w:val="ro-RO"/>
              </w:rPr>
              <w:t xml:space="preserve"> – dreptul utilizatorilor de sistem care îndeplinesc cerințele minime să depună nominalizări pentru a solicita capacitate întreruptibilă în orice moment al zilei prin depunerea unei nominalizări care sporește valoarea totală a nominalizărilor lor la un nivel mai mare decât</w:t>
            </w:r>
            <w:r w:rsidRPr="00B91C10">
              <w:rPr>
                <w:rFonts w:asciiTheme="majorBidi" w:hAnsiTheme="majorBidi" w:cstheme="majorBidi"/>
                <w:sz w:val="18"/>
                <w:szCs w:val="18"/>
                <w:lang w:val="ro-RO"/>
              </w:rPr>
              <w:t xml:space="preserve"> capacitatea lor contractată.</w:t>
            </w:r>
          </w:p>
          <w:p w:rsidR="00377A09" w:rsidRPr="00377A09" w:rsidRDefault="00377A09" w:rsidP="00377A09">
            <w:pPr>
              <w:pStyle w:val="NormalWeb"/>
              <w:ind w:firstLine="0"/>
              <w:rPr>
                <w:sz w:val="18"/>
                <w:szCs w:val="18"/>
                <w:lang w:val="it-IT"/>
              </w:rPr>
            </w:pPr>
            <w:r w:rsidRPr="00377A09">
              <w:rPr>
                <w:b/>
                <w:bCs/>
                <w:sz w:val="18"/>
                <w:szCs w:val="18"/>
                <w:lang w:val="it-IT"/>
              </w:rPr>
              <w:t>consumator protejat</w:t>
            </w:r>
            <w:r w:rsidRPr="00377A09">
              <w:rPr>
                <w:sz w:val="18"/>
                <w:szCs w:val="18"/>
                <w:lang w:val="it-IT"/>
              </w:rPr>
              <w:t xml:space="preserve"> – se consideră consumatori protejaţi următoarele categorii de consumatori finali:</w:t>
            </w:r>
          </w:p>
          <w:p w:rsidR="00377A09" w:rsidRPr="00377A09" w:rsidRDefault="00377A09" w:rsidP="00377A09">
            <w:pPr>
              <w:pStyle w:val="NormalWeb"/>
              <w:rPr>
                <w:sz w:val="18"/>
                <w:szCs w:val="18"/>
                <w:lang w:val="it-IT"/>
              </w:rPr>
            </w:pPr>
            <w:r w:rsidRPr="00377A09">
              <w:rPr>
                <w:sz w:val="18"/>
                <w:szCs w:val="18"/>
                <w:lang w:val="it-IT"/>
              </w:rPr>
              <w:t>1) consumatorii casnici, instalaţiile de utilizare ale cărora sunt racordate la o reţea de distribuţie a gazelor naturale;</w:t>
            </w:r>
          </w:p>
          <w:p w:rsidR="00377A09" w:rsidRPr="00377A09" w:rsidRDefault="00377A09" w:rsidP="00377A09">
            <w:pPr>
              <w:pStyle w:val="NormalWeb"/>
              <w:rPr>
                <w:sz w:val="18"/>
                <w:szCs w:val="18"/>
                <w:lang w:val="it-IT"/>
              </w:rPr>
            </w:pPr>
            <w:r w:rsidRPr="00377A09">
              <w:rPr>
                <w:sz w:val="18"/>
                <w:szCs w:val="18"/>
                <w:lang w:val="it-IT"/>
              </w:rPr>
              <w:t>2) întreprinderile şi instituţiile care prestează servicii sociale indispensabile (grădiniţele de copii, orfelinatele, instituţiile de învăţământ, instituţiile medicale, azilurile etc.) şi care sunt racordate la o reţea de distribuţie a gazelor naturale, cu condiţia ca consumul de gaze naturale al acestora să nu reprezinte, împreună, mai mult de 20% din consumul final total anual de gaze naturale din Republica Moldova;</w:t>
            </w:r>
          </w:p>
          <w:p w:rsidR="00377A09" w:rsidRPr="00377A09" w:rsidRDefault="00377A09" w:rsidP="00377A09">
            <w:pPr>
              <w:pStyle w:val="NormalWeb"/>
              <w:rPr>
                <w:sz w:val="18"/>
                <w:szCs w:val="18"/>
                <w:lang w:val="it-IT"/>
              </w:rPr>
            </w:pPr>
            <w:r w:rsidRPr="00377A09">
              <w:rPr>
                <w:sz w:val="18"/>
                <w:szCs w:val="18"/>
                <w:lang w:val="it-IT"/>
              </w:rPr>
              <w:t>3) centralele termice racordate la o reţea de transport sau de distribuţie a gazelor naturale, care livrează energie termică în sistemul centralizat de alimentare cu energie termică sau care livrează energie termică pentru consumatorii indicaţi la subpunctele 1) şi 2), cu condiţia că acestea nu pot utiliza alte tipuri de combustibil;</w:t>
            </w:r>
          </w:p>
          <w:p w:rsidR="00F02F76" w:rsidRPr="00377A09" w:rsidRDefault="00F02F76" w:rsidP="00670674">
            <w:pPr>
              <w:shd w:val="clear" w:color="auto" w:fill="FFFFFF"/>
              <w:rPr>
                <w:rFonts w:asciiTheme="majorBidi" w:hAnsiTheme="majorBidi" w:cstheme="majorBidi"/>
                <w:b/>
                <w:iCs/>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477A1B" w:rsidRPr="00B91C10" w:rsidRDefault="00477A1B" w:rsidP="00477A1B">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Pr="00B91C10" w:rsidRDefault="00477A1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Pr="00B91C10"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Default="00F12C4B" w:rsidP="00670674">
            <w:pPr>
              <w:jc w:val="both"/>
              <w:rPr>
                <w:rFonts w:asciiTheme="majorBidi" w:hAnsiTheme="majorBidi" w:cstheme="majorBidi"/>
                <w:sz w:val="18"/>
                <w:szCs w:val="18"/>
                <w:lang w:val="it-IT"/>
              </w:rPr>
            </w:pPr>
          </w:p>
          <w:p w:rsidR="00B92852" w:rsidRPr="00B91C10" w:rsidRDefault="00B92852"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Default="00F12C4B" w:rsidP="00670674">
            <w:pPr>
              <w:jc w:val="both"/>
              <w:rPr>
                <w:rFonts w:asciiTheme="majorBidi" w:hAnsiTheme="majorBidi" w:cstheme="majorBidi"/>
                <w:sz w:val="18"/>
                <w:szCs w:val="18"/>
                <w:lang w:val="it-IT"/>
              </w:rPr>
            </w:pPr>
          </w:p>
          <w:p w:rsidR="00F12C4B" w:rsidRPr="00B91C10"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477A1B" w:rsidRPr="00B91C10" w:rsidRDefault="00477A1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Default="00C302B1"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Pr="00B91C10" w:rsidRDefault="00377A09" w:rsidP="00670674">
            <w:pPr>
              <w:jc w:val="both"/>
              <w:rPr>
                <w:rFonts w:asciiTheme="majorBidi" w:hAnsiTheme="majorBidi" w:cstheme="majorBidi"/>
                <w:b/>
                <w:sz w:val="18"/>
                <w:szCs w:val="18"/>
                <w:lang w:val="en-GB"/>
              </w:rPr>
            </w:pPr>
            <w:r w:rsidRPr="00B91C10">
              <w:rPr>
                <w:rFonts w:asciiTheme="majorBidi" w:hAnsiTheme="majorBidi" w:cstheme="majorBidi"/>
                <w:sz w:val="18"/>
                <w:szCs w:val="18"/>
              </w:rPr>
              <w:t>Compatibil</w:t>
            </w:r>
          </w:p>
        </w:tc>
        <w:tc>
          <w:tcPr>
            <w:tcW w:w="4253" w:type="dxa"/>
          </w:tcPr>
          <w:p w:rsidR="00F02F76" w:rsidRPr="00481465" w:rsidRDefault="00F02F76" w:rsidP="00670674">
            <w:pPr>
              <w:jc w:val="center"/>
              <w:rPr>
                <w:rFonts w:asciiTheme="majorBidi" w:hAnsiTheme="majorBidi" w:cstheme="majorBidi"/>
                <w:sz w:val="18"/>
                <w:szCs w:val="18"/>
              </w:rPr>
            </w:pPr>
            <w:r w:rsidRPr="00481465">
              <w:rPr>
                <w:rFonts w:asciiTheme="majorBidi" w:hAnsiTheme="majorBidi" w:cstheme="majorBidi"/>
                <w:sz w:val="18"/>
                <w:szCs w:val="18"/>
              </w:rPr>
              <w:lastRenderedPageBreak/>
              <w:t>Article 3</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Definitions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For the purposes of this Regulation, the definitions and rules in Article 2 of Regulation (EC) No 715/2009, Article 3 and Article 24 of Commission Regulation (EU) 2017/460 and Article 2 Directive 2009/73/EC shall apply. In addition, the following definitions shall apply:</w:t>
            </w:r>
          </w:p>
          <w:p w:rsidR="00477A1B" w:rsidRDefault="00477A1B"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w:t>
            </w:r>
            <w:r w:rsidRPr="00B91C10">
              <w:rPr>
                <w:rFonts w:asciiTheme="majorBidi" w:hAnsiTheme="majorBidi" w:cstheme="majorBidi"/>
                <w:b/>
                <w:bCs/>
                <w:sz w:val="18"/>
                <w:szCs w:val="18"/>
              </w:rPr>
              <w:t>. ‘incremental capacity’</w:t>
            </w:r>
            <w:r w:rsidRPr="00B91C10">
              <w:rPr>
                <w:rFonts w:asciiTheme="majorBidi" w:hAnsiTheme="majorBidi" w:cstheme="majorBidi"/>
                <w:sz w:val="18"/>
                <w:szCs w:val="18"/>
              </w:rPr>
              <w:t xml:space="preserve"> means a possible future increase via market-based procedures in technical capacity or possible new capacity created where none currently exists that may be offered based on investment in physical infrastructure or long-term capacity optimisation and subsequently allocated subject to the positive outcome of an economic test, in the following cases: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at existing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by establishing a new interconnection point or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 as physical reverse flow capacity at an interconnection point or points, which has not been offered before;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w:t>
            </w:r>
            <w:r w:rsidRPr="00B91C10">
              <w:rPr>
                <w:rFonts w:asciiTheme="majorBidi" w:hAnsiTheme="majorBidi" w:cstheme="majorBidi"/>
                <w:b/>
                <w:bCs/>
                <w:sz w:val="18"/>
                <w:szCs w:val="18"/>
              </w:rPr>
              <w:t>‘interconnection point’</w:t>
            </w:r>
            <w:r w:rsidRPr="00B91C10">
              <w:rPr>
                <w:rFonts w:asciiTheme="majorBidi" w:hAnsiTheme="majorBidi" w:cstheme="majorBidi"/>
                <w:sz w:val="18"/>
                <w:szCs w:val="18"/>
              </w:rPr>
              <w:t xml:space="preserve"> means a physical or virtual point connecting adjacent entry-exit systems or connecting an entry-exit system with an interconnector, in so far as these points are subject to booking procedures by network users;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w:t>
            </w:r>
            <w:r w:rsidRPr="00B91C10">
              <w:rPr>
                <w:rFonts w:asciiTheme="majorBidi" w:hAnsiTheme="majorBidi" w:cstheme="majorBidi"/>
                <w:b/>
                <w:bCs/>
                <w:sz w:val="18"/>
                <w:szCs w:val="18"/>
              </w:rPr>
              <w:t>‘alternative allocation mechanism’</w:t>
            </w:r>
            <w:r w:rsidRPr="00B91C10">
              <w:rPr>
                <w:rFonts w:asciiTheme="majorBidi" w:hAnsiTheme="majorBidi" w:cstheme="majorBidi"/>
                <w:sz w:val="18"/>
                <w:szCs w:val="18"/>
              </w:rPr>
              <w:t xml:space="preserve"> means an allocation mechanism for offer level or incremental capacity designed on a case-by-case basis by the transmission system operators, and approved by the national regulatory authorities, to accommodate conditional demand requests;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w:t>
            </w:r>
            <w:r w:rsidRPr="00B91C10">
              <w:rPr>
                <w:rFonts w:asciiTheme="majorBidi" w:hAnsiTheme="majorBidi" w:cstheme="majorBidi"/>
                <w:b/>
                <w:bCs/>
                <w:sz w:val="18"/>
                <w:szCs w:val="18"/>
              </w:rPr>
              <w:t>‘standard capacity product’</w:t>
            </w:r>
            <w:r w:rsidRPr="00B91C10">
              <w:rPr>
                <w:rFonts w:asciiTheme="majorBidi" w:hAnsiTheme="majorBidi" w:cstheme="majorBidi"/>
                <w:sz w:val="18"/>
                <w:szCs w:val="18"/>
              </w:rPr>
              <w:t xml:space="preserve"> means a certain amount of transport capacity over a given period of time, at a specified interconnection point;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w:t>
            </w:r>
            <w:r w:rsidRPr="00B91C10">
              <w:rPr>
                <w:rFonts w:asciiTheme="majorBidi" w:hAnsiTheme="majorBidi" w:cstheme="majorBidi"/>
                <w:b/>
                <w:bCs/>
                <w:sz w:val="18"/>
                <w:szCs w:val="18"/>
              </w:rPr>
              <w:t>‘offer level’</w:t>
            </w:r>
            <w:r w:rsidRPr="00B91C10">
              <w:rPr>
                <w:rFonts w:asciiTheme="majorBidi" w:hAnsiTheme="majorBidi" w:cstheme="majorBidi"/>
                <w:sz w:val="18"/>
                <w:szCs w:val="18"/>
              </w:rPr>
              <w:t xml:space="preserve"> means the sum of the available capacity and the respective level of incremental capacity offered for each of the yearly standard capacity products at an interconnection point; </w:t>
            </w:r>
          </w:p>
          <w:p w:rsidR="00F12C4B" w:rsidRPr="00B91C10" w:rsidRDefault="00F12C4B"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 ‘</w:t>
            </w:r>
            <w:r w:rsidRPr="00B91C10">
              <w:rPr>
                <w:rFonts w:asciiTheme="majorBidi" w:hAnsiTheme="majorBidi" w:cstheme="majorBidi"/>
                <w:b/>
                <w:bCs/>
                <w:sz w:val="18"/>
                <w:szCs w:val="18"/>
              </w:rPr>
              <w:t>implicit allocation method’</w:t>
            </w:r>
            <w:r w:rsidRPr="00B91C10">
              <w:rPr>
                <w:rFonts w:asciiTheme="majorBidi" w:hAnsiTheme="majorBidi" w:cstheme="majorBidi"/>
                <w:sz w:val="18"/>
                <w:szCs w:val="18"/>
              </w:rPr>
              <w:t xml:space="preserve"> means a capacity allocation method where, possibly by means of an auction, both transmission capacity and a corresponding quantity of gas are allocated at the same time;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w:t>
            </w:r>
            <w:r w:rsidRPr="00B91C10">
              <w:rPr>
                <w:rFonts w:asciiTheme="majorBidi" w:hAnsiTheme="majorBidi" w:cstheme="majorBidi"/>
                <w:b/>
                <w:bCs/>
                <w:sz w:val="18"/>
                <w:szCs w:val="18"/>
              </w:rPr>
              <w:t>‘bidding round’</w:t>
            </w:r>
            <w:r w:rsidRPr="00B91C10">
              <w:rPr>
                <w:rFonts w:asciiTheme="majorBidi" w:hAnsiTheme="majorBidi" w:cstheme="majorBidi"/>
                <w:sz w:val="18"/>
                <w:szCs w:val="18"/>
              </w:rPr>
              <w:t xml:space="preserve"> means the period of time during which network users can submit, amend and withdraw bids;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w:t>
            </w:r>
            <w:r w:rsidRPr="00B91C10">
              <w:rPr>
                <w:rFonts w:asciiTheme="majorBidi" w:hAnsiTheme="majorBidi" w:cstheme="majorBidi"/>
                <w:b/>
                <w:bCs/>
                <w:sz w:val="18"/>
                <w:szCs w:val="18"/>
              </w:rPr>
              <w:t>‘large price step’</w:t>
            </w:r>
            <w:r w:rsidRPr="00B91C10">
              <w:rPr>
                <w:rFonts w:asciiTheme="majorBidi" w:hAnsiTheme="majorBidi" w:cstheme="majorBidi"/>
                <w:sz w:val="18"/>
                <w:szCs w:val="18"/>
              </w:rPr>
              <w:t xml:space="preserve"> means a fixed or variable amount that is defined per interconnection point and standard capacity product;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9. </w:t>
            </w:r>
            <w:r w:rsidRPr="00B91C10">
              <w:rPr>
                <w:rFonts w:asciiTheme="majorBidi" w:hAnsiTheme="majorBidi" w:cstheme="majorBidi"/>
                <w:b/>
                <w:bCs/>
                <w:sz w:val="18"/>
                <w:szCs w:val="18"/>
              </w:rPr>
              <w:t>‘incremental capacity project’</w:t>
            </w:r>
            <w:r w:rsidRPr="00B91C10">
              <w:rPr>
                <w:rFonts w:asciiTheme="majorBidi" w:hAnsiTheme="majorBidi" w:cstheme="majorBidi"/>
                <w:sz w:val="18"/>
                <w:szCs w:val="18"/>
              </w:rPr>
              <w:t xml:space="preserve"> means a project to increase the amount of technical capacity at an existing interconnection point or to establish a new interconnection point based on capacity allocation in the preceding incremental capacity process;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10. </w:t>
            </w:r>
            <w:r w:rsidRPr="00B91C10">
              <w:rPr>
                <w:rFonts w:asciiTheme="majorBidi" w:hAnsiTheme="majorBidi" w:cstheme="majorBidi"/>
                <w:b/>
                <w:bCs/>
                <w:sz w:val="18"/>
                <w:szCs w:val="18"/>
              </w:rPr>
              <w:t>‘economic test’</w:t>
            </w:r>
            <w:r w:rsidRPr="00B91C10">
              <w:rPr>
                <w:rFonts w:asciiTheme="majorBidi" w:hAnsiTheme="majorBidi" w:cstheme="majorBidi"/>
                <w:sz w:val="18"/>
                <w:szCs w:val="18"/>
              </w:rPr>
              <w:t xml:space="preserve"> means a test applied to assess the economic viability of incremental capacity projects;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11. </w:t>
            </w:r>
            <w:r w:rsidRPr="00B91C10">
              <w:rPr>
                <w:rFonts w:asciiTheme="majorBidi" w:hAnsiTheme="majorBidi" w:cstheme="majorBidi"/>
                <w:b/>
                <w:bCs/>
                <w:sz w:val="18"/>
                <w:szCs w:val="18"/>
              </w:rPr>
              <w:t>‘incremental capacity process’</w:t>
            </w:r>
            <w:r w:rsidRPr="00B91C10">
              <w:rPr>
                <w:rFonts w:asciiTheme="majorBidi" w:hAnsiTheme="majorBidi" w:cstheme="majorBidi"/>
                <w:sz w:val="18"/>
                <w:szCs w:val="18"/>
              </w:rPr>
              <w:t xml:space="preserve"> means a process to assess the market demand for incremental ca pacity that includes a non-binding phase, in which network users express and quantify their demand for incremental capacity, and a binding phase, in which binding commitments for contracting capacity are requested </w:t>
            </w:r>
            <w:r w:rsidRPr="00B91C10">
              <w:rPr>
                <w:rFonts w:asciiTheme="majorBidi" w:hAnsiTheme="majorBidi" w:cstheme="majorBidi"/>
                <w:sz w:val="18"/>
                <w:szCs w:val="18"/>
              </w:rPr>
              <w:lastRenderedPageBreak/>
              <w:t>from network users by one or more transmission system operators;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12. </w:t>
            </w:r>
            <w:r w:rsidRPr="00B91C10">
              <w:rPr>
                <w:rFonts w:asciiTheme="majorBidi" w:hAnsiTheme="majorBidi" w:cstheme="majorBidi"/>
                <w:b/>
                <w:bCs/>
                <w:sz w:val="18"/>
                <w:szCs w:val="18"/>
              </w:rPr>
              <w:t>‘bundled capacity’</w:t>
            </w:r>
            <w:r w:rsidRPr="00B91C10">
              <w:rPr>
                <w:rFonts w:asciiTheme="majorBidi" w:hAnsiTheme="majorBidi" w:cstheme="majorBidi"/>
                <w:sz w:val="18"/>
                <w:szCs w:val="18"/>
              </w:rPr>
              <w:t xml:space="preserve"> means a standard capacity product offered on a firm basis which consists of corresponding entry and exit capacity at both sides of every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13</w:t>
            </w:r>
            <w:r w:rsidRPr="00B91C10">
              <w:rPr>
                <w:rFonts w:asciiTheme="majorBidi" w:hAnsiTheme="majorBidi" w:cstheme="majorBidi"/>
                <w:b/>
                <w:bCs/>
                <w:sz w:val="18"/>
                <w:szCs w:val="18"/>
              </w:rPr>
              <w:t>. ‘interconnection agreement’</w:t>
            </w:r>
            <w:r w:rsidRPr="00B91C10">
              <w:rPr>
                <w:rFonts w:asciiTheme="majorBidi" w:hAnsiTheme="majorBidi" w:cstheme="majorBidi"/>
                <w:sz w:val="18"/>
                <w:szCs w:val="18"/>
              </w:rPr>
              <w:t xml:space="preserve"> means an agreement entered into by adjacent transmission system operators, whose systems are connected at a particular interconnection point, which specifies terms and conditions, operating procedures and provisions, in respect of delivery and/or withdrawal of gas at the interconnection point with the purpose of facilitating efficient interoperability of the interconnected transmission networks, as set out in Chapter II of Regulation (EU) 2015/703;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14. </w:t>
            </w:r>
            <w:r w:rsidRPr="00B91C10">
              <w:rPr>
                <w:rFonts w:asciiTheme="majorBidi" w:hAnsiTheme="majorBidi" w:cstheme="majorBidi"/>
                <w:b/>
                <w:bCs/>
                <w:sz w:val="18"/>
                <w:szCs w:val="18"/>
              </w:rPr>
              <w:t>‘competing capacities’</w:t>
            </w:r>
            <w:r w:rsidRPr="00B91C10">
              <w:rPr>
                <w:rFonts w:asciiTheme="majorBidi" w:hAnsiTheme="majorBidi" w:cstheme="majorBidi"/>
                <w:sz w:val="18"/>
                <w:szCs w:val="18"/>
              </w:rPr>
              <w:t xml:space="preserve"> means capacities for which the available capacity at one point of the net-work cannot be allocated without fully or partly reducing the available capacity at another point of the network;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15. </w:t>
            </w:r>
            <w:r w:rsidRPr="00B91C10">
              <w:rPr>
                <w:rFonts w:asciiTheme="majorBidi" w:hAnsiTheme="majorBidi" w:cstheme="majorBidi"/>
                <w:b/>
                <w:bCs/>
                <w:sz w:val="18"/>
                <w:szCs w:val="18"/>
              </w:rPr>
              <w:t>‘auction calendar’</w:t>
            </w:r>
            <w:r w:rsidRPr="00B91C10">
              <w:rPr>
                <w:rFonts w:asciiTheme="majorBidi" w:hAnsiTheme="majorBidi" w:cstheme="majorBidi"/>
                <w:sz w:val="18"/>
                <w:szCs w:val="18"/>
              </w:rPr>
              <w:t xml:space="preserve"> means a table displaying information relating to specific auctions which is pub-lished by ENTSOG every calendar year for auctions taking place during the period of March until February of the following calendar year and consisting of all relevant timings for auctions, including starting dates and standard capacity products to which they apply;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16. </w:t>
            </w:r>
            <w:r w:rsidRPr="00B91C10">
              <w:rPr>
                <w:rFonts w:asciiTheme="majorBidi" w:hAnsiTheme="majorBidi" w:cstheme="majorBidi"/>
                <w:b/>
                <w:bCs/>
                <w:sz w:val="18"/>
                <w:szCs w:val="18"/>
              </w:rPr>
              <w:t>‘gas day’</w:t>
            </w:r>
            <w:r w:rsidRPr="00B91C10">
              <w:rPr>
                <w:rFonts w:asciiTheme="majorBidi" w:hAnsiTheme="majorBidi" w:cstheme="majorBidi"/>
                <w:sz w:val="18"/>
                <w:szCs w:val="18"/>
              </w:rPr>
              <w:t xml:space="preserve"> means the period from 5.00 to 5.00 UTC the following day for winter time and from 4.00 to 4.00 UTC the following day when daylight saving is applied;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17. </w:t>
            </w:r>
            <w:r w:rsidRPr="00B91C10">
              <w:rPr>
                <w:rFonts w:asciiTheme="majorBidi" w:hAnsiTheme="majorBidi" w:cstheme="majorBidi"/>
                <w:b/>
                <w:bCs/>
                <w:sz w:val="18"/>
                <w:szCs w:val="18"/>
              </w:rPr>
              <w:t>‘within-day capacity’</w:t>
            </w:r>
            <w:r w:rsidRPr="00B91C10">
              <w:rPr>
                <w:rFonts w:asciiTheme="majorBidi" w:hAnsiTheme="majorBidi" w:cstheme="majorBidi"/>
                <w:sz w:val="18"/>
                <w:szCs w:val="18"/>
              </w:rPr>
              <w:t xml:space="preserve"> means capacity offered and allocated after the closure of the day-ahead capacity auctions with respect to that day;</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18</w:t>
            </w:r>
            <w:r w:rsidRPr="00B91C10">
              <w:rPr>
                <w:rFonts w:asciiTheme="majorBidi" w:hAnsiTheme="majorBidi" w:cstheme="majorBidi"/>
                <w:b/>
                <w:bCs/>
                <w:sz w:val="18"/>
                <w:szCs w:val="18"/>
              </w:rPr>
              <w:t>. ‘ascending clock auction’</w:t>
            </w:r>
            <w:r w:rsidRPr="00B91C10">
              <w:rPr>
                <w:rFonts w:asciiTheme="majorBidi" w:hAnsiTheme="majorBidi" w:cstheme="majorBidi"/>
                <w:sz w:val="18"/>
                <w:szCs w:val="18"/>
              </w:rPr>
              <w:t xml:space="preserve"> means an auction in which a network user places requested quantities against defined price steps, which are announced sequentially;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19. </w:t>
            </w:r>
            <w:r w:rsidRPr="00B91C10">
              <w:rPr>
                <w:rFonts w:asciiTheme="majorBidi" w:hAnsiTheme="majorBidi" w:cstheme="majorBidi"/>
                <w:b/>
                <w:bCs/>
                <w:sz w:val="18"/>
                <w:szCs w:val="18"/>
              </w:rPr>
              <w:t>‘uniform-price auction’</w:t>
            </w:r>
            <w:r w:rsidRPr="00B91C10">
              <w:rPr>
                <w:rFonts w:asciiTheme="majorBidi" w:hAnsiTheme="majorBidi" w:cstheme="majorBidi"/>
                <w:sz w:val="18"/>
                <w:szCs w:val="18"/>
              </w:rPr>
              <w:t xml:space="preserve"> means an auction in which the network user in a single bidding round bids price as well as quantity and all network users, who are successful in gaining capacity, pay the price of the lowest successful bid;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20. ‘</w:t>
            </w:r>
            <w:r w:rsidRPr="00B91C10">
              <w:rPr>
                <w:rFonts w:asciiTheme="majorBidi" w:hAnsiTheme="majorBidi" w:cstheme="majorBidi"/>
                <w:b/>
                <w:bCs/>
                <w:sz w:val="18"/>
                <w:szCs w:val="18"/>
              </w:rPr>
              <w:t>reserve price’ means</w:t>
            </w:r>
            <w:r w:rsidRPr="00B91C10">
              <w:rPr>
                <w:rFonts w:asciiTheme="majorBidi" w:hAnsiTheme="majorBidi" w:cstheme="majorBidi"/>
                <w:sz w:val="18"/>
                <w:szCs w:val="18"/>
              </w:rPr>
              <w:t xml:space="preserve"> the eligible floor price in the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21. </w:t>
            </w:r>
            <w:r w:rsidRPr="00B91C10">
              <w:rPr>
                <w:rFonts w:asciiTheme="majorBidi" w:hAnsiTheme="majorBidi" w:cstheme="majorBidi"/>
                <w:b/>
                <w:bCs/>
                <w:sz w:val="18"/>
                <w:szCs w:val="18"/>
              </w:rPr>
              <w:t>‘small price step’</w:t>
            </w:r>
            <w:r w:rsidRPr="00B91C10">
              <w:rPr>
                <w:rFonts w:asciiTheme="majorBidi" w:hAnsiTheme="majorBidi" w:cstheme="majorBidi"/>
                <w:sz w:val="18"/>
                <w:szCs w:val="18"/>
              </w:rPr>
              <w:t xml:space="preserve"> means a fixed or variable amount that is defined per interconnection point and standard </w:t>
            </w:r>
            <w:r w:rsidRPr="00B91C10">
              <w:rPr>
                <w:rFonts w:asciiTheme="majorBidi" w:hAnsiTheme="majorBidi" w:cstheme="majorBidi"/>
                <w:sz w:val="18"/>
                <w:szCs w:val="18"/>
              </w:rPr>
              <w:lastRenderedPageBreak/>
              <w:t xml:space="preserve">capacity product which is smaller than the large price step;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22. </w:t>
            </w:r>
            <w:r w:rsidRPr="00B91C10">
              <w:rPr>
                <w:rFonts w:asciiTheme="majorBidi" w:hAnsiTheme="majorBidi" w:cstheme="majorBidi"/>
                <w:b/>
                <w:bCs/>
                <w:sz w:val="18"/>
                <w:szCs w:val="18"/>
              </w:rPr>
              <w:t>‘first-time undersell’</w:t>
            </w:r>
            <w:r w:rsidRPr="00B91C10">
              <w:rPr>
                <w:rFonts w:asciiTheme="majorBidi" w:hAnsiTheme="majorBidi" w:cstheme="majorBidi"/>
                <w:sz w:val="18"/>
                <w:szCs w:val="18"/>
              </w:rPr>
              <w:t xml:space="preserve"> means an occurrence where the aggregate demand across all network users is less than the capacity offered at the end of the second bidding round or a subsequent bidding round; 2</w:t>
            </w:r>
          </w:p>
          <w:p w:rsidR="00F02F76" w:rsidRDefault="00F02F76" w:rsidP="00670674">
            <w:pPr>
              <w:jc w:val="both"/>
              <w:rPr>
                <w:rFonts w:cstheme="majorBidi"/>
                <w:sz w:val="18"/>
                <w:szCs w:val="18"/>
              </w:rPr>
            </w:pPr>
          </w:p>
          <w:p w:rsidR="00F02F76" w:rsidRPr="00B91C10" w:rsidRDefault="00F02F76" w:rsidP="00670674">
            <w:pPr>
              <w:jc w:val="both"/>
              <w:rPr>
                <w:rFonts w:asciiTheme="majorBidi" w:hAnsiTheme="majorBidi" w:cstheme="majorBidi"/>
                <w:sz w:val="18"/>
                <w:szCs w:val="18"/>
              </w:rPr>
            </w:pPr>
            <w:r>
              <w:rPr>
                <w:rFonts w:cstheme="majorBidi"/>
                <w:sz w:val="18"/>
                <w:szCs w:val="18"/>
              </w:rPr>
              <w:t>2</w:t>
            </w:r>
            <w:r w:rsidRPr="00B91C10">
              <w:rPr>
                <w:rFonts w:asciiTheme="majorBidi" w:hAnsiTheme="majorBidi" w:cstheme="majorBidi"/>
                <w:sz w:val="18"/>
                <w:szCs w:val="18"/>
              </w:rPr>
              <w:t>3</w:t>
            </w:r>
            <w:r w:rsidRPr="00B91C10">
              <w:rPr>
                <w:rFonts w:asciiTheme="majorBidi" w:hAnsiTheme="majorBidi" w:cstheme="majorBidi"/>
                <w:b/>
                <w:bCs/>
                <w:sz w:val="18"/>
                <w:szCs w:val="18"/>
              </w:rPr>
              <w:t>. ‘virtual interconnection point’</w:t>
            </w:r>
            <w:r w:rsidRPr="00B91C10">
              <w:rPr>
                <w:rFonts w:asciiTheme="majorBidi" w:hAnsiTheme="majorBidi" w:cstheme="majorBidi"/>
                <w:sz w:val="18"/>
                <w:szCs w:val="18"/>
              </w:rPr>
              <w:t xml:space="preserve"> means two or more interconnection points which connect the same two adjacent entry-exit systems, integrated together for the purposes of providing a single capacity service;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24. </w:t>
            </w:r>
            <w:r w:rsidRPr="00B91C10">
              <w:rPr>
                <w:rFonts w:asciiTheme="majorBidi" w:hAnsiTheme="majorBidi" w:cstheme="majorBidi"/>
                <w:b/>
                <w:bCs/>
                <w:sz w:val="18"/>
                <w:szCs w:val="18"/>
              </w:rPr>
              <w:t>‘f-factor’</w:t>
            </w:r>
            <w:r w:rsidRPr="00B91C10">
              <w:rPr>
                <w:rFonts w:asciiTheme="majorBidi" w:hAnsiTheme="majorBidi" w:cstheme="majorBidi"/>
                <w:sz w:val="18"/>
                <w:szCs w:val="18"/>
              </w:rPr>
              <w:t xml:space="preserve"> means the share of the present value of the estimated increase in the allowed or target revenue of the transmission system operator associated with the incremental capacity included in the respective offer level as set out in Article 22(1)(b) to be covered by the present value of binding commitments of network users for contracting capacity calculated as set out in Article 22(1)(a);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25. </w:t>
            </w:r>
            <w:r w:rsidRPr="00B91C10">
              <w:rPr>
                <w:rFonts w:asciiTheme="majorBidi" w:hAnsiTheme="majorBidi" w:cstheme="majorBidi"/>
                <w:b/>
                <w:bCs/>
                <w:sz w:val="18"/>
                <w:szCs w:val="18"/>
              </w:rPr>
              <w:t>‘over-nomination’</w:t>
            </w:r>
            <w:r w:rsidRPr="00B91C10">
              <w:rPr>
                <w:rFonts w:asciiTheme="majorBidi" w:hAnsiTheme="majorBidi" w:cstheme="majorBidi"/>
                <w:sz w:val="18"/>
                <w:szCs w:val="18"/>
              </w:rPr>
              <w:t xml:space="preserve"> means the entitlement of network users who fulfil minimum requirements for submitting nominations to request interruptible capacity at any time within-day by submitting a nomination which increases the total of their nominations to a level higher than their contracted capacity.</w:t>
            </w:r>
          </w:p>
          <w:p w:rsidR="00F02F76" w:rsidRPr="00B91C10" w:rsidRDefault="00F02F76" w:rsidP="00670674">
            <w:pPr>
              <w:jc w:val="both"/>
              <w:rPr>
                <w:rFonts w:asciiTheme="majorBidi" w:hAnsiTheme="majorBidi" w:cstheme="majorBidi"/>
                <w:sz w:val="18"/>
                <w:szCs w:val="18"/>
              </w:rPr>
            </w:pPr>
            <w:r w:rsidRPr="00377A09">
              <w:rPr>
                <w:rFonts w:asciiTheme="majorBidi" w:hAnsiTheme="majorBidi" w:cstheme="majorBidi"/>
                <w:b/>
                <w:bCs/>
                <w:sz w:val="18"/>
                <w:szCs w:val="18"/>
              </w:rPr>
              <w:t>26.‘protected customers’</w:t>
            </w:r>
            <w:r w:rsidRPr="00377A09">
              <w:rPr>
                <w:rFonts w:asciiTheme="majorBidi" w:hAnsiTheme="majorBidi" w:cstheme="majorBidi"/>
                <w:sz w:val="18"/>
                <w:szCs w:val="18"/>
              </w:rPr>
              <w:t xml:space="preserve"> means all household customers who is connected to a gas distribution network and, in addition, where the Contracting Party concerned so decides, may also mean one or more of the following, provided that enterprises or services as re4 COMMISSION REGULATION (EU) 2017/459 ferred to in points (a) and (b) do not, jointly, represent more than 20 % of the total annual final gas consumption in that Contracting Party (a) small and medium-sized enterprises, provided that they are connected to a gas distribution</w:t>
            </w:r>
            <w:r w:rsidRPr="00B91C10">
              <w:rPr>
                <w:rFonts w:asciiTheme="majorBidi" w:hAnsiTheme="majorBidi" w:cstheme="majorBidi"/>
                <w:sz w:val="18"/>
                <w:szCs w:val="18"/>
              </w:rPr>
              <w:t xml:space="preserve"> network;</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an essential social service, provided that it is connected to a gas distribution or transmission network;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(b) a district heating installation to the extent that it delivers heating to household customers, small or medium-sized enterprises, or essential social services, provided that such installation is not able to switch to other fuels than gas.</w:t>
            </w:r>
          </w:p>
        </w:tc>
      </w:tr>
      <w:tr w:rsidR="00F02F76" w:rsidRPr="00B91C10" w:rsidTr="00670674">
        <w:trPr>
          <w:trHeight w:val="2634"/>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II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PRINCIPII DE COOPERARE</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4</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Coordonarea întreținerii</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În cazul în care întreținerea unei conducte sau a unei părți a unei rețele de transport are un impact asupra volumului de capacitate de transport care poate fi oferit în punctele de interconectare, operatorul (operatorii) sistemului (sistemelor) de transport cooperează pe deplin cu operatorul (operatorii) sistemului (sistemelor) de transport adiacent (adiacente) în ceea ce privește planurile lor de întreținere, cu scopul de a reduce la minimum impactul asupra eventualelor fluxuri de gaze și asupra capacității într-un punct de interconectare.</w:t>
            </w:r>
          </w:p>
        </w:tc>
        <w:tc>
          <w:tcPr>
            <w:tcW w:w="4820" w:type="dxa"/>
          </w:tcPr>
          <w:p w:rsidR="00F02F76" w:rsidRPr="00B91C10" w:rsidRDefault="00F02F76" w:rsidP="00670674">
            <w:pPr>
              <w:shd w:val="clear" w:color="auto" w:fill="FFFFFF"/>
              <w:jc w:val="center"/>
              <w:rPr>
                <w:rFonts w:asciiTheme="majorBidi" w:hAnsiTheme="majorBidi" w:cstheme="majorBidi"/>
                <w:b/>
                <w:bCs/>
                <w:sz w:val="18"/>
                <w:szCs w:val="18"/>
                <w:lang w:val="ro-RO"/>
              </w:rPr>
            </w:pPr>
            <w:r>
              <w:rPr>
                <w:rFonts w:asciiTheme="majorBidi" w:hAnsiTheme="majorBidi" w:cstheme="majorBidi"/>
                <w:b/>
                <w:bCs/>
                <w:sz w:val="18"/>
                <w:szCs w:val="18"/>
                <w:lang w:val="ro-RO"/>
              </w:rPr>
              <w:t xml:space="preserve">Titlul IV </w:t>
            </w:r>
            <w:r w:rsidRPr="00B91C10">
              <w:rPr>
                <w:rFonts w:asciiTheme="majorBidi" w:hAnsiTheme="majorBidi" w:cstheme="majorBidi"/>
                <w:b/>
                <w:bCs/>
                <w:sz w:val="18"/>
                <w:szCs w:val="18"/>
                <w:lang w:val="ro-RO"/>
              </w:rPr>
              <w:t>CAPITOLUL II</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PRINCIPII DE COOPERARE</w:t>
            </w:r>
          </w:p>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Coordonarea întreținerii</w:t>
            </w:r>
          </w:p>
          <w:p w:rsidR="00F02F76" w:rsidRPr="00B91C10" w:rsidRDefault="00F02F76" w:rsidP="00670674">
            <w:pPr>
              <w:tabs>
                <w:tab w:val="left" w:pos="851"/>
              </w:tabs>
              <w:jc w:val="both"/>
              <w:outlineLvl w:val="0"/>
              <w:rPr>
                <w:rFonts w:asciiTheme="majorBidi" w:hAnsiTheme="majorBidi" w:cstheme="majorBidi"/>
                <w:b/>
                <w:iCs/>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.În cazul în care întreținerea unei </w:t>
            </w:r>
            <w:r>
              <w:rPr>
                <w:rFonts w:asciiTheme="majorBidi" w:hAnsiTheme="majorBidi" w:cstheme="majorBidi"/>
                <w:sz w:val="18"/>
                <w:szCs w:val="18"/>
                <w:lang w:val="ro-RO"/>
              </w:rPr>
              <w:t>rețele</w:t>
            </w:r>
            <w:r w:rsidRPr="00B91C10">
              <w:rPr>
                <w:rFonts w:asciiTheme="majorBidi" w:hAnsiTheme="majorBidi" w:cstheme="majorBidi"/>
                <w:sz w:val="18"/>
                <w:szCs w:val="18"/>
                <w:lang w:val="ro-RO"/>
              </w:rPr>
              <w:t xml:space="preserve"> sau a unei părți a unei rețele de transport are un impact asupra capacității </w:t>
            </w:r>
            <w:r>
              <w:rPr>
                <w:rFonts w:asciiTheme="majorBidi" w:hAnsiTheme="majorBidi" w:cstheme="majorBidi"/>
                <w:sz w:val="18"/>
                <w:szCs w:val="18"/>
                <w:lang w:val="ro-RO"/>
              </w:rPr>
              <w:t xml:space="preserve">rețelei </w:t>
            </w:r>
            <w:r w:rsidRPr="00B91C10">
              <w:rPr>
                <w:rFonts w:asciiTheme="majorBidi" w:hAnsiTheme="majorBidi" w:cstheme="majorBidi"/>
                <w:sz w:val="18"/>
                <w:szCs w:val="18"/>
                <w:lang w:val="ro-RO"/>
              </w:rPr>
              <w:t xml:space="preserve">de transport care poate fi oferită în punctele de interconectare, OST cooperează cu OST </w:t>
            </w:r>
            <w:r>
              <w:rPr>
                <w:rFonts w:asciiTheme="majorBidi" w:hAnsiTheme="majorBidi" w:cstheme="majorBidi"/>
                <w:sz w:val="18"/>
                <w:szCs w:val="18"/>
                <w:lang w:val="ro-RO"/>
              </w:rPr>
              <w:t xml:space="preserve">adiacenti  referitor la </w:t>
            </w:r>
            <w:r w:rsidRPr="00B91C10">
              <w:rPr>
                <w:rFonts w:asciiTheme="majorBidi" w:hAnsiTheme="majorBidi" w:cstheme="majorBidi"/>
                <w:sz w:val="18"/>
                <w:szCs w:val="18"/>
                <w:lang w:val="ro-RO"/>
              </w:rPr>
              <w:t>planurile lor de întreținere, cu scopul de a reduce la minimum impactul asupra eventualelor fluxuri de gaze naturale și asupra capacității într-un punct de interconectare.</w:t>
            </w:r>
          </w:p>
        </w:tc>
        <w:tc>
          <w:tcPr>
            <w:tcW w:w="1417" w:type="dxa"/>
          </w:tcPr>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Compatibil</w:t>
            </w: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CHAPTER II</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PRINCIPLES OF COOPERATION</w:t>
            </w:r>
          </w:p>
          <w:p w:rsidR="00F02F76" w:rsidRPr="00064865" w:rsidRDefault="00F02F76" w:rsidP="00670674">
            <w:pPr>
              <w:jc w:val="center"/>
              <w:rPr>
                <w:rFonts w:asciiTheme="majorBidi" w:hAnsiTheme="majorBidi" w:cstheme="majorBidi"/>
                <w:b/>
                <w:sz w:val="18"/>
                <w:szCs w:val="18"/>
              </w:rPr>
            </w:pPr>
            <w:r w:rsidRPr="00064865">
              <w:rPr>
                <w:rFonts w:asciiTheme="majorBidi" w:hAnsiTheme="majorBidi" w:cstheme="majorBidi"/>
                <w:b/>
                <w:sz w:val="18"/>
                <w:szCs w:val="18"/>
              </w:rPr>
              <w:t>Article 4</w:t>
            </w:r>
          </w:p>
          <w:p w:rsidR="00F02F76" w:rsidRPr="00064865" w:rsidRDefault="00F02F76" w:rsidP="00670674">
            <w:pPr>
              <w:jc w:val="center"/>
              <w:rPr>
                <w:rFonts w:asciiTheme="majorBidi" w:hAnsiTheme="majorBidi" w:cstheme="majorBidi"/>
                <w:b/>
                <w:bCs/>
                <w:sz w:val="18"/>
                <w:szCs w:val="18"/>
              </w:rPr>
            </w:pPr>
            <w:r w:rsidRPr="00064865">
              <w:rPr>
                <w:rFonts w:asciiTheme="majorBidi" w:hAnsiTheme="majorBidi" w:cstheme="majorBidi"/>
                <w:b/>
                <w:bCs/>
                <w:sz w:val="18"/>
                <w:szCs w:val="18"/>
              </w:rPr>
              <w:t>Coordination of maintenance</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Where maintenance of a pipeline or part of a transmission network has an impact on the amount of transmission capacity which can be offered at interconnection points, the transmission system operator(s) shall fully cooperate with their adjacent transmission system operator(s) regarding their respective maintenance plans in order to minimise the impact on potential gas flows and capacity at an interconnection point.</w:t>
            </w:r>
          </w:p>
        </w:tc>
      </w:tr>
      <w:tr w:rsidR="00F02F76" w:rsidRPr="00B91C10" w:rsidTr="00F12C4B">
        <w:trPr>
          <w:trHeight w:val="409"/>
        </w:trPr>
        <w:tc>
          <w:tcPr>
            <w:tcW w:w="5245" w:type="dxa"/>
          </w:tcPr>
          <w:p w:rsidR="00F02F76" w:rsidRPr="00B91C10" w:rsidRDefault="00F02F76" w:rsidP="00670674">
            <w:pPr>
              <w:shd w:val="clear" w:color="auto" w:fill="FFFFFF"/>
              <w:jc w:val="both"/>
              <w:rPr>
                <w:rFonts w:asciiTheme="majorBidi" w:hAnsiTheme="majorBidi" w:cstheme="majorBidi"/>
                <w:sz w:val="18"/>
                <w:szCs w:val="18"/>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5</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Standardizarea comunicării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transport și de sistem coordonează punerea în aplicare a procedurilor de comunicare standard, a sistemelor coordonate de informații și a comunicațiilor electronice online compatibile, cum ar fi formatele și protocoalele de schimb de date partajate, și stabilesc de comun acord principii cu privire la modul de prelucrare a acestor date.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Procedurile de comunicare standard includ, în special, procedurile referitoare la accesul utilizatorilor rețelei la sistemul de licitație al operatorilor de transport și de sistem sau la o platformă de rezervare relevantă, precum și revizuirea informațiilor privind licitația furnizate. Eșalonarea și conținutul datelor care urmează să facă obiectul schimbului trebuie să fie conforme cu dispozițiile stabilite în capitolul III.</w:t>
            </w:r>
          </w:p>
          <w:p w:rsidR="00F02F76" w:rsidRPr="00B91C10" w:rsidRDefault="00F02F76" w:rsidP="00670674">
            <w:pPr>
              <w:shd w:val="clear" w:color="auto" w:fill="FFFFFF"/>
              <w:jc w:val="both"/>
              <w:rPr>
                <w:rFonts w:asciiTheme="majorBidi" w:hAnsiTheme="majorBidi" w:cstheme="majorBidi"/>
                <w:i/>
                <w:iCs/>
                <w:sz w:val="18"/>
                <w:szCs w:val="18"/>
              </w:rPr>
            </w:pPr>
            <w:r w:rsidRPr="00B91C10">
              <w:rPr>
                <w:rFonts w:asciiTheme="majorBidi" w:hAnsiTheme="majorBidi" w:cstheme="majorBidi"/>
                <w:sz w:val="18"/>
                <w:szCs w:val="18"/>
                <w:lang w:val="it-IT"/>
              </w:rPr>
              <w:t xml:space="preserve">(3)   Procedurile de comunicare standard adoptate de operatorii de transport și de sistem includ un plan de punere în aplicare și durata aplicabilității, care trebuie să fie în conformitate cu dezvoltarea platformei (platformelor) de rezervare, astfel cum se prevede la articolul 37. </w:t>
            </w:r>
            <w:r w:rsidRPr="00B91C10">
              <w:rPr>
                <w:rFonts w:asciiTheme="majorBidi" w:hAnsiTheme="majorBidi" w:cstheme="majorBidi"/>
                <w:sz w:val="18"/>
                <w:szCs w:val="18"/>
                <w:lang w:val="en-GB"/>
              </w:rPr>
              <w:t>Operatorii de transport și de sistem asigură confidențialitatea informațiilor sensibile din punct de vedere commercial.</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2</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t>Standardizarea comunicării</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2</w:t>
            </w:r>
            <w:r w:rsidRPr="00B91C10">
              <w:rPr>
                <w:rFonts w:asciiTheme="majorBidi" w:hAnsiTheme="majorBidi" w:cstheme="majorBidi"/>
                <w:sz w:val="18"/>
                <w:szCs w:val="18"/>
                <w:lang w:val="ro-RO"/>
              </w:rPr>
              <w:t>.OST coordonează punerea în aplicare a procedurilor de comunicare standard, a sistemelor coordonate de informații și a comunicațiilor electronice online compatibile, cum ar fi formatele și protocoalele de schimb de date partajate, și stabilesc de comun acord, principii cu privire la modul de prelucrare a acestor date.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3</w:t>
            </w:r>
            <w:r w:rsidRPr="00B91C10">
              <w:rPr>
                <w:rFonts w:asciiTheme="majorBidi" w:hAnsiTheme="majorBidi" w:cstheme="majorBidi"/>
                <w:sz w:val="18"/>
                <w:szCs w:val="18"/>
                <w:lang w:val="ro-RO"/>
              </w:rPr>
              <w:t>.Procedurile de comunicare standard includ, în special, procedurile referitoare la accesul utilizatorilor de sistem la sistemul de licitație al OST sau la o platformă de rezervare relevantă, precum și revizuirea informațiilor privind licitația prezentate. Eșalonarea și conținutul datelor care urmează să facă obiectul schimbului trebuie să fie conforme cu dispozițiile stabilite în Capitolul III</w:t>
            </w:r>
            <w:r>
              <w:rPr>
                <w:rFonts w:asciiTheme="majorBidi" w:hAnsiTheme="majorBidi" w:cstheme="majorBidi"/>
                <w:sz w:val="18"/>
                <w:szCs w:val="18"/>
                <w:lang w:val="ro-RO"/>
              </w:rPr>
              <w:t xml:space="preserve"> din prezenrul Titlu</w:t>
            </w:r>
            <w:r w:rsidRPr="00B91C10">
              <w:rPr>
                <w:rFonts w:asciiTheme="majorBidi" w:hAnsiTheme="majorBidi" w:cstheme="majorBidi"/>
                <w:sz w:val="18"/>
                <w:szCs w:val="18"/>
                <w:lang w:val="ro-RO"/>
              </w:rPr>
              <w:t>.</w:t>
            </w:r>
          </w:p>
          <w:p w:rsidR="00F02F76" w:rsidRPr="00F12C4B" w:rsidRDefault="00F02F76" w:rsidP="00F12C4B">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.Procedurile de comunicare standard adoptate de OST includ un Plan de acțiuni și termenul depunere în aplicare, care trebuie să fie în conformitate cu dezvoltarea platformei (platformelor) de rezervare, astfel cum se prevede </w:t>
            </w:r>
            <w:r w:rsidRPr="00F12C4B">
              <w:rPr>
                <w:rFonts w:asciiTheme="majorBidi" w:hAnsiTheme="majorBidi" w:cstheme="majorBidi"/>
                <w:sz w:val="18"/>
                <w:szCs w:val="18"/>
                <w:lang w:val="ro-RO"/>
              </w:rPr>
              <w:t>la pct. 313-317. OST</w:t>
            </w:r>
            <w:r w:rsidRPr="00B91C10">
              <w:rPr>
                <w:rFonts w:asciiTheme="majorBidi" w:hAnsiTheme="majorBidi" w:cstheme="majorBidi"/>
                <w:sz w:val="18"/>
                <w:szCs w:val="18"/>
                <w:lang w:val="ro-RO"/>
              </w:rPr>
              <w:t xml:space="preserve"> asigură confidențialitatea informațiilor sensibile din punct de vedere comercial.</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E1C1C" w:rsidRDefault="00F02F76" w:rsidP="00670674">
            <w:pPr>
              <w:jc w:val="center"/>
              <w:rPr>
                <w:rFonts w:asciiTheme="majorBidi" w:hAnsiTheme="majorBidi" w:cstheme="majorBidi"/>
                <w:b/>
                <w:sz w:val="18"/>
                <w:szCs w:val="18"/>
              </w:rPr>
            </w:pPr>
            <w:r w:rsidRPr="00BE1C1C">
              <w:rPr>
                <w:rFonts w:asciiTheme="majorBidi" w:hAnsiTheme="majorBidi" w:cstheme="majorBidi"/>
                <w:b/>
                <w:sz w:val="18"/>
                <w:szCs w:val="18"/>
              </w:rPr>
              <w:t>Article 5</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Standardisation of communication</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Transmission system operators shall coordinate the implementation of standard communication procedures, coordinated information systems and compatible electronic on-line communications, such as shared data exchange formats and protocols, as well as agree principles as to how this data is treated.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Standard communication procedures shall include, in particular, those relating to network users’ access to the transmission system operators’ auction system or a relevant booking platform and the review of auction information provided. The timing and content of the data to be exchanged shall be compliant with the provisions set out in Chapter III.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The standard communication procedures adopted by transmission systems operators shall include an implementation plan and duration of applicability, which shall be in line with the development of booking platform(s) as set out in Article 37. Transmission systems operators shall ensure confidentiality of commercially sensitive information</w:t>
            </w:r>
          </w:p>
        </w:tc>
      </w:tr>
      <w:tr w:rsidR="00F02F76" w:rsidRPr="00B91C10" w:rsidTr="00670674">
        <w:trPr>
          <w:trHeight w:val="564"/>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t>Articolul 6</w:t>
            </w:r>
          </w:p>
          <w:p w:rsidR="00F02F76"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Calcularea și maximizarea capacității</w:t>
            </w:r>
          </w:p>
          <w:p w:rsidR="00F02F76" w:rsidRPr="00B91C10" w:rsidRDefault="00F02F76" w:rsidP="00670674">
            <w:pPr>
              <w:shd w:val="clear" w:color="auto" w:fill="FFFFFF"/>
              <w:jc w:val="center"/>
              <w:rPr>
                <w:rFonts w:asciiTheme="majorBidi" w:hAnsiTheme="majorBidi" w:cstheme="majorBidi"/>
                <w:b/>
                <w:bCs/>
                <w:sz w:val="18"/>
                <w:szCs w:val="18"/>
                <w:lang w:val="en-GB"/>
              </w:rPr>
            </w:pPr>
          </w:p>
          <w:p w:rsidR="00F02F76"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Capacitatea tehnică maximă este pusă la dispoziția utilizatorilor rețelei, ținând seama de integritatea sistemului, de siguranță și de exploatarea eficientă a rețelei.</w:t>
            </w:r>
          </w:p>
          <w:p w:rsidR="00F12C4B" w:rsidRPr="00B91C10" w:rsidRDefault="00F12C4B" w:rsidP="00670674">
            <w:pPr>
              <w:shd w:val="clear" w:color="auto" w:fill="FFFFFF"/>
              <w:jc w:val="both"/>
              <w:rPr>
                <w:rFonts w:asciiTheme="majorBidi" w:hAnsiTheme="majorBidi" w:cstheme="majorBidi"/>
                <w:sz w:val="18"/>
                <w:szCs w:val="18"/>
                <w:lang w:val="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Pentru a maximiza oferta de capacitate agregată prin optimizarea capacității tehnice, operatorii de transport și de sistem iau următoarele măsuri în punctele de interconectare, acordând prioritate punctelor de </w:t>
                  </w:r>
                  <w:r w:rsidRPr="00B91C10">
                    <w:rPr>
                      <w:rFonts w:asciiTheme="majorBidi" w:hAnsiTheme="majorBidi" w:cstheme="majorBidi"/>
                      <w:sz w:val="18"/>
                      <w:szCs w:val="18"/>
                      <w:lang w:val="it-IT"/>
                    </w:rPr>
                    <w:lastRenderedPageBreak/>
                    <w:t>interconectare unde există o congestie contractuală în conformitate cu punctul 2.2.3 alineatul (1) din anexa I la Regulamentul (CE) nr. 715/2009: operatorii de transport și de sistem elaborează și aplică o metodă comună, stabilind măsurile specifice care trebuie adoptate de operatorii de transport și de sistem respectivi pentru a realiza optimizarea necesară:</w:t>
                  </w: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w:t>
                        </w:r>
                      </w:p>
                    </w:tc>
                    <w:tc>
                      <w:tcPr>
                        <w:tcW w:w="9161"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metoda comună trebuie să includă o analiză aprofundată a capacităților tehnice, inclusiv a oricăror discrepanțe existente de ambele părți ale unui punct de interconectare, precum și acțiunile specifice și calendarul detaliat – incluzând posibilele implicații și aprobările reglementare necesare pentru recuperarea costurilor și ajustarea regimului de reglementare – necesare pentru a maximiza oferta de capacitate agregată. Aceste acțiuni specifice nu trebuie să afecteze în mod negativ oferta de capacitate în alte puncte relevante ale sistemelor în cauză și nici în punctele către rețelele de distribuție relevante pentru securitatea aprovizionării clienților finali, cum ar fi cele care deservesc instalațiile de depozitare, terminalele GNL și consumatorii protejați, astfel cum sunt definiți în Regulamentul (UE) nr. 994/2010 al Parlamentului European și al Consiliului</w:t>
                        </w:r>
                        <w:hyperlink r:id="rId18" w:anchor="ntr7-L_2017072RO.01000101-E0007" w:history="1">
                          <w:r w:rsidRPr="00B91C10">
                            <w:rPr>
                              <w:rFonts w:asciiTheme="majorBidi" w:hAnsiTheme="majorBidi" w:cstheme="majorBidi"/>
                              <w:sz w:val="18"/>
                              <w:szCs w:val="18"/>
                              <w:lang w:val="it-IT"/>
                            </w:rPr>
                            <w:t> (</w:t>
                          </w:r>
                          <w:r w:rsidRPr="00B91C10">
                            <w:rPr>
                              <w:rFonts w:asciiTheme="majorBidi" w:hAnsiTheme="majorBidi" w:cstheme="majorBidi"/>
                              <w:sz w:val="18"/>
                              <w:szCs w:val="18"/>
                              <w:vertAlign w:val="superscript"/>
                              <w:lang w:val="it-IT"/>
                            </w:rPr>
                            <w:t>7</w:t>
                          </w:r>
                          <w:r w:rsidRPr="00B91C10">
                            <w:rPr>
                              <w:rFonts w:asciiTheme="majorBidi" w:hAnsiTheme="majorBidi" w:cstheme="majorBidi"/>
                              <w:sz w:val="18"/>
                              <w:szCs w:val="18"/>
                              <w:lang w:val="it-IT"/>
                            </w:rPr>
                            <w:t>)</w:t>
                          </w:r>
                        </w:hyperlink>
                        <w:r w:rsidRPr="00B91C10">
                          <w:rPr>
                            <w:rFonts w:asciiTheme="majorBidi" w:hAnsiTheme="majorBidi" w:cstheme="majorBidi"/>
                            <w:sz w:val="18"/>
                            <w:szCs w:val="18"/>
                            <w:lang w:val="it-IT"/>
                          </w:rPr>
                          <w:t>;</w:t>
                        </w:r>
                      </w:p>
                      <w:p w:rsidR="00F12C4B" w:rsidRPr="00B91C10" w:rsidRDefault="00F12C4B"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metodologia de calcul și normele de punere la dispoziție a capacității, adoptate de operatorii de transport și de sistem, răspund unor situații specifice în care capacitățile concurente între sisteme implică puncte de interconectare și puncte de ieșire către instalații de depozitare;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B91C10"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această analiză aprofundată trebuie să ia în considerare ipotezele formulate în planul de dezvoltare a rețelei pe 10 ani la nivelul Uniunii, în temeiul articolului 8 din Regulamentul (CE) nr. 715/2009, planurile naționale de investiții, obligațiile relevante care derivă din legislația națională aplicabilă și orice alte obligații contractuale;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B91C10"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transport și de sistem relevanți aplică o abordare dinamică privind recalcularea capacității tehnice, în paralel, dacă este cazul, cu calcularea dinamică aplicată capacității suplimentare în temeiul punctului 2.2.2.2 din anexa I la Regulamentul (CE) nr. 715/2009, identificând în comun frecvența adecvată pentru recalcularea capacității pentru fiecare punct de interconectare și ținând cont de specificitățile acestora;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cadrul metodei comune, operatorii de transport și de sistem adiacenți consultă alți operatori de transport și de sistem care sunt afectați în mod specific de punctul de interconectare;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iau în considerare informațiile pe care utilizatorii rețelei le-ar putea oferi cu privire la fluxurile viitoare preconizate atunci când recalculează capacitatea tehnică.</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evaluează în comun cel puțin următorii parametri și, dacă este cazul, îi ajustează:</w:t>
                  </w:r>
                </w:p>
                <w:tbl>
                  <w:tblPr>
                    <w:tblW w:w="5000" w:type="pct"/>
                    <w:tblLayout w:type="fixed"/>
                    <w:tblCellMar>
                      <w:left w:w="0" w:type="dxa"/>
                      <w:right w:w="0" w:type="dxa"/>
                    </w:tblCellMar>
                    <w:tblLook w:val="04A0" w:firstRow="1" w:lastRow="0" w:firstColumn="1" w:lastColumn="0" w:noHBand="0" w:noVBand="1"/>
                  </w:tblPr>
                  <w:tblGrid>
                    <w:gridCol w:w="275"/>
                    <w:gridCol w:w="4712"/>
                  </w:tblGrid>
                  <w:tr w:rsidR="00F02F76" w:rsidRPr="00B91C10" w:rsidTr="00670674">
                    <w:tc>
                      <w:tcPr>
                        <w:tcW w:w="49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w:t>
                        </w:r>
                      </w:p>
                    </w:tc>
                    <w:tc>
                      <w:tcPr>
                        <w:tcW w:w="879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angajamentele privind presiunea;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6"/>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2.</w:t>
                        </w:r>
                      </w:p>
                    </w:tc>
                    <w:tc>
                      <w:tcPr>
                        <w:tcW w:w="915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toate scenariile relevante privind cererea și oferta, inclusiv detaliile privind condițiile climatice de referință și configurațiile de rețea asociate unor scenarii extreme;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477"/>
                    <w:gridCol w:w="4510"/>
                  </w:tblGrid>
                  <w:tr w:rsidR="00F02F76" w:rsidRPr="00C27D66" w:rsidTr="00670674">
                    <w:tc>
                      <w:tcPr>
                        <w:tcW w:w="874"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3.</w:t>
                        </w:r>
                      </w:p>
                    </w:tc>
                    <w:tc>
                      <w:tcPr>
                        <w:tcW w:w="8419"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puterea calorifică.</w:t>
                        </w:r>
                      </w:p>
                    </w:tc>
                  </w:tr>
                </w:tbl>
                <w:p w:rsidR="00F02F76" w:rsidRDefault="00F02F76" w:rsidP="00670674">
                  <w:pPr>
                    <w:rPr>
                      <w:rFonts w:asciiTheme="majorBidi" w:hAnsiTheme="majorBidi" w:cstheme="majorBidi"/>
                      <w:sz w:val="18"/>
                      <w:szCs w:val="18"/>
                      <w:lang w:val="it-IT"/>
                    </w:rPr>
                  </w:pPr>
                </w:p>
                <w:p w:rsidR="00F02F76" w:rsidRDefault="00F02F76" w:rsidP="00670674">
                  <w:pPr>
                    <w:rPr>
                      <w:rFonts w:asciiTheme="majorBidi" w:hAnsiTheme="majorBidi" w:cstheme="majorBidi"/>
                      <w:sz w:val="18"/>
                      <w:szCs w:val="18"/>
                      <w:lang w:val="it-IT"/>
                    </w:rPr>
                  </w:pPr>
                </w:p>
                <w:p w:rsidR="00F02F76"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(2)   În cazul în care optimizarea capacității tehnice generează costuri pentru operatorii de transport și de sistem, în special costuri care îi afectează în mod neuniform pe operatorii de transport și de sistem aflați de o parte și de alta a unui punct de interconectare, operatorilor de transport și de sistem li se permite să recupereze astfel de costuri suportate în mod eficient, prin intermediul cadrului de reglementare stabilit de autoritățile de reglementare relevante în conformitate cu articolul 13 din Regulamentul (CE) nr. 715/2009 și cu articolul 42 din Directiva 2009/73/CE. Se aplică articolul 8 alineatul (1) din Regulamentul (CE) nr. 713/2009.</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Dacă este cazul, autoritățile naționale de reglementare consultă utilizatorii rețelei privind metoda de calcul aplicată și abordarea comună.</w:t>
            </w:r>
          </w:p>
          <w:p w:rsidR="00F02F76" w:rsidRDefault="00F02F76" w:rsidP="00670674">
            <w:pPr>
              <w:shd w:val="clear" w:color="auto" w:fill="FFFFFF"/>
              <w:jc w:val="center"/>
              <w:rPr>
                <w:rFonts w:asciiTheme="majorBidi" w:hAnsiTheme="majorBidi" w:cstheme="majorBidi"/>
                <w:sz w:val="18"/>
                <w:szCs w:val="18"/>
                <w:lang w:val="it-IT"/>
              </w:rPr>
            </w:pPr>
          </w:p>
          <w:p w:rsidR="00F02F76" w:rsidRDefault="00F02F76" w:rsidP="00670674">
            <w:pPr>
              <w:shd w:val="clear" w:color="auto" w:fill="FFFFFF"/>
              <w:jc w:val="center"/>
              <w:rPr>
                <w:rFonts w:asciiTheme="majorBidi" w:hAnsiTheme="majorBidi" w:cstheme="majorBidi"/>
                <w:sz w:val="18"/>
                <w:szCs w:val="18"/>
                <w:lang w:val="it-IT"/>
              </w:rPr>
            </w:pPr>
          </w:p>
          <w:p w:rsidR="00F02F76" w:rsidRDefault="00F02F76" w:rsidP="00670674">
            <w:pPr>
              <w:shd w:val="clear" w:color="auto" w:fill="FFFFFF"/>
              <w:jc w:val="center"/>
              <w:rPr>
                <w:rFonts w:asciiTheme="majorBidi" w:hAnsiTheme="majorBidi" w:cstheme="majorBidi"/>
                <w:sz w:val="18"/>
                <w:szCs w:val="18"/>
                <w:lang w:val="it-IT"/>
              </w:rPr>
            </w:pPr>
          </w:p>
          <w:p w:rsidR="00F02F76" w:rsidRDefault="00F02F76" w:rsidP="00670674">
            <w:pPr>
              <w:shd w:val="clear" w:color="auto" w:fill="FFFFFF"/>
              <w:jc w:val="center"/>
              <w:rPr>
                <w:rFonts w:asciiTheme="majorBidi" w:hAnsiTheme="majorBidi" w:cstheme="majorBidi"/>
                <w:sz w:val="18"/>
                <w:szCs w:val="18"/>
                <w:lang w:val="it-IT"/>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sz w:val="18"/>
                <w:szCs w:val="18"/>
                <w:lang w:val="it-IT"/>
              </w:rPr>
              <w:t>(4)   Variațiile volumului de capacitate agregată oferită în punctele de interconectare ca urmare a procedurii menționate la alineatul (1) sunt incluse în raportul Agenției publicat în temeiul punctului 2.2.1 alineatul (2) din anexa I la Regulamentul (CE) nr. 715/2009.</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 3</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Calcularea și </w:t>
            </w:r>
            <w:r>
              <w:rPr>
                <w:rFonts w:asciiTheme="majorBidi" w:hAnsiTheme="majorBidi" w:cstheme="majorBidi"/>
                <w:b/>
                <w:bCs/>
                <w:sz w:val="18"/>
                <w:szCs w:val="18"/>
                <w:lang w:val="ro-RO"/>
              </w:rPr>
              <w:t>optimi</w:t>
            </w:r>
            <w:r w:rsidRPr="00B91C10">
              <w:rPr>
                <w:rFonts w:asciiTheme="majorBidi" w:hAnsiTheme="majorBidi" w:cstheme="majorBidi"/>
                <w:b/>
                <w:bCs/>
                <w:sz w:val="18"/>
                <w:szCs w:val="18"/>
                <w:lang w:val="ro-RO"/>
              </w:rPr>
              <w:t>zarea capacității</w:t>
            </w:r>
          </w:p>
          <w:p w:rsidR="00F02F76" w:rsidRPr="00B91C10" w:rsidRDefault="00F02F76" w:rsidP="00670674">
            <w:pPr>
              <w:shd w:val="clear" w:color="auto" w:fill="FFFFFF"/>
              <w:jc w:val="center"/>
              <w:rPr>
                <w:rFonts w:asciiTheme="majorBidi" w:hAnsiTheme="majorBidi" w:cstheme="majorBidi"/>
                <w:b/>
                <w:bCs/>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5</w:t>
            </w:r>
            <w:r w:rsidRPr="00B91C10">
              <w:rPr>
                <w:rFonts w:asciiTheme="majorBidi" w:hAnsiTheme="majorBidi" w:cstheme="majorBidi"/>
                <w:sz w:val="18"/>
                <w:szCs w:val="18"/>
                <w:lang w:val="ro-RO"/>
              </w:rPr>
              <w:t>.Capacitatea tehnică maximă este pusă la dispoziția utilizatorilor de sistem, ținând seama de integritatea sistemului, de siguranță și de exploatarea eficientă a rețelei.</w:t>
            </w:r>
          </w:p>
          <w:p w:rsidR="00F12C4B" w:rsidRPr="00B91C10" w:rsidRDefault="00F12C4B"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6</w:t>
            </w:r>
            <w:r w:rsidRPr="00B91C10">
              <w:rPr>
                <w:rFonts w:asciiTheme="majorBidi" w:hAnsiTheme="majorBidi" w:cstheme="majorBidi"/>
                <w:sz w:val="18"/>
                <w:szCs w:val="18"/>
                <w:lang w:val="ro-RO"/>
              </w:rPr>
              <w:t xml:space="preserve">.Pentru a maximiza oferta de capacitate agregată prin optimizarea capacității tehnice, OST iau următoarele măsuri în punctele de interconectare, acordând prioritate punctelor de </w:t>
            </w:r>
            <w:r w:rsidRPr="00B91C10">
              <w:rPr>
                <w:rFonts w:asciiTheme="majorBidi" w:hAnsiTheme="majorBidi" w:cstheme="majorBidi"/>
                <w:sz w:val="18"/>
                <w:szCs w:val="18"/>
                <w:lang w:val="ro-RO"/>
              </w:rPr>
              <w:lastRenderedPageBreak/>
              <w:t>interconectare unde există o congestie contractuală în conformitate cu Regulamentul privind accesul la rețelele de transport a gazelor naturale și gestionarea congestiilor</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OST elaborează și aplică o metodă comună, stabilind măsurile specifice care trebuie adoptate de OST pentru a realiza optimizarea necesară:</w:t>
            </w:r>
          </w:p>
          <w:p w:rsidR="00F12C4B" w:rsidRDefault="00F12C4B" w:rsidP="00670674">
            <w:pPr>
              <w:tabs>
                <w:tab w:val="left" w:pos="851"/>
              </w:tabs>
              <w:jc w:val="both"/>
              <w:outlineLvl w:val="0"/>
              <w:rPr>
                <w:rFonts w:asciiTheme="majorBidi" w:hAnsiTheme="majorBidi" w:cstheme="majorBidi"/>
                <w:sz w:val="18"/>
                <w:szCs w:val="18"/>
                <w:lang w:val="ro-RO"/>
              </w:rPr>
            </w:pPr>
          </w:p>
          <w:p w:rsidR="00F12C4B" w:rsidRPr="00B91C10" w:rsidRDefault="00F12C4B" w:rsidP="00670674">
            <w:pPr>
              <w:tabs>
                <w:tab w:val="left" w:pos="851"/>
              </w:tabs>
              <w:jc w:val="both"/>
              <w:outlineLvl w:val="0"/>
              <w:rPr>
                <w:rFonts w:asciiTheme="majorBidi" w:hAnsiTheme="majorBidi" w:cstheme="majorBidi"/>
                <w:sz w:val="18"/>
                <w:szCs w:val="18"/>
                <w:lang w:val="ro-RO"/>
              </w:rPr>
            </w:pPr>
          </w:p>
          <w:p w:rsidR="00F02F76"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metoda comună trebuie să includă o analiză aprofundată a capacităților tehnice, inclusiv a oricăror di</w:t>
            </w:r>
            <w:r>
              <w:rPr>
                <w:rFonts w:asciiTheme="majorBidi" w:eastAsia="Times New Roman" w:hAnsiTheme="majorBidi" w:cstheme="majorBidi"/>
                <w:sz w:val="18"/>
                <w:szCs w:val="18"/>
                <w:lang w:val="ro-RO" w:eastAsia="ru-RU"/>
              </w:rPr>
              <w:t>fere</w:t>
            </w:r>
            <w:r w:rsidRPr="00B91C10">
              <w:rPr>
                <w:rFonts w:asciiTheme="majorBidi" w:eastAsia="Times New Roman" w:hAnsiTheme="majorBidi" w:cstheme="majorBidi"/>
                <w:sz w:val="18"/>
                <w:szCs w:val="18"/>
                <w:lang w:val="ro-RO" w:eastAsia="ru-RU"/>
              </w:rPr>
              <w:t>nțe existente de ambele părți ale unui punct de interconectare, precum și acțiunile specifice și calendarul detaliat – incluzând posibilele implicații și aprobările regulatorii necesare pentru recuperarea costurilor și ajustarea regimului de reglementare pentru a maximiza oferta de capacitate agregată. Aceste acțiuni specifice nu trebuie să afecteze în mod negativ oferta de capacitate în alte puncte relevante ale rețelelor în cauză și nici în punctele către rețelele de distribuție relevante pentru securitatea aprovizionării consumatorii finali, cum ar fi cele care deservesc instalațiile de depozitare, terminalele GNL și consumatorii protejați;</w:t>
            </w:r>
          </w:p>
          <w:p w:rsidR="00F12C4B" w:rsidRPr="00B91C10" w:rsidRDefault="00F12C4B" w:rsidP="00F12C4B">
            <w:pPr>
              <w:pStyle w:val="ListParagraph"/>
              <w:shd w:val="clear" w:color="auto" w:fill="FFFFFF"/>
              <w:tabs>
                <w:tab w:val="left" w:pos="344"/>
                <w:tab w:val="left" w:pos="993"/>
              </w:tabs>
              <w:suppressAutoHyphens w:val="0"/>
              <w:ind w:left="37"/>
              <w:jc w:val="both"/>
              <w:rPr>
                <w:rFonts w:asciiTheme="majorBidi" w:eastAsia="Times New Roman" w:hAnsiTheme="majorBidi" w:cstheme="majorBidi"/>
                <w:sz w:val="18"/>
                <w:szCs w:val="18"/>
                <w:lang w:val="ro-RO" w:eastAsia="ru-RU"/>
              </w:rPr>
            </w:pP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i/>
                <w:sz w:val="18"/>
                <w:szCs w:val="18"/>
                <w:lang w:val="ro-RO" w:eastAsia="ru-RU"/>
              </w:rPr>
              <w:t>metodologia de calcul și normele de punere la dispoziție a capacității, adoptate de OST</w:t>
            </w:r>
            <w:r w:rsidRPr="00B91C10">
              <w:rPr>
                <w:rFonts w:asciiTheme="majorBidi" w:eastAsia="Times New Roman" w:hAnsiTheme="majorBidi" w:cstheme="majorBidi"/>
                <w:sz w:val="18"/>
                <w:szCs w:val="18"/>
                <w:lang w:val="ro-RO" w:eastAsia="ru-RU"/>
              </w:rPr>
              <w:t>, răspund unor situații specifice în care capacitățile concurente între sisteme implică puncte de interconectare și puncte de ieșire către instalații de depozitare;</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această analiză aprofundată trebuie să ia în considerare ipotezele formulate în Planul de dezvoltare a rețelei de transport pentru 10 ani, dacă este cazul, planurile naționale de investiții, obligațiile relevante care derivă din legislația națională aplicabilă și orice alte obligații contractuale;</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OST aplică o abordare dinamică privind recalcularea capacității tehnice, în paralel, după caz, cu calcularea dinamică aplicată capacității suplimentare în temeiul punctului 52</w:t>
            </w:r>
            <w:r w:rsidRPr="00B91C10">
              <w:rPr>
                <w:rFonts w:asciiTheme="majorBidi" w:eastAsia="Times New Roman" w:hAnsiTheme="majorBidi" w:cstheme="majorBidi"/>
                <w:sz w:val="18"/>
                <w:szCs w:val="18"/>
                <w:vertAlign w:val="superscript"/>
                <w:lang w:val="ro-RO" w:eastAsia="ru-RU"/>
              </w:rPr>
              <w:t xml:space="preserve">4 </w:t>
            </w:r>
            <w:r w:rsidRPr="00B91C10">
              <w:rPr>
                <w:rFonts w:asciiTheme="majorBidi" w:hAnsiTheme="majorBidi" w:cstheme="majorBidi"/>
                <w:sz w:val="18"/>
                <w:szCs w:val="18"/>
                <w:lang w:val="ro-RO"/>
              </w:rPr>
              <w:t>din Regulamentul privind accesul la rețelele de transport a gazelor naturale și gestionarea congestiilor aprobat prin Hotărârea Agenției nr.321/2016 din 13 decembrie 2016</w:t>
            </w:r>
            <w:r w:rsidRPr="00B91C10">
              <w:rPr>
                <w:rFonts w:asciiTheme="majorBidi" w:eastAsia="Times New Roman" w:hAnsiTheme="majorBidi" w:cstheme="majorBidi"/>
                <w:sz w:val="18"/>
                <w:szCs w:val="18"/>
                <w:lang w:val="ro-RO" w:eastAsia="ru-RU"/>
              </w:rPr>
              <w:t>, identificând în comun frecvența adecvată pentru recalcularea capacității pentru fiecare punct de interconectare și ținând cont de specificitățile acestora;</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în cadrul metodei comune, OST adiacenți consultă alți OST care sunt afectați în mod specific de punctul de interconectare;</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OST iau în considerare informațiile pe care utilizatorii de sistem le-ar putea oferi cu privire la fluxurile viitoare preconizate atunci când recalculează capacitatea tehnică.</w:t>
            </w:r>
          </w:p>
          <w:p w:rsidR="00F02F76" w:rsidRPr="00B91C10" w:rsidRDefault="00F02F76" w:rsidP="00F12C4B">
            <w:pPr>
              <w:tabs>
                <w:tab w:val="left" w:pos="41"/>
                <w:tab w:val="left" w:pos="344"/>
              </w:tabs>
              <w:ind w:firstLine="37"/>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27</w:t>
            </w:r>
            <w:r w:rsidR="001D3FCE">
              <w:rPr>
                <w:rFonts w:asciiTheme="majorBidi" w:hAnsiTheme="majorBidi" w:cstheme="majorBidi"/>
                <w:sz w:val="18"/>
                <w:szCs w:val="18"/>
                <w:lang w:val="ro-RO"/>
              </w:rPr>
              <w:t>.</w:t>
            </w:r>
            <w:r w:rsidRPr="00B91C10">
              <w:rPr>
                <w:rFonts w:asciiTheme="majorBidi" w:hAnsiTheme="majorBidi" w:cstheme="majorBidi"/>
                <w:sz w:val="18"/>
                <w:szCs w:val="18"/>
                <w:lang w:val="ro-RO"/>
              </w:rPr>
              <w:t>OST evaluează în comun cel puțin următorii parametri și, dacă este cazul, îi ajustează:</w:t>
            </w:r>
          </w:p>
          <w:p w:rsidR="00F02F76" w:rsidRPr="00B91C10" w:rsidRDefault="00F02F76" w:rsidP="00F12C4B">
            <w:pPr>
              <w:pStyle w:val="ListParagraph"/>
              <w:numPr>
                <w:ilvl w:val="0"/>
                <w:numId w:val="37"/>
              </w:numPr>
              <w:shd w:val="clear" w:color="auto" w:fill="FFFFFF"/>
              <w:tabs>
                <w:tab w:val="left" w:pos="41"/>
                <w:tab w:val="left" w:pos="344"/>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angajamentele privind presiunea;</w:t>
            </w:r>
          </w:p>
          <w:p w:rsidR="00F02F76" w:rsidRPr="00B91C10" w:rsidRDefault="00F02F76" w:rsidP="00F12C4B">
            <w:pPr>
              <w:pStyle w:val="ListParagraph"/>
              <w:numPr>
                <w:ilvl w:val="0"/>
                <w:numId w:val="37"/>
              </w:numPr>
              <w:shd w:val="clear" w:color="auto" w:fill="FFFFFF"/>
              <w:tabs>
                <w:tab w:val="left" w:pos="41"/>
                <w:tab w:val="left" w:pos="344"/>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lastRenderedPageBreak/>
              <w:t>toate scenariile relevante privind cererea și oferta, inclusiv detaliile privind condițiile climatice de referință și configurațiile de rețea asociate unor scenarii extreme;</w:t>
            </w:r>
          </w:p>
          <w:p w:rsidR="00F02F76" w:rsidRDefault="00F02F76" w:rsidP="00F12C4B">
            <w:pPr>
              <w:pStyle w:val="ListParagraph"/>
              <w:numPr>
                <w:ilvl w:val="0"/>
                <w:numId w:val="37"/>
              </w:numPr>
              <w:shd w:val="clear" w:color="auto" w:fill="FFFFFF"/>
              <w:tabs>
                <w:tab w:val="left" w:pos="41"/>
                <w:tab w:val="left" w:pos="344"/>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puterea calorifică.</w:t>
            </w:r>
          </w:p>
          <w:p w:rsidR="00F02F76" w:rsidRDefault="00F02F76" w:rsidP="001D3FCE">
            <w:pPr>
              <w:shd w:val="clear" w:color="auto" w:fill="FFFFFF"/>
              <w:tabs>
                <w:tab w:val="left" w:pos="41"/>
                <w:tab w:val="left" w:pos="1134"/>
              </w:tabs>
              <w:jc w:val="both"/>
              <w:rPr>
                <w:rFonts w:asciiTheme="majorBidi" w:hAnsiTheme="majorBidi" w:cstheme="majorBidi"/>
                <w:sz w:val="18"/>
                <w:szCs w:val="18"/>
                <w:lang w:val="ro-RO"/>
              </w:rPr>
            </w:pPr>
          </w:p>
          <w:p w:rsidR="00F02F76" w:rsidRDefault="00F02F76" w:rsidP="00670674">
            <w:pPr>
              <w:shd w:val="clear" w:color="auto" w:fill="FFFFFF"/>
              <w:tabs>
                <w:tab w:val="left" w:pos="1134"/>
              </w:tabs>
              <w:jc w:val="both"/>
              <w:rPr>
                <w:rFonts w:asciiTheme="majorBidi" w:hAnsiTheme="majorBidi" w:cstheme="majorBidi"/>
                <w:sz w:val="18"/>
                <w:szCs w:val="18"/>
                <w:lang w:val="ro-RO"/>
              </w:rPr>
            </w:pPr>
          </w:p>
          <w:p w:rsidR="00F02F76" w:rsidRPr="00105C1A" w:rsidRDefault="00F02F76" w:rsidP="00670674">
            <w:pPr>
              <w:shd w:val="clear" w:color="auto" w:fill="FFFFFF"/>
              <w:tabs>
                <w:tab w:val="left" w:pos="1134"/>
              </w:tabs>
              <w:jc w:val="both"/>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28</w:t>
            </w:r>
            <w:r w:rsidRPr="00B91C10">
              <w:rPr>
                <w:rFonts w:asciiTheme="majorBidi" w:hAnsiTheme="majorBidi" w:cstheme="majorBidi"/>
                <w:sz w:val="18"/>
                <w:szCs w:val="18"/>
                <w:lang w:val="ro-RO"/>
              </w:rPr>
              <w:t>.În cazul în care optimizarea capacității tehnice generează costuri pentru OST, în special costuri care îi afectează în mod neuniform pe OST aflați de o parte și de alta a unui punct de interconectare, OST li se permite să recupereze astfel de costuri suportate în mod eficient, prin intermediul cadrului de reglementare stabilit de Agenție în conformitate cu art. 7 (2) a), art. 98 și 99 a</w:t>
            </w:r>
            <w:r>
              <w:rPr>
                <w:rFonts w:asciiTheme="majorBidi" w:hAnsiTheme="majorBidi" w:cstheme="majorBidi"/>
                <w:sz w:val="18"/>
                <w:szCs w:val="18"/>
                <w:lang w:val="ro-RO"/>
              </w:rPr>
              <w:t>l</w:t>
            </w:r>
            <w:r w:rsidRPr="00B91C10">
              <w:rPr>
                <w:rFonts w:asciiTheme="majorBidi" w:hAnsiTheme="majorBidi" w:cstheme="majorBidi"/>
                <w:sz w:val="18"/>
                <w:szCs w:val="18"/>
                <w:lang w:val="ro-RO"/>
              </w:rPr>
              <w:t xml:space="preserve"> Legii</w:t>
            </w:r>
            <w:r>
              <w:rPr>
                <w:rFonts w:asciiTheme="majorBidi" w:hAnsiTheme="majorBidi" w:cstheme="majorBidi"/>
                <w:sz w:val="18"/>
                <w:szCs w:val="18"/>
                <w:lang w:val="ro-RO"/>
              </w:rPr>
              <w:t>108/2016</w:t>
            </w:r>
            <w:r w:rsidRPr="00B91C10">
              <w:rPr>
                <w:rFonts w:asciiTheme="majorBidi" w:hAnsiTheme="majorBidi" w:cstheme="majorBidi"/>
                <w:sz w:val="18"/>
                <w:szCs w:val="18"/>
                <w:lang w:val="ro-RO"/>
              </w:rPr>
              <w:t xml:space="preserve">, și, respectiv, de către autoritatea națională de reglementare competentă pentru operatorul de sistem de transport adiacent.  </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9</w:t>
            </w:r>
            <w:r w:rsidRPr="00B91C10">
              <w:rPr>
                <w:rFonts w:asciiTheme="majorBidi" w:hAnsiTheme="majorBidi" w:cstheme="majorBidi"/>
                <w:sz w:val="18"/>
                <w:szCs w:val="18"/>
                <w:lang w:val="ro-RO"/>
              </w:rPr>
              <w:t>.</w:t>
            </w:r>
            <w:r w:rsidRPr="00F62B03">
              <w:rPr>
                <w:lang w:val="it-IT"/>
              </w:rPr>
              <w:t xml:space="preserve"> În cazul în care autorităţile naţionale de reglementare competente pentru OST adiacenţi nu au reuşit să ajungă la un acord în termen de </w:t>
            </w:r>
            <w:r w:rsidRPr="00F62B03">
              <w:rPr>
                <w:i/>
                <w:iCs/>
                <w:lang w:val="it-IT"/>
              </w:rPr>
              <w:t>6 luni</w:t>
            </w:r>
            <w:r w:rsidRPr="00F62B03">
              <w:rPr>
                <w:lang w:val="it-IT"/>
              </w:rPr>
              <w:t xml:space="preserve"> de la data la care a fost sesizate sau la cererea comună a autorităţilor naţionale de reglementare pentru OST adiacenţi, Comitetul de reglementare al Comunităţii Energetice (în continuare – Comitetul de reglementare al CE) decide după caz, cu privire la acele aspecte de reglementare privind infrastructura transfrontalieră, care intră în competenţa autorităţile naţionale de reglementare. </w:t>
            </w:r>
            <w:r w:rsidRPr="00B91C10">
              <w:rPr>
                <w:rFonts w:asciiTheme="majorBidi" w:hAnsiTheme="majorBidi" w:cstheme="majorBidi"/>
                <w:sz w:val="18"/>
                <w:szCs w:val="18"/>
                <w:lang w:val="ro-RO"/>
              </w:rPr>
              <w:t>.</w:t>
            </w:r>
          </w:p>
          <w:p w:rsidR="00F02F76" w:rsidRPr="00F12C4B" w:rsidRDefault="00F02F76" w:rsidP="00670674">
            <w:pPr>
              <w:tabs>
                <w:tab w:val="left" w:pos="851"/>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130.Autoritățile naționale de reglementare competente pot solicita în comun ca perioada menționată la pct. 129</w:t>
            </w:r>
            <w:r w:rsidR="004C0BB3">
              <w:rPr>
                <w:rFonts w:asciiTheme="majorBidi" w:hAnsiTheme="majorBidi" w:cstheme="majorBidi"/>
                <w:sz w:val="18"/>
                <w:szCs w:val="18"/>
                <w:lang w:val="ro-RO"/>
              </w:rPr>
              <w:t xml:space="preserve"> </w:t>
            </w:r>
            <w:r w:rsidRPr="00F12C4B">
              <w:rPr>
                <w:rFonts w:asciiTheme="majorBidi" w:hAnsiTheme="majorBidi" w:cstheme="majorBidi"/>
                <w:sz w:val="18"/>
                <w:szCs w:val="18"/>
                <w:lang w:val="ro-RO"/>
              </w:rPr>
              <w:t>să fie prelungită cu o perioadă de până la 6 luni.</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131.</w:t>
            </w:r>
            <w:r w:rsidRPr="00F12C4B">
              <w:rPr>
                <w:sz w:val="18"/>
                <w:szCs w:val="18"/>
                <w:lang w:val="it-IT"/>
              </w:rPr>
              <w:t xml:space="preserve"> Autorităţile naţionale de reglementare relevante şi OST transmit Comitetului de reglementare al CE propunerile</w:t>
            </w:r>
            <w:r w:rsidRPr="005658BF">
              <w:rPr>
                <w:sz w:val="18"/>
                <w:szCs w:val="18"/>
                <w:lang w:val="it-IT"/>
              </w:rPr>
              <w:t xml:space="preserve"> şi observaţiile necesare în vederea pregătirii unei decizii în conformitate cu pct.129.</w:t>
            </w:r>
          </w:p>
          <w:p w:rsidR="00F02F76" w:rsidRPr="00C33F84" w:rsidRDefault="00F02F76" w:rsidP="00670674">
            <w:pPr>
              <w:pStyle w:val="NormalWeb"/>
              <w:ind w:firstLine="0"/>
              <w:rPr>
                <w:sz w:val="18"/>
                <w:szCs w:val="18"/>
                <w:lang w:val="it-IT"/>
              </w:rPr>
            </w:pPr>
            <w:r w:rsidRPr="00242FBC">
              <w:rPr>
                <w:rFonts w:asciiTheme="majorBidi" w:hAnsiTheme="majorBidi" w:cstheme="majorBidi"/>
                <w:sz w:val="18"/>
                <w:szCs w:val="18"/>
              </w:rPr>
              <w:t>13</w:t>
            </w:r>
            <w:r>
              <w:rPr>
                <w:rFonts w:asciiTheme="majorBidi" w:hAnsiTheme="majorBidi" w:cstheme="majorBidi"/>
                <w:sz w:val="18"/>
                <w:szCs w:val="18"/>
              </w:rPr>
              <w:t>2</w:t>
            </w:r>
            <w:r w:rsidRPr="00242FBC">
              <w:rPr>
                <w:rFonts w:asciiTheme="majorBidi" w:hAnsiTheme="majorBidi" w:cstheme="majorBidi"/>
                <w:sz w:val="18"/>
                <w:szCs w:val="18"/>
              </w:rPr>
              <w:t>.</w:t>
            </w:r>
            <w:r w:rsidRPr="00C33F84">
              <w:rPr>
                <w:sz w:val="18"/>
                <w:szCs w:val="18"/>
                <w:lang w:val="it-IT"/>
              </w:rPr>
              <w:t xml:space="preserve"> Dacă un caz a fost înaintat spre examinare Comitetului de reglementare al CE în conformitate cu pct.129, acesta îşi adoptă decizia în termen de </w:t>
            </w:r>
            <w:r w:rsidRPr="00C33F84">
              <w:rPr>
                <w:i/>
                <w:iCs/>
                <w:sz w:val="18"/>
                <w:szCs w:val="18"/>
                <w:lang w:val="it-IT"/>
              </w:rPr>
              <w:t>6 luni</w:t>
            </w:r>
            <w:r w:rsidRPr="00C33F84">
              <w:rPr>
                <w:sz w:val="18"/>
                <w:szCs w:val="18"/>
                <w:lang w:val="it-IT"/>
              </w:rPr>
              <w:t xml:space="preserve"> de la data sesizării şi, după caz, adoptă o decizie provizorie pentru a se asigura că securitatea aprovizionării sau securitatea operaţională a infrastructurii este protejată.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13</w:t>
            </w:r>
            <w:r>
              <w:rPr>
                <w:rFonts w:asciiTheme="majorBidi" w:hAnsiTheme="majorBidi" w:cstheme="majorBidi"/>
                <w:sz w:val="18"/>
                <w:szCs w:val="18"/>
                <w:lang w:val="ro-RO"/>
              </w:rPr>
              <w:t>3</w:t>
            </w:r>
            <w:r w:rsidRPr="00B91C10">
              <w:rPr>
                <w:rFonts w:asciiTheme="majorBidi" w:hAnsiTheme="majorBidi" w:cstheme="majorBidi"/>
                <w:sz w:val="18"/>
                <w:szCs w:val="18"/>
                <w:lang w:val="ro-RO"/>
              </w:rPr>
              <w:t>.Dacă este cazul, autoritățile naționale de reglementare consultă utilizatorii de sistem privind metoda de calcul aplicată și abordarea comună.</w:t>
            </w:r>
          </w:p>
          <w:p w:rsidR="00F02F76" w:rsidRPr="00105C1A" w:rsidRDefault="00F02F76" w:rsidP="00670674">
            <w:pPr>
              <w:tabs>
                <w:tab w:val="left" w:pos="851"/>
              </w:tabs>
              <w:jc w:val="both"/>
              <w:outlineLvl w:val="0"/>
              <w:rPr>
                <w:rFonts w:asciiTheme="majorBidi" w:hAnsiTheme="majorBidi" w:cstheme="majorBidi"/>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B92852" w:rsidP="00670674">
            <w:pPr>
              <w:jc w:val="both"/>
              <w:rPr>
                <w:rFonts w:asciiTheme="majorBidi" w:hAnsiTheme="majorBidi" w:cstheme="majorBidi"/>
                <w:sz w:val="18"/>
                <w:szCs w:val="18"/>
                <w:lang w:val="it-IT"/>
              </w:rPr>
            </w:pPr>
            <w:r>
              <w:rPr>
                <w:rFonts w:asciiTheme="majorBidi" w:hAnsiTheme="majorBidi" w:cstheme="majorBidi"/>
                <w:sz w:val="18"/>
                <w:szCs w:val="18"/>
                <w:lang w:val="it-IT"/>
              </w:rPr>
              <w:lastRenderedPageBreak/>
              <w:t>Prevederi UE neaplicabile</w:t>
            </w:r>
          </w:p>
          <w:p w:rsidR="00F02F76" w:rsidRPr="004D5270" w:rsidRDefault="00F02F76" w:rsidP="00670674">
            <w:pPr>
              <w:jc w:val="both"/>
              <w:rPr>
                <w:rFonts w:asciiTheme="majorBidi" w:hAnsiTheme="majorBidi" w:cstheme="majorBidi"/>
                <w:b/>
                <w:sz w:val="18"/>
                <w:szCs w:val="18"/>
                <w:lang w:val="it-IT"/>
              </w:rPr>
            </w:pPr>
          </w:p>
        </w:tc>
        <w:tc>
          <w:tcPr>
            <w:tcW w:w="4253" w:type="dxa"/>
          </w:tcPr>
          <w:p w:rsidR="00F02F76" w:rsidRPr="001372B9" w:rsidRDefault="00F02F76" w:rsidP="00670674">
            <w:pPr>
              <w:jc w:val="center"/>
              <w:rPr>
                <w:rFonts w:asciiTheme="majorBidi" w:hAnsiTheme="majorBidi" w:cstheme="majorBidi"/>
                <w:sz w:val="18"/>
                <w:szCs w:val="18"/>
              </w:rPr>
            </w:pPr>
            <w:r w:rsidRPr="00205D69">
              <w:rPr>
                <w:rFonts w:asciiTheme="majorBidi" w:hAnsiTheme="majorBidi" w:cstheme="majorBidi"/>
                <w:b/>
                <w:sz w:val="18"/>
                <w:szCs w:val="18"/>
              </w:rPr>
              <w:lastRenderedPageBreak/>
              <w:t>Article 6</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Capacity calculation and maximisation</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maximum technical capacity shall be made available to network users, taking into account systemintegrity, safety and efficient network operation.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In order to maximise the offer of bundled capacity through the optimisation of the technical capacity transmission system operators shall take the following </w:t>
            </w:r>
            <w:r w:rsidRPr="00B91C10">
              <w:rPr>
                <w:rFonts w:asciiTheme="majorBidi" w:hAnsiTheme="majorBidi" w:cstheme="majorBidi"/>
                <w:sz w:val="18"/>
                <w:szCs w:val="18"/>
              </w:rPr>
              <w:lastRenderedPageBreak/>
              <w:t xml:space="preserve">measures at interconnection points, giving priority to those interconnection points where there is contractual congestion pursuant to point 2.2.3(1) of Annex I to Regulation (EC) No 715/2009: the transmission system operators shall establish and apply a joint method, setting out the specific steps to be taken by the respective transmission system operators to achieve the required optimisation: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joint method shall include an in-depth analysis of the technical capacities, including any discrepancies therein on both sides of an interconnection point, as well as the specific actions and detailed timetable — including possible implications and containing the regulatory approvals required to recover costs and adjust the regulatory regime — necessary to maximise the offer of bundled capacity. Such specific actions shall not be detrimental to the offer of capacity at other relevant points of the concerned systems and points to distribution networks relevant for security of supply to final customers, such as those to storage facilities, LNG terminals and protected customers;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calculation methodology and the rules of making available the capacity, adopted by the transmission system operators, shall address specific situations where competing capacities across systems involve interconnection points and exit points to storage facilities; (3) this in-depth analysis shall take into account assumptions made in the 10-year network development plan where applicable , national investment plans, relevant obligations under the applicable national laws and any relevant contractual obligations;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the relevant transmission system operators shall apply a dynamic approach to re-calculating technical capacity, where appropriate in conjunction with the dynamic calculation applied for additional capacity on the basis of point 2.2.2.2 of Annex I to Regulation (EC) No 715/2009, jointly identifying the appropriate frequency for re-calculation per interconnection point and having regard to the particular specificities thereof;</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in the joint method, adjacent transmission system operators shall consult other transmission system operators specifically affected by the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(6) transmission system operators shall have regard to information that network users may provide with regard to expected future flows when re-calculating the technical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(b) the transmission system operators shall jointly assess at least the following parameters and where appropriate adjust them: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pressure commitments;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all relevant demand and supply scenarios, including details on reference climatic conditions and network configurations associated with extreme scenarios;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calorific value.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Where the optimisation of technical capacity causes costs to the transmission system operators, particularly costs that unevenly impact transmission system operators on either side of an interconnection point, transmission system operators shall be allowed to recover such efficiently incurred costs via the regulatory framework established by the relevant regulatory authorities in accordance with Article 13 of Regulation (EC) No 715/2009 and Article 42 of Directive 2009/73/EC.</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2a. For cross-border infrastructure, the Energy Community Regulatory Board shall decide upon those regulatory issues that fall within the competence of national regulatory authorities: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where the competent national regulatory authorities have not been able to reach an agreement within a period of six months from when the case was referred to the last of those regulatory authorities; or (b) upon a joint request from the competent national regulatory authorities. The competent national regulatory authorities may jointly request that the period referred to in point (a) is extended by a period of up to six months. When preparing its decision, the Energy Community Regulatory Board shall consult the national regulatory authorities and the transmission system operators concerned and shall be informed of the proposals and observations of all the transmission system operators concerned. Where a case has been referred to the Energy Community Regulatory Board under paragraph (2a), the Energy Community Regulatory Board (a) shall provide its decision within a period of 6 months from the day of referral;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may, if necessary, provide an interim decision to ensure that security of supply or operational security of the infrastructure in question is protected.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Where appropriate, national regulatory authorities shall consult network users on the applied calculation method and joint approach.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lastRenderedPageBreak/>
              <w:t>4. Changes in the amount of bundled capacity offered at interconnection points as a result of the process pursuant to paragraph 1 shall be included in the report of the Energy Community Regulatory Board published pursuant to point 2.2.1(2) of Annex I to Regulation (EC) No 715/2009.</w:t>
            </w:r>
          </w:p>
        </w:tc>
      </w:tr>
      <w:tr w:rsidR="00F02F76" w:rsidRPr="00B91C10" w:rsidTr="00670674">
        <w:trPr>
          <w:trHeight w:val="1240"/>
        </w:trPr>
        <w:tc>
          <w:tcPr>
            <w:tcW w:w="5245" w:type="dxa"/>
          </w:tcPr>
          <w:p w:rsidR="00F02F76" w:rsidRPr="00A81A82" w:rsidRDefault="00F02F76" w:rsidP="00670674">
            <w:pPr>
              <w:shd w:val="clear" w:color="auto" w:fill="FFFFFF"/>
              <w:jc w:val="center"/>
              <w:rPr>
                <w:rFonts w:asciiTheme="majorBidi" w:hAnsiTheme="majorBidi" w:cstheme="majorBidi"/>
                <w:b/>
                <w:i/>
                <w:iCs/>
                <w:sz w:val="18"/>
                <w:szCs w:val="18"/>
                <w:lang w:val="it-IT"/>
              </w:rPr>
            </w:pPr>
            <w:r w:rsidRPr="00A81A82">
              <w:rPr>
                <w:rFonts w:asciiTheme="majorBidi" w:hAnsiTheme="majorBidi" w:cstheme="majorBidi"/>
                <w:b/>
                <w:i/>
                <w:iCs/>
                <w:sz w:val="18"/>
                <w:szCs w:val="18"/>
                <w:lang w:val="it-IT"/>
              </w:rPr>
              <w:lastRenderedPageBreak/>
              <w:t>Articolul 7</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Schimbul de informații între operatorii de transport și de sistem adiacenți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transport și de sistem adiacenți fac schimb, la intervale regulate, de informații privind nominalizarea, renominalizarea, corelarea și confirmarea în punctele de interconectare relevante.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(2)   Operatorii de transport și de sistem adiacenți fac schimb de informații privind întreținerea propriilor rețele de transport, pentru a contribui la procesul de luare de decizii în ceea ce privește utilizarea tehnică a punctelor de interconectare. Procedurile privind schimbul de date între operatorii de transport și de sistem sunt incluse în acordul lor de interconectare respectiv</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Secțiunea 4</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Schimbul de</w:t>
            </w:r>
            <w:r>
              <w:rPr>
                <w:rFonts w:asciiTheme="majorBidi" w:hAnsiTheme="majorBidi" w:cstheme="majorBidi"/>
                <w:b/>
                <w:bCs/>
                <w:sz w:val="18"/>
                <w:szCs w:val="18"/>
                <w:lang w:val="ro-RO"/>
              </w:rPr>
              <w:t xml:space="preserve"> informații între OST adiacenți</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13</w:t>
            </w:r>
            <w:r>
              <w:rPr>
                <w:rFonts w:asciiTheme="majorBidi" w:hAnsiTheme="majorBidi" w:cstheme="majorBidi"/>
                <w:sz w:val="18"/>
                <w:szCs w:val="18"/>
                <w:lang w:val="ro-RO"/>
              </w:rPr>
              <w:t>4</w:t>
            </w:r>
            <w:r w:rsidRPr="00B91C10">
              <w:rPr>
                <w:rFonts w:asciiTheme="majorBidi" w:hAnsiTheme="majorBidi" w:cstheme="majorBidi"/>
                <w:sz w:val="18"/>
                <w:szCs w:val="18"/>
                <w:lang w:val="ro-RO"/>
              </w:rPr>
              <w:t>.OST adiacenți fac schimb, la intervale regulate, de informații privind nominalizarea, renominalizarea, corelarea și confirmarea în punctele de interconectare relevante.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135</w:t>
            </w:r>
            <w:r w:rsidRPr="00B91C10">
              <w:rPr>
                <w:rFonts w:asciiTheme="majorBidi" w:hAnsiTheme="majorBidi" w:cstheme="majorBidi"/>
                <w:sz w:val="18"/>
                <w:szCs w:val="18"/>
                <w:lang w:val="ro-RO"/>
              </w:rPr>
              <w:t xml:space="preserve">.OST adiacenți fac schimb de informații privind întreținerea propriilor rețele de transport, pentru a contribui la procesul de luare a deciziilor în ceea ce privește utilizarea tehnică a punctelor de interconectare. Procedurile privind schimbul de date între OST sunt incluse în acordul de interconectare </w:t>
            </w:r>
            <w:r>
              <w:rPr>
                <w:rFonts w:asciiTheme="majorBidi" w:hAnsiTheme="majorBidi" w:cstheme="majorBidi"/>
                <w:sz w:val="18"/>
                <w:szCs w:val="18"/>
                <w:lang w:val="ro-RO"/>
              </w:rPr>
              <w:t>încheieat între acestea</w:t>
            </w:r>
            <w:r w:rsidRPr="00B91C10">
              <w:rPr>
                <w:rFonts w:asciiTheme="majorBidi" w:hAnsiTheme="majorBidi" w:cstheme="majorBidi"/>
                <w:sz w:val="18"/>
                <w:szCs w:val="18"/>
                <w:lang w:val="ro-RO"/>
              </w:rPr>
              <w:t>.</w:t>
            </w:r>
          </w:p>
          <w:p w:rsidR="00F02F76" w:rsidRPr="00946D7F" w:rsidRDefault="00F02F76" w:rsidP="00670674">
            <w:pPr>
              <w:jc w:val="both"/>
              <w:rPr>
                <w:rFonts w:asciiTheme="majorBidi" w:hAnsiTheme="majorBidi" w:cstheme="majorBidi"/>
                <w:b/>
                <w:sz w:val="18"/>
                <w:szCs w:val="18"/>
                <w:lang w:val="ro-RO"/>
              </w:rPr>
            </w:pPr>
          </w:p>
        </w:tc>
        <w:tc>
          <w:tcPr>
            <w:tcW w:w="1417" w:type="dxa"/>
          </w:tcPr>
          <w:p w:rsidR="00F02F76" w:rsidRPr="00946D7F" w:rsidRDefault="00F02F76" w:rsidP="00670674">
            <w:pPr>
              <w:jc w:val="both"/>
              <w:rPr>
                <w:rFonts w:asciiTheme="majorBidi" w:hAnsiTheme="majorBidi" w:cstheme="majorBidi"/>
                <w:b/>
                <w:sz w:val="18"/>
                <w:szCs w:val="18"/>
                <w:lang w:val="ro-RO"/>
              </w:rPr>
            </w:pPr>
          </w:p>
          <w:p w:rsidR="00F02F76" w:rsidRPr="00946D7F" w:rsidRDefault="00F02F76" w:rsidP="00670674">
            <w:pPr>
              <w:jc w:val="both"/>
              <w:rPr>
                <w:rFonts w:asciiTheme="majorBidi" w:hAnsiTheme="majorBidi" w:cstheme="majorBidi"/>
                <w:b/>
                <w:sz w:val="18"/>
                <w:szCs w:val="18"/>
                <w:lang w:val="ro-RO"/>
              </w:rPr>
            </w:pPr>
          </w:p>
          <w:p w:rsidR="00F02F76" w:rsidRPr="00946D7F"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Compatibil</w:t>
            </w:r>
          </w:p>
        </w:tc>
        <w:tc>
          <w:tcPr>
            <w:tcW w:w="4253" w:type="dxa"/>
          </w:tcPr>
          <w:p w:rsidR="00F02F76" w:rsidRPr="007D72AF" w:rsidRDefault="00F02F76" w:rsidP="00670674">
            <w:pPr>
              <w:jc w:val="center"/>
              <w:rPr>
                <w:rFonts w:asciiTheme="majorBidi" w:hAnsiTheme="majorBidi" w:cstheme="majorBidi"/>
                <w:b/>
                <w:sz w:val="18"/>
                <w:szCs w:val="18"/>
              </w:rPr>
            </w:pPr>
            <w:r w:rsidRPr="007D72AF">
              <w:rPr>
                <w:rFonts w:asciiTheme="majorBidi" w:hAnsiTheme="majorBidi" w:cstheme="majorBidi"/>
                <w:b/>
                <w:sz w:val="18"/>
                <w:szCs w:val="18"/>
              </w:rPr>
              <w:t>Article 7</w:t>
            </w:r>
          </w:p>
          <w:p w:rsidR="00F02F76" w:rsidRPr="007D72AF" w:rsidRDefault="00F02F76" w:rsidP="00670674">
            <w:pPr>
              <w:jc w:val="center"/>
              <w:rPr>
                <w:rFonts w:asciiTheme="majorBidi" w:hAnsiTheme="majorBidi" w:cstheme="majorBidi"/>
                <w:b/>
                <w:bCs/>
                <w:sz w:val="18"/>
                <w:szCs w:val="18"/>
              </w:rPr>
            </w:pPr>
            <w:r w:rsidRPr="007D72AF">
              <w:rPr>
                <w:rFonts w:asciiTheme="majorBidi" w:hAnsiTheme="majorBidi" w:cstheme="majorBidi"/>
                <w:b/>
                <w:bCs/>
                <w:sz w:val="18"/>
                <w:szCs w:val="18"/>
              </w:rPr>
              <w:t>Exchange of information between adjacent transmission system operators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Adjacent transmission system operators shall exchange nomination, re-nomination, matching and confirmation information at relevant interconnection points on a regular basis.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 Adjacent transmission system operators shall exchange information about the maintenance of their individual transmission network in order to contribute to the decision making process with regard to the technical use of interconnection points. The procedures to exchange data between transmission system operators shall be integrated in their respective interconnection agreement.</w:t>
            </w:r>
          </w:p>
        </w:tc>
      </w:tr>
      <w:tr w:rsidR="00F02F76" w:rsidRPr="00B91C10" w:rsidTr="00670674">
        <w:trPr>
          <w:trHeight w:val="423"/>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CAPITOLUL III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ALOCAREA DE PRODUSE DE CAPACITATE FERMĂ</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8</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Metodologia de alocare</w:t>
            </w:r>
          </w:p>
          <w:p w:rsidR="00F02F76"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Licitațiile sunt utilizate pentru alocarea de capacitate în punctele de interconectare, cu excepția cazului în care se aplică metodologia alternativă de alocare în conformitate cu articolul 30.</w:t>
            </w:r>
          </w:p>
          <w:p w:rsidR="00CC191A" w:rsidRPr="00B91C10" w:rsidRDefault="00CC191A"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toate punctele de interconectare se aplică același model de licitație. Procesele de licitație relevante încep simultan pentru toate punctele de interconectare în cauză. Fiecare proces de licitație, vizând un singur produs standard de capacitate, alocă capacitate independent de orice alt proces de licitație, cu excepția cazului în care se oferă capacitate incrementală sau în cazul în care, sub rezerva acordului operatorilor de transport și de sistem direct implicați și a aprobării autorităților naționale de reglementare relevante, se alocă capacitate concurentă. Autoritatea națională de reglementare a oricărui stat membru învecinat și afectat își poate comunica poziția, care trebuie luată în considerare de autoritatea națională de reglementare relevantă. În cazul în care se oferă capacitate incrementală, alocarea independentă nu se aplică proceselor de licitație simultane pentru nivelurile de ofertă respective, deoarece acestea sunt interdependente, putându-se aloca un singur nivel de ofertă.</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Produsele standard de capacitate trebuie să respecte o ordine logică conform căreia se oferă mai întâi produsele care acoperă capacitatea anuală, urmate de produsul cu durata imediat inferioară pentru utilizare în aceeași perioadă. Eșalonarea licitațiilor prevăzute la articolele 11-15 trebuie să fie în conformitate cu acest principiu.</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Normele privind produsele standard de capacitate prevăzute la articolul 9 și licitațiile stabilite la articolele 11-15 se aplică în cazul capacității agregate și al capacității neagregate într-un punct de interconectare.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Pentru o licitație dată, disponibilitatea produselor standard de capacitate relevante este comunicată conform articolelor 11-15 și conform calendarului licitației.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În fiecare punct de interconectare se rezervă și se oferă un volum egal cu cel puțin 20 % din capacitatea tehnică existentă în conformitate cu alineatul (7). În cazul în care capacitatea disponibilă este mai mică decât proporția de capacitate tehnică care urmează să fie rezervată, se rezervă întreaga capacitate disponibilă. Această capacitate este oferită în conformitate cu alineatul (7) litera (b), în timp ce capacitatea rezervată rămasă este oferită în conformitate cu alineatul (7) litera (a).</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Orice capacitate rezervată în conformitate cu alineatul (6) este oferită sub rezerva respectării următoarelor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 volum egal cu cel puțin 10 % din capacitatea tehnică existentă în fiecare punct de interconectare este oferit cel mai devreme cu ocazia licitației anuale a capacității anuale prevăzute la articolul 11 și desfășurate în conformitate cu calendarul licitației în cursul celui de al cincilea an gazier care precede începutul anului gazier relevant;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 volum suplimentar egal cu cel puțin 10 % din capacitatea tehnică existentă în fiecare punct de interconectare este oferit mai întâi cel mai devreme cu ocazia licitației anuale a capacității trimestriale prevăzute la articolul 12 și desfășurate în conformitate cu calendarul licitației în cursul anului gazier care precede începutul anului gazier relevant.</w:t>
                  </w:r>
                </w:p>
                <w:p w:rsidR="00C302B1" w:rsidRDefault="00C302B1" w:rsidP="00670674">
                  <w:pPr>
                    <w:jc w:val="both"/>
                    <w:rPr>
                      <w:rFonts w:asciiTheme="majorBidi" w:hAnsiTheme="majorBidi" w:cstheme="majorBidi"/>
                      <w:sz w:val="18"/>
                      <w:szCs w:val="18"/>
                      <w:lang w:val="it-IT"/>
                    </w:rPr>
                  </w:pPr>
                </w:p>
                <w:p w:rsidR="00C302B1" w:rsidRDefault="00C302B1"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În cazul capacității incrementale, un volum egal cu cel puțin 10 % din capacitatea tehnică incrementală în punctul de interconectare în cauză este rezervat și oferit cel mai devreme cu ocazia licitației anuale a capacității trimestriale prevăzute la articolul 12 și desfășurate în conformitate cu calendarul de licitație în cursul anului gazier care precede începutul anului gazier relevant.</w:t>
            </w:r>
          </w:p>
          <w:p w:rsidR="00C302B1" w:rsidRDefault="00C302B1"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Proporția exactă a capacității care urmează să fie rezervată în conformitate cu articolele 6 și 8 face obiectul unei consultări între părțile interesate, al unei alinieri între operatorii de transport și de sistem și al aprobării de către autoritățile naționale de reglementare în fiecare punct de interconectare. Autoritățile naționale de reglementare iau în considerare în special posibilitatea de a rezerva părți mai importante ale capacității cu o durată mai scurtă, pentru a evita închiderea piețelor de aprovizionare din aval.</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Capacitatea creată prin intermediul unor proceduri care nu se bazează pe piață și pentru care decizia finală privind investițiile a fost luată fără angajamente anterioare din partea utilizatorilor rețelei este oferită și alocată ca produse standard de capacitate disponibile, astfel cum prevede prezentul regulament.</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III</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ALOCAREA PRODUSELOR DE CAPACITATE FERMĂ</w:t>
            </w:r>
          </w:p>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Metodologia de alocare</w:t>
            </w:r>
          </w:p>
          <w:p w:rsidR="00F02F76" w:rsidRPr="00B91C10" w:rsidRDefault="00F02F76" w:rsidP="004739CB">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36</w:t>
            </w:r>
            <w:r w:rsidRPr="00B91C10">
              <w:rPr>
                <w:rFonts w:asciiTheme="majorBidi" w:hAnsiTheme="majorBidi" w:cstheme="majorBidi"/>
                <w:sz w:val="18"/>
                <w:szCs w:val="18"/>
                <w:lang w:val="ro-RO"/>
              </w:rPr>
              <w:t>.</w:t>
            </w:r>
            <w:r>
              <w:rPr>
                <w:rFonts w:asciiTheme="majorBidi" w:hAnsiTheme="majorBidi" w:cstheme="majorBidi"/>
                <w:sz w:val="18"/>
                <w:szCs w:val="18"/>
                <w:lang w:val="ro-RO"/>
              </w:rPr>
              <w:t>A</w:t>
            </w:r>
            <w:r w:rsidRPr="00B91C10">
              <w:rPr>
                <w:rFonts w:asciiTheme="majorBidi" w:hAnsiTheme="majorBidi" w:cstheme="majorBidi"/>
                <w:sz w:val="18"/>
                <w:szCs w:val="18"/>
                <w:lang w:val="ro-RO"/>
              </w:rPr>
              <w:t>locarea capacității în punctele de interconectare</w:t>
            </w:r>
            <w:r w:rsidR="00F10B4C">
              <w:rPr>
                <w:rFonts w:asciiTheme="majorBidi" w:hAnsiTheme="majorBidi" w:cstheme="majorBidi"/>
                <w:sz w:val="18"/>
                <w:szCs w:val="18"/>
                <w:lang w:val="ro-RO"/>
              </w:rPr>
              <w:t xml:space="preserve"> </w:t>
            </w:r>
            <w:r>
              <w:rPr>
                <w:rFonts w:asciiTheme="majorBidi" w:hAnsiTheme="majorBidi" w:cstheme="majorBidi"/>
                <w:sz w:val="18"/>
                <w:szCs w:val="18"/>
                <w:lang w:val="ro-RO"/>
              </w:rPr>
              <w:t>are loc prin intermediul l</w:t>
            </w:r>
            <w:r w:rsidRPr="00B91C10">
              <w:rPr>
                <w:rFonts w:asciiTheme="majorBidi" w:hAnsiTheme="majorBidi" w:cstheme="majorBidi"/>
                <w:sz w:val="18"/>
                <w:szCs w:val="18"/>
                <w:lang w:val="ro-RO"/>
              </w:rPr>
              <w:t>icitațiil</w:t>
            </w:r>
            <w:r>
              <w:rPr>
                <w:rFonts w:asciiTheme="majorBidi" w:hAnsiTheme="majorBidi" w:cstheme="majorBidi"/>
                <w:sz w:val="18"/>
                <w:szCs w:val="18"/>
                <w:lang w:val="ro-RO"/>
              </w:rPr>
              <w:t>or</w:t>
            </w:r>
            <w:r w:rsidRPr="00B91C10">
              <w:rPr>
                <w:rFonts w:asciiTheme="majorBidi" w:hAnsiTheme="majorBidi" w:cstheme="majorBidi"/>
                <w:sz w:val="18"/>
                <w:szCs w:val="18"/>
                <w:lang w:val="ro-RO"/>
              </w:rPr>
              <w:t xml:space="preserve">, cu excepția cazului în </w:t>
            </w:r>
            <w:r w:rsidRPr="00C302B1">
              <w:rPr>
                <w:rFonts w:asciiTheme="majorBidi" w:hAnsiTheme="majorBidi" w:cstheme="majorBidi"/>
                <w:sz w:val="18"/>
                <w:szCs w:val="18"/>
                <w:lang w:val="ro-RO"/>
              </w:rPr>
              <w:t>care se aplică metodologia alternativă de alocare în conformitate cu pct. 291-</w:t>
            </w:r>
            <w:r>
              <w:rPr>
                <w:rFonts w:asciiTheme="majorBidi" w:hAnsiTheme="majorBidi" w:cstheme="majorBidi"/>
                <w:sz w:val="18"/>
                <w:szCs w:val="18"/>
                <w:lang w:val="ro-RO"/>
              </w:rPr>
              <w:t>296</w:t>
            </w:r>
            <w:r w:rsidR="004739CB">
              <w:rPr>
                <w:rFonts w:asciiTheme="majorBidi" w:hAnsiTheme="majorBidi" w:cstheme="majorBidi"/>
                <w:sz w:val="18"/>
                <w:szCs w:val="18"/>
                <w:lang w:val="ro-RO"/>
              </w:rPr>
              <w:t>.</w:t>
            </w:r>
            <w:r w:rsidR="00770AF1" w:rsidRPr="00516312">
              <w:rPr>
                <w:i/>
                <w:sz w:val="24"/>
                <w:lang w:val="ro-RO"/>
              </w:rPr>
              <w:t xml:space="preserve"> </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37</w:t>
            </w:r>
            <w:r w:rsidRPr="00B91C10">
              <w:rPr>
                <w:rFonts w:asciiTheme="majorBidi" w:hAnsiTheme="majorBidi" w:cstheme="majorBidi"/>
                <w:sz w:val="18"/>
                <w:szCs w:val="18"/>
                <w:lang w:val="ro-RO"/>
              </w:rPr>
              <w:t xml:space="preserve">.În toate punctele de interconectare se aplică același model de licitație. Procesele de licitație relevante încep simultan pentru toate punctele de interconectare în cauză. Fiecare proces de licitație, vizând un singur PSC, alocă capacitate independent de orice alt proces de licitație, cu excepția cazului în care se oferă capacitate incrementală sau în cazul în care, sub rezerva acordului OST direct implicați și a aprobării Agenției, capacitate concurentă se alocă. Autoritatea națională de reglementare a oricărui stat membru </w:t>
            </w:r>
            <w:r>
              <w:rPr>
                <w:rFonts w:asciiTheme="majorBidi" w:hAnsiTheme="majorBidi" w:cstheme="majorBidi"/>
                <w:sz w:val="18"/>
                <w:szCs w:val="18"/>
                <w:lang w:val="ro-RO"/>
              </w:rPr>
              <w:t xml:space="preserve"> UE </w:t>
            </w:r>
            <w:r w:rsidRPr="00B91C10">
              <w:rPr>
                <w:rFonts w:asciiTheme="majorBidi" w:hAnsiTheme="majorBidi" w:cstheme="majorBidi"/>
                <w:sz w:val="18"/>
                <w:szCs w:val="18"/>
                <w:lang w:val="ro-RO"/>
              </w:rPr>
              <w:t xml:space="preserve">sau Parte contractantă învecinată afectați își poate comunica poziția, care trebuie luată în considerare de autoritatea națională de reglementare relevantă. În cazul în care se oferă capacitate incrementală, alocarea independentă nu se aplică proceselor de licitație simultane pentru nivelurile de ofertă respective, deoarece acestea sunt interdependente, putându-se aloca doar un singur nivel de ofertă. </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38</w:t>
            </w:r>
            <w:r w:rsidRPr="00B91C10">
              <w:rPr>
                <w:rFonts w:asciiTheme="majorBidi" w:hAnsiTheme="majorBidi" w:cstheme="majorBidi"/>
                <w:sz w:val="18"/>
                <w:szCs w:val="18"/>
                <w:lang w:val="ro-RO"/>
              </w:rPr>
              <w:t xml:space="preserve">.PSC trebuie să respecte o ordine logică conform căreia se oferă mai întâi produsele care acoperă capacitatea anuală, urmate de produsul cu durata imediat inferioară pentru utilizare în aceeași perioadă. Calendarul </w:t>
            </w:r>
            <w:r w:rsidRPr="00CF455C">
              <w:rPr>
                <w:rFonts w:asciiTheme="majorBidi" w:hAnsiTheme="majorBidi" w:cstheme="majorBidi"/>
                <w:sz w:val="18"/>
                <w:szCs w:val="18"/>
                <w:lang w:val="ro-RO"/>
              </w:rPr>
              <w:t>licitațiilor prevăzute pct. 153-205 trebuie să fie în conformitate cu acest principiu.</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139.Normele privind PSC prevăzute la pct. 1460-152 și licitațiile stabilite la pct. 153-205 se aplică în cazul capacității agregate și al capacității neagregate într-un punct de interconectare.</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140.Pentru o licitație dată, disponibilitatea PSC este comunicată conform pct. 153-205 și conform calendarului licitației.</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 xml:space="preserve">141.În fiecare punct de interconectare se rezervă și se oferă cu cel puțin 20 % din capacitatea tehnică existentă în conformitate cu pct. 142. În cazul în care capacitatea disponibilă este mai mică decât proporția de capacitate tehnică care urmează să fie rezervată, se rezervă întreaga capacitate disponibilă. Această capacitate este oferită în conformitate cu pct. 142 subpunct 2) în timp ce capacitatea rezervată rămasă este oferită în conformitate cu pct. 142 subpunct 1). </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142.Orice capacitate rezervată în conformitate cu pct. 141 este oferită sub rezerva respectării următoarelor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CF455C">
                    <w:rPr>
                      <w:rFonts w:asciiTheme="majorBidi" w:hAnsiTheme="majorBidi" w:cstheme="majorBidi"/>
                      <w:sz w:val="18"/>
                      <w:szCs w:val="18"/>
                      <w:lang w:val="ro-RO"/>
                    </w:rPr>
                    <w:t>1) cel puțin 10 % din capacitatea tehnică existentă în fiecare punct de interconectare este oferit cel mai devreme cu ocazia licitației anuale a capacității anuale prevăzute la pct. 137-164, desfășurate în conformitate cu calendarul licitației în cursul celui de al 5-lea an gazier care precede începutul anului gazier relevant; și</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2) suplimentar cel puțin 10 % din capacitatea tehnică existentă în fiecare punct de interconectare este oferit mai întâi cel mai devreme cu ocazia licitației anuale a capacității trimestriale prevăzute la </w:t>
                  </w:r>
                  <w:r w:rsidRPr="00B91C10">
                    <w:rPr>
                      <w:rFonts w:asciiTheme="majorBidi" w:hAnsiTheme="majorBidi" w:cstheme="majorBidi"/>
                      <w:sz w:val="18"/>
                      <w:szCs w:val="18"/>
                      <w:highlight w:val="lightGray"/>
                      <w:lang w:val="ro-RO"/>
                    </w:rPr>
                    <w:t>pct. 1</w:t>
                  </w:r>
                  <w:r>
                    <w:rPr>
                      <w:rFonts w:asciiTheme="majorBidi" w:hAnsiTheme="majorBidi" w:cstheme="majorBidi"/>
                      <w:sz w:val="18"/>
                      <w:szCs w:val="18"/>
                      <w:highlight w:val="lightGray"/>
                      <w:lang w:val="ro-RO"/>
                    </w:rPr>
                    <w:t>53</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1</w:t>
                  </w:r>
                  <w:r>
                    <w:rPr>
                      <w:rFonts w:asciiTheme="majorBidi" w:hAnsiTheme="majorBidi" w:cstheme="majorBidi"/>
                      <w:sz w:val="18"/>
                      <w:szCs w:val="18"/>
                      <w:lang w:val="ro-RO"/>
                    </w:rPr>
                    <w:t>64</w:t>
                  </w:r>
                  <w:r w:rsidRPr="00B91C10">
                    <w:rPr>
                      <w:rFonts w:asciiTheme="majorBidi" w:hAnsiTheme="majorBidi" w:cstheme="majorBidi"/>
                      <w:sz w:val="18"/>
                      <w:szCs w:val="18"/>
                      <w:lang w:val="ro-RO"/>
                    </w:rPr>
                    <w:t xml:space="preserve"> și desfășurate în conformitate cu calendarul licitației în cursul anului gazier care precede începutul anului gazier relevant.</w:t>
                  </w:r>
                </w:p>
              </w:tc>
            </w:tr>
          </w:tbl>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.În cazul capacității incrementale, cel puțin 10 % din capacitatea tehnică incrementală în punctul de interconectare în cauză este rezervat și oferit </w:t>
            </w:r>
            <w:r w:rsidRPr="00CF455C">
              <w:rPr>
                <w:rFonts w:asciiTheme="majorBidi" w:hAnsiTheme="majorBidi" w:cstheme="majorBidi"/>
                <w:sz w:val="18"/>
                <w:szCs w:val="18"/>
                <w:lang w:val="ro-RO"/>
              </w:rPr>
              <w:t>cel mai devreme cu ocazia licitației anuale a capacității trimestriale prevăzute la pct. 165-173 și desfășurate în conformitate cu calendarul de licitație în cursul anului gazier care precede începutul anului gazier relevant.</w:t>
            </w:r>
          </w:p>
          <w:p w:rsidR="00C302B1" w:rsidRPr="00CF455C" w:rsidRDefault="00C302B1"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lastRenderedPageBreak/>
              <w:t>144.Proporția exactă a capacității care urmează să fie rezervată în conformitate cu pct. 125-132 și pct.136</w:t>
            </w:r>
            <w:r>
              <w:rPr>
                <w:rFonts w:asciiTheme="majorBidi" w:hAnsiTheme="majorBidi" w:cstheme="majorBidi"/>
                <w:sz w:val="18"/>
                <w:szCs w:val="18"/>
                <w:lang w:val="ro-RO"/>
              </w:rPr>
              <w:t>-</w:t>
            </w:r>
            <w:r w:rsidRPr="00B91C10">
              <w:rPr>
                <w:rFonts w:asciiTheme="majorBidi" w:hAnsiTheme="majorBidi" w:cstheme="majorBidi"/>
                <w:sz w:val="18"/>
                <w:szCs w:val="18"/>
                <w:lang w:val="ro-RO"/>
              </w:rPr>
              <w:t>14</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 face obiectul unei consultări între părțile interesate, al unei alinieri între OST și al aprobării de către autoritățile naționale de reglementare în fiecare punct de interconectare. Autoritățile naționale de reglementare iau în considerare în special posibilitatea de a rezerva părți mai importante ale capacității cu o durată mai scurtă, pentru a evita închiderea piețelor de aprovizionare din aval.</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14</w:t>
            </w:r>
            <w:r>
              <w:rPr>
                <w:rFonts w:asciiTheme="majorBidi" w:hAnsiTheme="majorBidi" w:cstheme="majorBidi"/>
                <w:sz w:val="18"/>
                <w:szCs w:val="18"/>
                <w:lang w:val="ro-RO"/>
              </w:rPr>
              <w:t>5</w:t>
            </w:r>
            <w:r w:rsidRPr="00B91C10">
              <w:rPr>
                <w:rFonts w:asciiTheme="majorBidi" w:hAnsiTheme="majorBidi" w:cstheme="majorBidi"/>
                <w:sz w:val="18"/>
                <w:szCs w:val="18"/>
                <w:lang w:val="ro-RO"/>
              </w:rPr>
              <w:t>. Capacitatea creată prin intermediul unor proceduri care nu se bazează pe piață și pentru care decizia finală privind investițiile a fost luată fără angajamente anterioare din partea utilizatorilor de sistem este oferită și alocată ca PSC disponibilă, astfel cum prevede prezentul Titlu.</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C</w:t>
            </w:r>
            <w:r w:rsidRPr="00B91C10">
              <w:rPr>
                <w:rFonts w:asciiTheme="majorBidi" w:hAnsiTheme="majorBidi" w:cstheme="majorBidi"/>
                <w:sz w:val="18"/>
                <w:szCs w:val="18"/>
              </w:rPr>
              <w:t>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lastRenderedPageBreak/>
              <w:t>CHAPTER III</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ALLOCATION OF FIRM CAPACITY PRODUCTS</w:t>
            </w:r>
          </w:p>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t>Article 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Allocation methodology</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Auctions shall be used for the allocation of capacity at interconnection points, except where the alternative allocation methodology pursuant to Article 30 is applied.</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At all interconnection points the same auction design shall apply. The relevant auction processes shall start simultaneously for all concerned interconnection points. Each auction process, relating to a single standard capacity product, shall allocate capacity independently of every other auction process except where incremental capacity is offered or where, subject to the agreement of the directly involved transmission system operators and the approval of relevant national regulatory authorities, competing capacity is allocated. The national regulatory authority of any adjacent and affected Contracting Party or Member State may provide a position which shall be considered by the relevant national regulatory authority. In case incremental capacity is offered, the independent allocation shall not apply to the simultaneous auction </w:t>
            </w:r>
            <w:r w:rsidRPr="00B91C10">
              <w:rPr>
                <w:rFonts w:asciiTheme="majorBidi" w:hAnsiTheme="majorBidi" w:cstheme="majorBidi"/>
                <w:sz w:val="18"/>
                <w:szCs w:val="18"/>
              </w:rPr>
              <w:lastRenderedPageBreak/>
              <w:t>processes for the respective offer levels, since these are dependent on each other, as only one offer level can be allocated.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The standard capacity products shall follow a logical order by which products covering yearly capacity shall be offered first, followed by the product with the next shortest duration for use during the same period. The timing of the auctions provided for in Articles 11 to 15 shall be consistent with this principle.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The rules on standard capacity products as set out in Article 9 and auctions as set out in Articles 11 to 15 shall apply to bundled capacity and unbundled capacity at an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For a given auction, the availability of the relevant standard capacity products shall be communicated in accordance with Articles 11 to 15 and according to the auction calendar.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6. An amount at least equal to 20 % of the existing technical capacity at each interconnection point shall be set aside and offered in accordance with paragraph 7. If the available capacity is less than the proportion of technical capacity to be set aside, the whole of any available capacity shall be set aside. This capacity shall be offered in accordance with point (b) of paragraph 7, while any remaining capacity set aside shall be offered in accordance with point (a) of paragraph 7.</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Any capacity set aside pursuant to paragraph 6 shall be offered, subject to the following provisions: (a) an amount at least equal to 10 % of the existing technical capacity at each interconnection point shall be offered no earlier than in the annual yearly capacity auction as provided for in Article 11 held in accordance with the auction calendar during the fifth gas year preceding the start of the relevant gas year;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a further amount at least equal to 10 % of the existing technical capacity at each interconnection point shall first be offered no earlier than the annual quarterly capacity auction as provided for in Article 12, held in accordance with the auction calendar during the gas year preceding the start of the relevant gas year.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 In the case of incremental capacity, an amount at least equal to 10 % of the incremental technical capacity at the concerned interconnection point shall be set aside and offered no earlier than theannual quarterly capacity auction as provided for in Article 12, held in accordance with the auction calendar during the gas year preceding the start of the relevant gas year.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9. The exact proportion of capacity to be set aside pursuant to paragraphs 6 and 8 shall be subject to a stakeholder consultation, alignment between transmission system operators and approval by national regulatory authorities at each interconnection point. National regulatory authorities shall in particular consider setting aside higher shares of capacity with a shorter duration to avoid foreclosure of downstream supply markets.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10. Capacity created via non-market based procedures and for which the final investment decision has been taken without prior commitments from network users shall be offered and allocated as available standard capacity products as set out in this Regulation.</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lastRenderedPageBreak/>
              <w:t>Articolul 9</w:t>
            </w:r>
          </w:p>
          <w:p w:rsidR="00F02F76" w:rsidRPr="00B91C10"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Produsele standard de capacitate</w:t>
            </w: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Operatorii de transport și de sistem oferă produse standard de capacitate anuală, trimestrială, lunară, zilnică și intra-zilnică.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Produsele standard de capacitate anuală reprezintă capacitatea care poate fi solicitată, într-un anumit volum, de un utilizator al rețelei pentru toate zilele gaziere dintr-un anumit an gazier (începând cu 1 octombrie).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Produsele standard de capacitate trimestrială reprezintă capacitatea care poate fi solicitată, într-un anumit volum, de un utilizator al rețelei pentru toate zilele gaziere dintr-un anumit trimestru (începând cu 1 octombrie, 1 ianuarie, 1 aprilie sau, respectiv, 1 iulie).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Produsele standard de capacitate lunară reprezintă capacitatea care poate fi solicitată, într-un anumit volum, de un utilizator al rețelei pentru toate zilele gaziere dintr-o anumită lună calendaristică (începând cu prima zi a fiecărei luni).</w:t>
            </w:r>
          </w:p>
          <w:p w:rsidR="001D3FCE" w:rsidRPr="00B91C10" w:rsidRDefault="001D3FCE"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Produsele standard de capacitate zilnică reprezintă capacitatea care poate fi solicitată, într-un anumit volum, de un utilizator al rețelei pentru o singură zi gazieră.</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(6)   Produsele standard de capacitate intra-zilnică reprezintă capacitatea care poate fi solicitată, într-un anumit volum, de un utilizator al rețelei începând cu ora de începere în cursul unei anumite zile gaziere până la sfârșitul aceleiași zile gaziere.</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2</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Produsele de capacitate</w:t>
            </w:r>
            <w:r>
              <w:rPr>
                <w:rFonts w:asciiTheme="majorBidi" w:hAnsiTheme="majorBidi" w:cstheme="majorBidi"/>
                <w:b/>
                <w:bCs/>
                <w:sz w:val="18"/>
                <w:szCs w:val="18"/>
                <w:lang w:val="ro-RO"/>
              </w:rPr>
              <w:t xml:space="preserve"> standard</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46</w:t>
            </w:r>
            <w:r w:rsidRPr="00B91C10">
              <w:rPr>
                <w:rFonts w:asciiTheme="majorBidi" w:hAnsiTheme="majorBidi" w:cstheme="majorBidi"/>
                <w:sz w:val="18"/>
                <w:szCs w:val="18"/>
                <w:lang w:val="ro-RO"/>
              </w:rPr>
              <w:t>0.OST oferă PSC anuală, trimestrială, lunară, zilnică și intra-zilnică.</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47</w:t>
            </w:r>
            <w:r w:rsidRPr="00B91C10">
              <w:rPr>
                <w:rFonts w:asciiTheme="majorBidi" w:hAnsiTheme="majorBidi" w:cstheme="majorBidi"/>
                <w:sz w:val="18"/>
                <w:szCs w:val="18"/>
                <w:lang w:val="ro-RO"/>
              </w:rPr>
              <w:t>.PSC anuală reprezintă capacitatea care poate fi solicitată, într-un anumit volum, de un utilizator de sistem pentru toate zilele gaziere dintr-un anumit an gazier (începând cu 1 octombrie).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48.</w:t>
            </w:r>
            <w:r w:rsidRPr="00B91C10">
              <w:rPr>
                <w:rFonts w:asciiTheme="majorBidi" w:hAnsiTheme="majorBidi" w:cstheme="majorBidi"/>
                <w:sz w:val="18"/>
                <w:szCs w:val="18"/>
                <w:lang w:val="ro-RO"/>
              </w:rPr>
              <w:t>.PSC trimestrială reprezintă capacitatea care poate fi solicitată, de un utilizator de sistem pentru toate zilele gaziere dintr-un anumit trimestru (începând cu 1 octombrie, 1 ianuarie, 1 aprilie sau, respectiv, 1 iulie).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49</w:t>
            </w:r>
            <w:r w:rsidRPr="00B91C10">
              <w:rPr>
                <w:rFonts w:asciiTheme="majorBidi" w:hAnsiTheme="majorBidi" w:cstheme="majorBidi"/>
                <w:sz w:val="18"/>
                <w:szCs w:val="18"/>
                <w:lang w:val="ro-RO"/>
              </w:rPr>
              <w:t>.PSC lunară reprezintă capacitatea care poate fi solicitată, de un utilizator de sistem pentru toate zilele gaziere dintr-o anumită lună calendaristică (începând cu prima zi a fiecărei luni).</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0</w:t>
            </w:r>
            <w:r w:rsidRPr="00B91C10">
              <w:rPr>
                <w:rFonts w:asciiTheme="majorBidi" w:hAnsiTheme="majorBidi" w:cstheme="majorBidi"/>
                <w:sz w:val="18"/>
                <w:szCs w:val="18"/>
                <w:lang w:val="ro-RO"/>
              </w:rPr>
              <w:t>.PSC zilnică reprezintă capacitatea care poate fi solicitată, de un utilizator de sistem pentru o singură zi gazieră.</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CE6605"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.PSC intra-zilnică reprezintă capacitatea care poate fi solicitată, de un utilizator de sistem începând cu ora de începere în cursul unei anumite zile gaziere până la sfârșitul aceleiași zile </w:t>
            </w:r>
            <w:r>
              <w:rPr>
                <w:rFonts w:asciiTheme="majorBidi" w:hAnsiTheme="majorBidi" w:cstheme="majorBidi"/>
                <w:sz w:val="18"/>
                <w:szCs w:val="18"/>
                <w:lang w:val="ro-RO"/>
              </w:rPr>
              <w:t>gaziere.</w:t>
            </w:r>
          </w:p>
        </w:tc>
        <w:tc>
          <w:tcPr>
            <w:tcW w:w="1417" w:type="dxa"/>
          </w:tcPr>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t>Article 9</w:t>
            </w: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b/>
                <w:bCs/>
                <w:sz w:val="18"/>
                <w:szCs w:val="18"/>
              </w:rPr>
              <w:t>Standard capacity products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Transmission system operators shall offer yearly, quarterly, monthly, daily and within-day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Yearly standard capacity products shall be the capacity which may be applied for, in a given amount, by a network user for all gas days in a particular gas year (starting on 1 October).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Quarterly standard capacity products shall be the capacity which may be applied for, in a given amount, by a network user for all gas days in a particular quarter (starting on 1 October, 1 January, 1 April or 1 July respectively).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Monthly standard capacity products shall be the capacity which may be applied for, in a given amount, by a network user for all gas days in a particular calendar month (starting on the first day of each month).</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Daily standard capacity products shall be the capacity which may be applied for, in a given amount, by a network user for a single gas day.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6. Within-day standard capacity products shall be the capacity which may be applied for, in a given amount, by a network user from a start time within a particular gas day until the end of the same gas day.</w:t>
            </w:r>
          </w:p>
        </w:tc>
      </w:tr>
      <w:tr w:rsidR="00F02F76" w:rsidRPr="00B91C10" w:rsidTr="00495CCB">
        <w:trPr>
          <w:trHeight w:val="416"/>
        </w:trPr>
        <w:tc>
          <w:tcPr>
            <w:tcW w:w="5245" w:type="dxa"/>
          </w:tcPr>
          <w:p w:rsidR="00F02F76" w:rsidRPr="00C33F84" w:rsidRDefault="00F02F76" w:rsidP="00670674">
            <w:pPr>
              <w:shd w:val="clear" w:color="auto" w:fill="FFFFFF"/>
              <w:jc w:val="center"/>
              <w:rPr>
                <w:rFonts w:asciiTheme="majorBidi" w:hAnsiTheme="majorBidi" w:cstheme="majorBidi"/>
                <w:i/>
                <w:iCs/>
                <w:sz w:val="18"/>
                <w:szCs w:val="18"/>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10</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Unitatea de capacitate aplicată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Capacitatea oferită se exprimă în unități de energie pe unitate de timp. Se utilizează următoarele unități: kWh/oră sau kWh/zi. În cazul în care se utilizează kWh/zi, se presupune că există un flux constant de-a lungul zilei gaziere.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w:t>
            </w:r>
            <w:r>
              <w:rPr>
                <w:rFonts w:asciiTheme="majorBidi" w:hAnsiTheme="majorBidi" w:cstheme="majorBidi"/>
                <w:b/>
                <w:iCs/>
                <w:sz w:val="18"/>
                <w:szCs w:val="18"/>
                <w:lang w:val="ro-RO"/>
              </w:rPr>
              <w:t>2</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t>Produse de capacitate standard</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15</w:t>
            </w:r>
            <w:r>
              <w:rPr>
                <w:rFonts w:asciiTheme="majorBidi" w:hAnsiTheme="majorBidi" w:cstheme="majorBidi"/>
                <w:sz w:val="18"/>
                <w:szCs w:val="18"/>
                <w:lang w:val="ro-RO"/>
              </w:rPr>
              <w:t>2</w:t>
            </w:r>
            <w:r w:rsidRPr="00B91C10">
              <w:rPr>
                <w:rFonts w:asciiTheme="majorBidi" w:hAnsiTheme="majorBidi" w:cstheme="majorBidi"/>
                <w:sz w:val="18"/>
                <w:szCs w:val="18"/>
                <w:lang w:val="ro-RO"/>
              </w:rPr>
              <w:t>.Capacitatea oferită se exprimă în unități de energie pe unitate de timp. Se utilizează următoarele unități: kWh/oră sau kWh/zi. În cazul în care se utilizează kWh/zi, se presupune că există un flux constant de-a lungul zilei gaziere.</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Default="00F02F76" w:rsidP="00670674">
            <w:pPr>
              <w:jc w:val="center"/>
              <w:rPr>
                <w:rFonts w:asciiTheme="majorBidi" w:hAnsiTheme="majorBidi" w:cstheme="majorBidi"/>
                <w:b/>
                <w:sz w:val="18"/>
                <w:szCs w:val="18"/>
              </w:rPr>
            </w:pPr>
          </w:p>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t>Article 10</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Applied capacity unit</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lastRenderedPageBreak/>
              <w:t>The capacity offered shall be expressed in energy units per unit of time. The following units shall be used: kWh/h or kWh/d. In case of kWh/d a flat flow rate over the gas day is assumed.</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11</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Licitațiile anuale ale capacității anuale</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Licitațiile capacității anuale au loc o dată pe an.</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Capacitatea pentru fiecare produs standard de capacitate anuală este licitată prin intermediul unei licitații anuale a capacității anuale folosind un algoritm de licitație cu preț crescător, în conformitate cu articolul 17.</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Procesul de licitație oferă capacitate cel puțin pentru următorii cinci ani gazieri și pentru o perioadă care nu depășește următorii 15 ani gazieri pentru capacitatea existentă. Atunci când se oferă capacitate incrementală, nivelurile de ofertă pot fi oferite în cadrul licitațiilor anuale ale capacității pentru o perioadă de maximum 15 ani de la începerea utilizării operaționale.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Începând cu 2018, licitațiile anuale ale capacității anuale încep în prima zi de luni a lunii iulie a fiecărui an, cu excepția cazului în care se specifică altfel în calendarul licitației.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cursul licitației anuale a capacității anuale, utilizatorii rețelei pot participa la una sau mai multe licitații concomitente în legătură cu fiecare punct de interconectare, pentru a solicita produse standard de capacitate.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Capacitatea care urmează să fie oferită în cadrul licitației anuale a capacității anuale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4"/>
              <w:gridCol w:w="4885"/>
            </w:tblGrid>
            <w:tr w:rsidR="00F02F76" w:rsidRPr="00B91C10" w:rsidTr="00670674">
              <w:tc>
                <w:tcPr>
                  <w:tcW w:w="251"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910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 B – C + D + E – F</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B </w:t>
                  </w:r>
                  <w:r w:rsidRPr="00B91C10">
                    <w:rPr>
                      <w:rFonts w:asciiTheme="majorBidi" w:hAnsiTheme="majorBidi" w:cstheme="majorBidi"/>
                      <w:sz w:val="18"/>
                      <w:szCs w:val="18"/>
                      <w:lang w:val="it-IT"/>
                    </w:rPr>
                    <w:t>pentru licitațiile anuale care oferă capacitate anuală pentru următorii cinci ani, este volumul de capacitate tehnică (A) rezervat în conformitate cu articolul 8 alineatul (7); pentru licitațiile anuale ale capacității anuale dincolo de primii cinci ani, este volumul de capacitate tehnică (A) rezervat în conformitate cu articolul 8 alineatul (7);</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anul în cauză, dacă este cazul.</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E </w:t>
                  </w:r>
                  <w:r w:rsidRPr="00B91C10">
                    <w:rPr>
                      <w:rFonts w:asciiTheme="majorBidi" w:hAnsiTheme="majorBidi" w:cstheme="majorBidi"/>
                      <w:sz w:val="18"/>
                      <w:szCs w:val="18"/>
                      <w:lang w:val="it-IT"/>
                    </w:rPr>
                    <w:t>este capacitatea incrementală pentru anul în cauză, inclusă în nivelul respectiv al ofertei, dacă este cazul;</w:t>
                  </w: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F </w:t>
                  </w:r>
                  <w:r w:rsidRPr="00B91C10">
                    <w:rPr>
                      <w:rFonts w:asciiTheme="majorBidi" w:hAnsiTheme="majorBidi" w:cstheme="majorBidi"/>
                      <w:sz w:val="18"/>
                      <w:szCs w:val="18"/>
                      <w:lang w:val="it-IT"/>
                    </w:rPr>
                    <w:t>este volumul de capacitate incrementală (E), dacă este cazul, rezervat în conformitate cu articolul 8 alineatele (8) și (9).</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(7)   Capacitatea care urmează să fie oferită poate fi agregată sau neagregată, în conformitate cu articolul 19. Această dispoziție se aplică, de asemenea, tuturor celorlalte licitații prevăzute la articolele 12-15.</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Cu cel puțin o lună înainte de începerea licitației, operatorii de transport și de sistem trebuie să informeze utilizatorii rețelei cu privire la volumul de capacitate fermă care urmează să fie oferit pentru fiecare an în cadrul viitoarei licitații anuale a capacității anuale.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Rundele de licitație pentru fiecare licitație au loc între orele 8.00 și 17.00 UTC (ora de iarnă) sau între orele 7.00 și 16.00 UTC (ora de vară), în toate zilele gaziere relevante. Rundele de licitație sunt deschise și închise în fiecare zi gazieră, astfel cum se prevede la articolul 17 alineatul (2).</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Rezultatele privind alocările, obținute în urma licitației, sunt puse simultan la dispoziția utilizatorilor individuali ai rețelei care participă la licitația respectivă, cât mai curând posibil și nu mai târziu de următoarea zi lucrătoare după închiderea rundei de licitație.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capacității incrementale, angajamentele obligatorii ale utilizatorilor rețelei pentru contractarea de capacitate, inclusiv îndeplinirea sau nu a condițiilor pentru o nouă licitație în conformitate cu articolul 29 alineatul (3), sunt puse la dispoziția utilizatorilor individuali ai rețelei care participă la licitația respectivă, în mod simultan și nu mai târziu de următoarea zi lucrătoare după închiderea rundei de licitație. Rezultatele testelor economice sunt puse la dispoziția utilizatorilor individuali ai rețelei care participă la licitația respectivă, în mod simultan și nu mai târziu de două zile lucrătoare după închiderea rundei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Informațiile agregate privind rezultatele licitației sunt puse la dispoziția pieței.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 4</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Licitațiile anuale ale capacității anuale</w:t>
            </w:r>
          </w:p>
          <w:p w:rsidR="00F02F76" w:rsidRPr="00B91C10" w:rsidRDefault="00F02F76" w:rsidP="00670674">
            <w:pPr>
              <w:shd w:val="clear" w:color="auto" w:fill="FFFFFF"/>
              <w:jc w:val="center"/>
              <w:rPr>
                <w:rFonts w:asciiTheme="majorBidi" w:hAnsiTheme="majorBidi" w:cstheme="majorBidi"/>
                <w:bCs/>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3</w:t>
            </w:r>
            <w:r w:rsidRPr="00B91C10">
              <w:rPr>
                <w:rFonts w:asciiTheme="majorBidi" w:hAnsiTheme="majorBidi" w:cstheme="majorBidi"/>
                <w:sz w:val="18"/>
                <w:szCs w:val="18"/>
                <w:lang w:val="ro-RO"/>
              </w:rPr>
              <w:t>.Licitațiile capacității anuale au loc o dată pe an.</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.Capacitatea pentru fiecare PSC anuală este licitată prin intermediul unei licitații a capacității anuale folosind un algoritm de licitație cu preț crescător, în conformitate </w:t>
            </w:r>
            <w:r w:rsidRPr="00B91C10">
              <w:rPr>
                <w:rFonts w:asciiTheme="majorBidi" w:hAnsiTheme="majorBidi" w:cstheme="majorBidi"/>
                <w:sz w:val="18"/>
                <w:szCs w:val="18"/>
                <w:highlight w:val="lightGray"/>
                <w:lang w:val="ro-RO"/>
              </w:rPr>
              <w:t>cu pct. 2</w:t>
            </w:r>
            <w:r>
              <w:rPr>
                <w:rFonts w:asciiTheme="majorBidi" w:hAnsiTheme="majorBidi" w:cstheme="majorBidi"/>
                <w:sz w:val="18"/>
                <w:szCs w:val="18"/>
                <w:highlight w:val="lightGray"/>
                <w:lang w:val="ro-RO"/>
              </w:rPr>
              <w:t>09</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23</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5</w:t>
            </w:r>
            <w:r w:rsidRPr="00B91C10">
              <w:rPr>
                <w:rFonts w:asciiTheme="majorBidi" w:hAnsiTheme="majorBidi" w:cstheme="majorBidi"/>
                <w:sz w:val="18"/>
                <w:szCs w:val="18"/>
                <w:lang w:val="ro-RO"/>
              </w:rPr>
              <w:t>.Procesul de licitație oferă capacitate cel puțin pentru următorii 5 ani gazieri și pentru o perioadă care nu depășește următorii 15 ani gazieri pentru capacitatea existentă. Atunci când se oferă capacitate incrementală, ofertele pot fi oferite în cadrul licitațiilorde capacitate pentru o perioadă de maximum 15 ani de la începerea utilizării operaționale.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56</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În </w:t>
            </w:r>
            <w:r w:rsidRPr="00B91C10">
              <w:rPr>
                <w:rFonts w:asciiTheme="majorBidi" w:hAnsiTheme="majorBidi" w:cstheme="majorBidi"/>
                <w:sz w:val="18"/>
                <w:szCs w:val="18"/>
                <w:lang w:val="ro-RO"/>
              </w:rPr>
              <w:t xml:space="preserve"> următorul an gazier din momentul întrării în vigoare a prezentului Cod, licitațiile capacității anuale încep în prima zi de luni a lunii iulie a fiecărui an, cu excepția cazului în care se specifică altfel în calendarul licitației.</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57</w:t>
            </w:r>
            <w:r w:rsidRPr="00B91C10">
              <w:rPr>
                <w:rFonts w:asciiTheme="majorBidi" w:hAnsiTheme="majorBidi" w:cstheme="majorBidi"/>
                <w:sz w:val="18"/>
                <w:szCs w:val="18"/>
                <w:lang w:val="ro-RO"/>
              </w:rPr>
              <w:t xml:space="preserve">.În cursul licitației capacității anuale, utilizatorii de sistem pot participa la una sau mai multe licitații concomitente în legătură cu fiecare punct de interconectare,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pentru a solicita PSC.</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58</w:t>
            </w:r>
            <w:r w:rsidRPr="00B91C10">
              <w:rPr>
                <w:rFonts w:asciiTheme="majorBidi" w:hAnsiTheme="majorBidi" w:cstheme="majorBidi"/>
                <w:sz w:val="18"/>
                <w:szCs w:val="18"/>
                <w:lang w:val="ro-RO"/>
              </w:rPr>
              <w:t>.Capacitatea care urmează să fie oferită în cadrul licitației capacității anuale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B91C10" w:rsidTr="00670674">
              <w:tc>
                <w:tcPr>
                  <w:tcW w:w="9781" w:type="dxa"/>
                  <w:shd w:val="clear" w:color="auto" w:fill="FFFFFF"/>
                  <w:hideMark/>
                </w:tcPr>
                <w:p w:rsidR="00F02F76" w:rsidRPr="00B91C10" w:rsidRDefault="00F02F76" w:rsidP="00670674">
                  <w:pPr>
                    <w:jc w:val="center"/>
                    <w:rPr>
                      <w:rFonts w:asciiTheme="majorBidi" w:hAnsiTheme="majorBidi" w:cstheme="majorBidi"/>
                      <w:sz w:val="18"/>
                      <w:szCs w:val="18"/>
                      <w:lang w:val="ro-RO"/>
                    </w:rPr>
                  </w:pPr>
                  <w:r w:rsidRPr="00B91C10">
                    <w:rPr>
                      <w:rFonts w:asciiTheme="majorBidi" w:hAnsiTheme="majorBidi" w:cstheme="majorBidi"/>
                      <w:sz w:val="18"/>
                      <w:szCs w:val="18"/>
                      <w:lang w:val="ro-RO"/>
                    </w:rPr>
                    <w:t>A – B – C + D + E – F</w:t>
                  </w:r>
                </w:p>
              </w:tc>
            </w:tr>
          </w:tbl>
          <w:p w:rsidR="00F02F76" w:rsidRPr="00B91C10"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Unde: </w:t>
                  </w:r>
                </w:p>
                <w:p w:rsidR="00F02F76" w:rsidRPr="00B91C10" w:rsidRDefault="00F02F76" w:rsidP="00670674">
                  <w:pPr>
                    <w:ind w:firstLine="851"/>
                    <w:jc w:val="both"/>
                    <w:rPr>
                      <w:rFonts w:asciiTheme="majorBidi" w:hAnsiTheme="majorBidi" w:cstheme="majorBidi"/>
                      <w:sz w:val="18"/>
                      <w:szCs w:val="18"/>
                      <w:lang w:val="ro-RO"/>
                    </w:rPr>
                  </w:pP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B </w:t>
                  </w:r>
                  <w:r w:rsidRPr="00B91C10">
                    <w:rPr>
                      <w:rFonts w:asciiTheme="majorBidi" w:hAnsiTheme="majorBidi" w:cstheme="majorBidi"/>
                      <w:sz w:val="18"/>
                      <w:szCs w:val="18"/>
                      <w:lang w:val="ro-RO"/>
                    </w:rPr>
                    <w:t xml:space="preserve">pentru licitațiile care oferă capacitate anuală pentru următorii 5 ani, este capacitatea tehnică (A) rezervată în conformitate cu </w:t>
                  </w:r>
                  <w:r w:rsidRPr="00B91C10">
                    <w:rPr>
                      <w:rFonts w:asciiTheme="majorBidi" w:hAnsiTheme="majorBidi" w:cstheme="majorBidi"/>
                      <w:sz w:val="18"/>
                      <w:szCs w:val="18"/>
                      <w:highlight w:val="lightGray"/>
                      <w:lang w:val="ro-RO"/>
                    </w:rPr>
                    <w:t xml:space="preserve">pct. </w:t>
                  </w:r>
                  <w:r w:rsidRPr="00B91C10">
                    <w:rPr>
                      <w:rFonts w:asciiTheme="majorBidi" w:hAnsiTheme="majorBidi" w:cstheme="majorBidi"/>
                      <w:sz w:val="18"/>
                      <w:szCs w:val="18"/>
                      <w:lang w:val="ro-RO"/>
                    </w:rPr>
                    <w:t>14</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pentru licitațiile capacității anuale dincolo de primii 5 ani, este capacitatea tehnică (A) rezervată în conformitate cu </w:t>
                  </w:r>
                  <w:r w:rsidRPr="00B91C10">
                    <w:rPr>
                      <w:rFonts w:asciiTheme="majorBidi" w:hAnsiTheme="majorBidi" w:cstheme="majorBidi"/>
                      <w:sz w:val="18"/>
                      <w:szCs w:val="18"/>
                      <w:highlight w:val="lightGray"/>
                      <w:lang w:val="ro-RO"/>
                    </w:rPr>
                    <w:t xml:space="preserve">pct. </w:t>
                  </w:r>
                  <w:r w:rsidRPr="00B91C10">
                    <w:rPr>
                      <w:rFonts w:asciiTheme="majorBidi" w:hAnsiTheme="majorBidi" w:cstheme="majorBidi"/>
                      <w:sz w:val="18"/>
                      <w:szCs w:val="18"/>
                      <w:lang w:val="ro-RO"/>
                    </w:rPr>
                    <w:t>14</w:t>
                  </w:r>
                  <w:r>
                    <w:rPr>
                      <w:rFonts w:asciiTheme="majorBidi" w:hAnsiTheme="majorBidi" w:cstheme="majorBidi"/>
                      <w:sz w:val="18"/>
                      <w:szCs w:val="18"/>
                      <w:lang w:val="ro-RO"/>
                    </w:rPr>
                    <w:t>2</w:t>
                  </w:r>
                  <w:r w:rsidRPr="00B91C10">
                    <w:rPr>
                      <w:rFonts w:asciiTheme="majorBidi" w:hAnsiTheme="majorBidi" w:cstheme="majorBidi"/>
                      <w:sz w:val="18"/>
                      <w:szCs w:val="18"/>
                      <w:lang w:val="ro-RO"/>
                    </w:rPr>
                    <w:t>;</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la gestionarea congestiilor;</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anul în cauză, dacă este cazul.</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lastRenderedPageBreak/>
                    <w:t>E </w:t>
                  </w:r>
                  <w:r w:rsidRPr="00B91C10">
                    <w:rPr>
                      <w:rFonts w:asciiTheme="majorBidi" w:hAnsiTheme="majorBidi" w:cstheme="majorBidi"/>
                      <w:sz w:val="18"/>
                      <w:szCs w:val="18"/>
                      <w:lang w:val="ro-RO"/>
                    </w:rPr>
                    <w:t>este capacitatea incrementală pentru anul în cauză, inclusă în nivelul respectiv al ofertei, dacă este cazul;</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F </w:t>
                  </w:r>
                  <w:r w:rsidRPr="00B91C10">
                    <w:rPr>
                      <w:rFonts w:asciiTheme="majorBidi" w:hAnsiTheme="majorBidi" w:cstheme="majorBidi"/>
                      <w:sz w:val="18"/>
                      <w:szCs w:val="18"/>
                      <w:lang w:val="ro-RO"/>
                    </w:rPr>
                    <w:t xml:space="preserve">este capacitatea incrementală (E), dacă este cazul, rezervată în conformitate cu </w:t>
                  </w:r>
                  <w:r w:rsidRPr="00B91C10">
                    <w:rPr>
                      <w:rFonts w:asciiTheme="majorBidi" w:hAnsiTheme="majorBidi" w:cstheme="majorBidi"/>
                      <w:sz w:val="18"/>
                      <w:szCs w:val="18"/>
                      <w:highlight w:val="lightGray"/>
                      <w:lang w:val="ro-RO"/>
                    </w:rPr>
                    <w:t xml:space="preserve">pct. </w:t>
                  </w:r>
                  <w:r w:rsidRPr="00B91C10">
                    <w:rPr>
                      <w:rFonts w:asciiTheme="majorBidi" w:hAnsiTheme="majorBidi" w:cstheme="majorBidi"/>
                      <w:sz w:val="18"/>
                      <w:szCs w:val="18"/>
                      <w:lang w:val="ro-RO"/>
                    </w:rPr>
                    <w:t>14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și </w:t>
                  </w:r>
                  <w:r w:rsidRPr="00B91C10">
                    <w:rPr>
                      <w:rFonts w:asciiTheme="majorBidi" w:hAnsiTheme="majorBidi" w:cstheme="majorBidi"/>
                      <w:sz w:val="18"/>
                      <w:szCs w:val="18"/>
                      <w:highlight w:val="lightGray"/>
                      <w:lang w:val="ro-RO"/>
                    </w:rPr>
                    <w:t>pct. 1</w:t>
                  </w:r>
                  <w:r>
                    <w:rPr>
                      <w:rFonts w:asciiTheme="majorBidi" w:hAnsiTheme="majorBidi" w:cstheme="majorBidi"/>
                      <w:sz w:val="18"/>
                      <w:szCs w:val="18"/>
                      <w:highlight w:val="lightGray"/>
                      <w:lang w:val="ro-RO"/>
                    </w:rPr>
                    <w:t>44</w:t>
                  </w:r>
                  <w:r w:rsidRPr="00B91C10">
                    <w:rPr>
                      <w:rFonts w:asciiTheme="majorBidi" w:hAnsiTheme="majorBidi" w:cstheme="majorBidi"/>
                      <w:sz w:val="18"/>
                      <w:szCs w:val="18"/>
                      <w:highlight w:val="lightGray"/>
                      <w:lang w:val="ro-RO"/>
                    </w:rPr>
                    <w:t>.</w:t>
                  </w:r>
                </w:p>
              </w:tc>
            </w:tr>
          </w:tbl>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w:t>
            </w:r>
            <w:r>
              <w:rPr>
                <w:rFonts w:asciiTheme="majorBidi" w:hAnsiTheme="majorBidi" w:cstheme="majorBidi"/>
                <w:sz w:val="18"/>
                <w:szCs w:val="18"/>
                <w:lang w:val="ro-RO"/>
              </w:rPr>
              <w:t>59</w:t>
            </w:r>
            <w:r w:rsidRPr="00B91C10">
              <w:rPr>
                <w:rFonts w:asciiTheme="majorBidi" w:hAnsiTheme="majorBidi" w:cstheme="majorBidi"/>
                <w:sz w:val="18"/>
                <w:szCs w:val="18"/>
                <w:lang w:val="ro-RO"/>
              </w:rPr>
              <w:t xml:space="preserve">.Capacitatea care urmează să fie oferită poate fi agregată sau neagregată, în conformitate </w:t>
            </w:r>
            <w:r w:rsidRPr="00B91C10">
              <w:rPr>
                <w:rFonts w:asciiTheme="majorBidi" w:hAnsiTheme="majorBidi" w:cstheme="majorBidi"/>
                <w:sz w:val="18"/>
                <w:szCs w:val="18"/>
                <w:highlight w:val="lightGray"/>
                <w:lang w:val="ro-RO"/>
              </w:rPr>
              <w:t xml:space="preserve">cu pct. </w:t>
            </w:r>
            <w:r w:rsidRPr="00B91C10">
              <w:rPr>
                <w:rFonts w:asciiTheme="majorBidi" w:hAnsiTheme="majorBidi" w:cstheme="majorBidi"/>
                <w:sz w:val="18"/>
                <w:szCs w:val="18"/>
                <w:lang w:val="ro-RO"/>
              </w:rPr>
              <w:t>24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Această dispoziție se aplică, de asemenea, tuturor celorlalte licitații prevăzute la </w:t>
            </w:r>
            <w:r w:rsidRPr="00B91C10">
              <w:rPr>
                <w:rFonts w:asciiTheme="majorBidi" w:hAnsiTheme="majorBidi" w:cstheme="majorBidi"/>
                <w:sz w:val="18"/>
                <w:szCs w:val="18"/>
                <w:highlight w:val="lightGray"/>
                <w:lang w:val="ro-RO"/>
              </w:rPr>
              <w:t>pct. 16</w:t>
            </w:r>
            <w:r>
              <w:rPr>
                <w:rFonts w:asciiTheme="majorBidi" w:hAnsiTheme="majorBidi" w:cstheme="majorBidi"/>
                <w:sz w:val="18"/>
                <w:szCs w:val="18"/>
                <w:highlight w:val="lightGray"/>
                <w:lang w:val="ro-RO"/>
              </w:rPr>
              <w:t>5</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20</w:t>
            </w:r>
            <w:r>
              <w:rPr>
                <w:rFonts w:asciiTheme="majorBidi" w:hAnsiTheme="majorBidi" w:cstheme="majorBidi"/>
                <w:sz w:val="18"/>
                <w:szCs w:val="18"/>
                <w:lang w:val="ro-RO"/>
              </w:rPr>
              <w:t>5</w:t>
            </w:r>
            <w:r w:rsidRPr="00B91C10">
              <w:rPr>
                <w:rFonts w:asciiTheme="majorBidi" w:hAnsiTheme="majorBidi" w:cstheme="majorBidi"/>
                <w:sz w:val="18"/>
                <w:szCs w:val="18"/>
                <w:lang w:val="ro-RO"/>
              </w:rPr>
              <w:t>.</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0</w:t>
            </w:r>
            <w:r w:rsidRPr="00B91C10">
              <w:rPr>
                <w:rFonts w:asciiTheme="majorBidi" w:hAnsiTheme="majorBidi" w:cstheme="majorBidi"/>
                <w:sz w:val="18"/>
                <w:szCs w:val="18"/>
                <w:lang w:val="ro-RO"/>
              </w:rPr>
              <w:t>.Cu cel puțin o lună înainte de începerea licitației, OST trebuie să informeze utilizatorii de sistem cu privire  la capacitatea fermă care urmează să fie oferită pentru fiecare an în cadrul viitoarei licitații a capacității anuale.</w:t>
            </w:r>
          </w:p>
          <w:p w:rsidR="00F02F76" w:rsidRPr="0099759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.Rundele de licitație pentru fiecare licitație au loc între orele 8.00 și 17.00 UTC (ora de iarnă) sau între orele 7.00 și 16.00 </w:t>
            </w:r>
            <w:r w:rsidRPr="00997596">
              <w:rPr>
                <w:rFonts w:asciiTheme="majorBidi" w:hAnsiTheme="majorBidi" w:cstheme="majorBidi"/>
                <w:sz w:val="18"/>
                <w:szCs w:val="18"/>
                <w:lang w:val="ro-RO"/>
              </w:rPr>
              <w:t>UTC (ora de vară), în toate zilele gaziere relevante. Rundele de licitație sunt deschise și închise în fiecare zi gazieră, astfel cum se prevede la pct. 210</w:t>
            </w:r>
          </w:p>
          <w:p w:rsidR="00F02F76" w:rsidRPr="00997596" w:rsidRDefault="00F02F76" w:rsidP="00670674">
            <w:pPr>
              <w:tabs>
                <w:tab w:val="left" w:pos="851"/>
              </w:tabs>
              <w:jc w:val="both"/>
              <w:outlineLvl w:val="0"/>
              <w:rPr>
                <w:rFonts w:asciiTheme="majorBidi" w:hAnsiTheme="majorBidi" w:cstheme="majorBidi"/>
                <w:sz w:val="18"/>
                <w:szCs w:val="18"/>
                <w:lang w:val="ro-RO"/>
              </w:rPr>
            </w:pPr>
          </w:p>
          <w:p w:rsidR="00F02F76" w:rsidRPr="00997596" w:rsidRDefault="00F02F76" w:rsidP="00670674">
            <w:pPr>
              <w:tabs>
                <w:tab w:val="left" w:pos="851"/>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162Rezultatele alocărilor, obținute în urma licitației, sunt puse simultan la dispoziția utilizatorilor de sistem individuali care participă la licitația respectivă, cât mai curând posibil și nu mai târziu de următoarea zi lucrătoare după închiderea rundei de licitație.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163.În cazul capacității incrementale, angajamentele obligatorii ale utilizatorilor de sistem pentru  contractarea capacității, inclusiv îndeplinirea sau nu a condițiilor pentru o nouă licitație în conformitate cu pct. 289, sunt puse la dispoziția utilizatorilor de sistem individuali care participă la licitația respectivă, în mod simultan și nu mai târziu de următoarea zi lucrătoare după închiderea rundei de licitație. Rezultatele testelor economice sunt puse la dispoziția utilizatorilor de sistem individuali care participă la licitația respectivă, în mod simultan și nu mai târziu de 2 zile lucrătoare după închiderea</w:t>
            </w:r>
            <w:r w:rsidRPr="00B91C10">
              <w:rPr>
                <w:rFonts w:asciiTheme="majorBidi" w:hAnsiTheme="majorBidi" w:cstheme="majorBidi"/>
                <w:sz w:val="18"/>
                <w:szCs w:val="18"/>
                <w:lang w:val="ro-RO"/>
              </w:rPr>
              <w:t xml:space="preserve"> rundei de licitație. </w:t>
            </w:r>
          </w:p>
          <w:p w:rsidR="00F02F76" w:rsidRPr="00CE6605"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4</w:t>
            </w:r>
            <w:r w:rsidRPr="00B91C10">
              <w:rPr>
                <w:rFonts w:asciiTheme="majorBidi" w:hAnsiTheme="majorBidi" w:cstheme="majorBidi"/>
                <w:sz w:val="18"/>
                <w:szCs w:val="18"/>
                <w:lang w:val="ro-RO"/>
              </w:rPr>
              <w:t>.Informațiile agregate privind rezultatele licitației sunt publicate și puse la dispoziția participanțil</w:t>
            </w:r>
            <w:r>
              <w:rPr>
                <w:rFonts w:asciiTheme="majorBidi" w:hAnsiTheme="majorBidi" w:cstheme="majorBidi"/>
                <w:sz w:val="18"/>
                <w:szCs w:val="18"/>
                <w:lang w:val="ro-RO"/>
              </w:rPr>
              <w:t>or pieței de gaze naturale.</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w:t>
            </w:r>
            <w:r>
              <w:rPr>
                <w:rFonts w:asciiTheme="majorBidi" w:hAnsiTheme="majorBidi" w:cstheme="majorBidi"/>
                <w:sz w:val="18"/>
                <w:szCs w:val="18"/>
                <w:lang w:val="it-IT"/>
              </w:rPr>
              <w:t>o</w:t>
            </w:r>
            <w:r w:rsidRPr="00B91C10">
              <w:rPr>
                <w:rFonts w:asciiTheme="majorBidi" w:hAnsiTheme="majorBidi" w:cstheme="majorBidi"/>
                <w:sz w:val="18"/>
                <w:szCs w:val="18"/>
                <w:lang w:val="it-IT"/>
              </w:rPr>
              <w:t>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lastRenderedPageBreak/>
              <w:t>Article 11</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Annual yearly capacity auctions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1.The yearly capacity auctions shall be held once a year.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Capacity for each yearly standard capacity product shall be auctioned through the annual yearly capacity auction using an ascending-clock auction algorithm in accordance with Article 17.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auction process shall offer capacity at least for the upcoming 5 gas years and for no longer than the upcoming 15 gas years for existing capacity. When offering incremental capacity, the offer levels may be offered in yearly capacity auctions for a maximum of 15 years after the start of operational use.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As from 2020, annual yearly capacity auctions shall start on the first Monday of July each year unless otherwise specified in the auction calendar.</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During the annual yearly capacity auction network users shall be able to participate in one or several concurrent auctions in relation to each interconnection point in order to apply for standard capacity products.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The capacity to be offered during the annual yearly capacity auction shall be equal to: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b/>
                <w:bCs/>
                <w:sz w:val="18"/>
                <w:szCs w:val="18"/>
              </w:rPr>
              <w:t>A – B – C + D + E – F</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A</w:t>
            </w:r>
            <w:r w:rsidRPr="00B91C10">
              <w:rPr>
                <w:rFonts w:asciiTheme="majorBidi" w:hAnsiTheme="majorBidi" w:cstheme="majorBidi"/>
                <w:sz w:val="18"/>
                <w:szCs w:val="18"/>
              </w:rPr>
              <w:t xml:space="preserve"> is the transmission system operator’s technical capacity for each of the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B </w:t>
            </w:r>
            <w:r w:rsidRPr="00B91C10">
              <w:rPr>
                <w:rFonts w:asciiTheme="majorBidi" w:hAnsiTheme="majorBidi" w:cstheme="majorBidi"/>
                <w:sz w:val="18"/>
                <w:szCs w:val="18"/>
              </w:rPr>
              <w:t xml:space="preserve">for annual yearly auctions offering capacity for the next 5 years, is the amount of technical capacity (A) set aside in accordance with Article 8(7); for annual yearly auctions for capacity beyond the first 5 years, is the amount of technical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set aside in accordance with Article 8(7);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C </w:t>
            </w:r>
            <w:r w:rsidRPr="00B91C10">
              <w:rPr>
                <w:rFonts w:asciiTheme="majorBidi" w:hAnsiTheme="majorBidi" w:cstheme="majorBidi"/>
                <w:sz w:val="18"/>
                <w:szCs w:val="18"/>
              </w:rPr>
              <w:t xml:space="preserve">is the previously sold technical capacity, adjusted by the capacity which is re-offered in accordance with applicable congestion management procedures;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D </w:t>
            </w:r>
            <w:r w:rsidRPr="00B91C10">
              <w:rPr>
                <w:rFonts w:asciiTheme="majorBidi" w:hAnsiTheme="majorBidi" w:cstheme="majorBidi"/>
                <w:sz w:val="18"/>
                <w:szCs w:val="18"/>
              </w:rPr>
              <w:t xml:space="preserve">is additional capacity, for such year, if any.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E</w:t>
            </w:r>
            <w:r w:rsidRPr="00B91C10">
              <w:rPr>
                <w:rFonts w:asciiTheme="majorBidi" w:hAnsiTheme="majorBidi" w:cstheme="majorBidi"/>
                <w:sz w:val="18"/>
                <w:szCs w:val="18"/>
              </w:rPr>
              <w:t xml:space="preserve"> is the incremental capacity for such year included in a respective offer level, if any;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lastRenderedPageBreak/>
              <w:t>F</w:t>
            </w:r>
            <w:r w:rsidRPr="00B91C10">
              <w:rPr>
                <w:rFonts w:asciiTheme="majorBidi" w:hAnsiTheme="majorBidi" w:cstheme="majorBidi"/>
                <w:sz w:val="18"/>
                <w:szCs w:val="18"/>
              </w:rPr>
              <w:t xml:space="preserve"> is the amount of incremental capacity (E), if any, set aside in accordance with Article 8(8) and (9).</w:t>
            </w: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The capacity to be offered may be either bundled capacity or unbundled capacity in accordance with Article 19. This also applies to all other auctions as set out in Articles 12 to 15.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At least 1 month before the auction starts, transmission system operators shall notify network users about the amount of firm capacity to be offered for each year for the upcoming annual yearly capacity auction.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 The bidding rounds of each auction shall take place between 8.00 UTC to 17.00 UTC (winter time) or 7.00 UTC to 16.00 UTC (daylight saving) on all relevant gas days. Bidding rounds shall be opened and closed within each gas day, as specified in Article 17(2).</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10. The allocation results of the auction shall be made available, as soon as reasonably possible, and no later than the next business day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case of incremental capacity, the binding commitments of network users for contracting capacity, including whether the conditions for a repeated auction pursuant to Article 29(3) are met, shall be made available no later than the next business day after the closing of the bidding round, simultaneously to individual network users participating in the respective auction. The results of the economic tests shall be made available no later than 2 business days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11. Aggregated information on auction results shall be published to the market.</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12</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Licitațiile anuale ale capacității trimestriale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fiecare an gazier au loc patru licitații anuale ale capacității trimestriale.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Capacitatea pentru fiecare produs standard de capacitate trimestrială este licitată prin intermediul licitațiilor anuale ale capacității trimestriale folosind un algoritm de licitație cu preț crescător, în conformitate cu articolul 17.</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(3)   Capacitatea pentru trimestrele următorului an gazier este licitată prin intermediul unor licitații concomitente pentru fiecare trimestru și în legătură cu fiecare punct de interconectare,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primul trimestru (octombrie-decembrie) până în al patrulea trimestru (iulie-septembrie), în cadrul primei licitații anuale a capacității trimestriale;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al doilea trimestru (octombrie-decembrie) până în al patrulea trimestru (iulie-septembrie), în cadrul celei de a doua licitații anuale a capacității trimestriale;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al treilea trimestru (octombrie-decembrie) până în al patrulea trimestru (iulie-septembrie), în cadrul celei de a treia licitații anuale a capacității trimestriale;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1"/>
              <w:gridCol w:w="4888"/>
            </w:tblGrid>
            <w:tr w:rsidR="00F02F76" w:rsidRPr="00C27D66" w:rsidTr="00670674">
              <w:tc>
                <w:tcPr>
                  <w:tcW w:w="2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ultimul trimestru (iulie-septembrie), în cadrul celei de a patra licitații anuale a capacității trimestriale.</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fiecare licitație anuală a capacității trimestriale, utilizatorii rețelei pot participa la toate licitațiile concomitente.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fiecare an gazier, licitațiile anuale ale capacității trimestriale încep în zilele următoare, cu excepția cazului în care se specifică altfel în calendarul licitației: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5"/>
              <w:gridCol w:w="4864"/>
            </w:tblGrid>
            <w:tr w:rsidR="00F02F76" w:rsidRPr="00C27D66" w:rsidTr="00670674">
              <w:tc>
                <w:tcPr>
                  <w:tcW w:w="29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6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prima licitație anuală a capacității trimestriale începe în prima zi de luni a lunii august;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4"/>
              <w:gridCol w:w="4875"/>
            </w:tblGrid>
            <w:tr w:rsidR="00F02F76" w:rsidRPr="00C27D66" w:rsidTr="00670674">
              <w:tc>
                <w:tcPr>
                  <w:tcW w:w="27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8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cea de a doua licitație anuală a capacității trimestriale începe în prima zi de luni a lunii noiembrie;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0"/>
              <w:gridCol w:w="4879"/>
            </w:tblGrid>
            <w:tr w:rsidR="00F02F76" w:rsidRPr="00C27D66" w:rsidTr="00670674">
              <w:tc>
                <w:tcPr>
                  <w:tcW w:w="2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cea de a treia licitație anuală a capacității trimestriale începe în prima zi de luni a lunii februarie;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4"/>
              <w:gridCol w:w="4865"/>
            </w:tblGrid>
            <w:tr w:rsidR="00F02F76" w:rsidRPr="00C27D66" w:rsidTr="00670674">
              <w:tc>
                <w:tcPr>
                  <w:tcW w:w="28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066"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cea de a patra licitație anuală a capacității trimestriale începe în prima zi de luni a lunii mai.</w:t>
                  </w:r>
                </w:p>
                <w:p w:rsidR="00F02F76" w:rsidRDefault="00F02F76" w:rsidP="00670674">
                  <w:pPr>
                    <w:jc w:val="both"/>
                    <w:rPr>
                      <w:rFonts w:asciiTheme="majorBidi" w:hAnsiTheme="majorBidi" w:cstheme="majorBidi"/>
                      <w:sz w:val="18"/>
                      <w:szCs w:val="18"/>
                      <w:lang w:val="it-IT"/>
                    </w:rPr>
                  </w:pPr>
                </w:p>
                <w:p w:rsidR="007327B4" w:rsidRPr="00495CCB" w:rsidRDefault="007327B4"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Capacitatea care urmează să fie oferită în cadrul licitațiilor anuale ale capacității trimestriale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AF0E15" w:rsidRDefault="00F02F76" w:rsidP="00670674">
                  <w:pPr>
                    <w:jc w:val="center"/>
                    <w:rPr>
                      <w:rFonts w:asciiTheme="majorBidi" w:hAnsiTheme="majorBidi" w:cstheme="majorBidi"/>
                      <w:sz w:val="18"/>
                      <w:szCs w:val="18"/>
                      <w:lang w:val="it-IT"/>
                    </w:rPr>
                  </w:pP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167092" w:rsidRDefault="00F02F76" w:rsidP="00670674">
                  <w:pPr>
                    <w:jc w:val="both"/>
                    <w:rPr>
                      <w:rFonts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trimestrul în cauză, dacă este cazul.</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(6)   Cu două săptămâni înainte de începerea licitațiilor, operatorii de transport și de sistem informează utilizatorii rețelei cu privire la </w:t>
            </w:r>
            <w:r w:rsidRPr="00B91C10">
              <w:rPr>
                <w:rFonts w:asciiTheme="majorBidi" w:hAnsiTheme="majorBidi" w:cstheme="majorBidi"/>
                <w:sz w:val="18"/>
                <w:szCs w:val="18"/>
                <w:lang w:val="it-IT"/>
              </w:rPr>
              <w:lastRenderedPageBreak/>
              <w:t>volumul de capacitate care urmează să fie oferit pentru fiecare trimestru în cadrul următoarei licitații anuale a capacității trimestriale.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Rundele de licitație pentru fiecare licitație au loc între orele 8.00 și 17.00 UTC (ora de iarnă) sau între orele 7.00 și 16.00 UTC (ora de vară), în toate zilele gaziere relevante. Rundele de licitație sunt deschise și închise în fiecare zi gazieră, astfel cum se prevede la articolul 17 alineatul (2).</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Rezultatele privind alocările, obținute în urma licitației, sunt puse simultan la dispoziția utilizatorilor individuali ai rețelei care participă la licitația respectivă, cât mai curând posibil și nu mai târziu de următoarea zi lucrătoare după închiderea rundei de licitație.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(9)   Informațiile agregate privind rezultatele licitației sunt puse la dispoziția pieței.</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4</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Licitațiile anuale ale capacității trimestriale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5</w:t>
            </w:r>
            <w:r w:rsidRPr="00B91C10">
              <w:rPr>
                <w:rFonts w:asciiTheme="majorBidi" w:hAnsiTheme="majorBidi" w:cstheme="majorBidi"/>
                <w:sz w:val="18"/>
                <w:szCs w:val="18"/>
                <w:lang w:val="ro-RO"/>
              </w:rPr>
              <w:t>.În fiecare an gazier au loc 4 licitații anuale ale capacității trimestriale.</w:t>
            </w:r>
          </w:p>
          <w:p w:rsidR="00F02F76" w:rsidRDefault="00F02F76" w:rsidP="00670674">
            <w:pPr>
              <w:tabs>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166</w:t>
            </w:r>
            <w:r w:rsidRPr="00B91C10">
              <w:rPr>
                <w:rFonts w:asciiTheme="majorBidi" w:hAnsiTheme="majorBidi" w:cstheme="majorBidi"/>
                <w:sz w:val="18"/>
                <w:szCs w:val="18"/>
                <w:lang w:val="ro-RO"/>
              </w:rPr>
              <w:t>.Capacitatea pentru fiecare PSC trimestrială este licitată prin intermediul licitațiilor anuale ale capacității trimestriale folosind un algoritm de licitație cu preț crescător, în conformitate cu pct. 21</w:t>
            </w:r>
            <w:r>
              <w:rPr>
                <w:rFonts w:asciiTheme="majorBidi" w:hAnsiTheme="majorBidi" w:cstheme="majorBidi"/>
                <w:sz w:val="18"/>
                <w:szCs w:val="18"/>
                <w:lang w:val="ro-RO"/>
              </w:rPr>
              <w:t>09</w:t>
            </w:r>
            <w:r w:rsidRPr="00B91C10">
              <w:rPr>
                <w:rFonts w:asciiTheme="majorBidi" w:hAnsiTheme="majorBidi" w:cstheme="majorBidi"/>
                <w:sz w:val="18"/>
                <w:szCs w:val="18"/>
                <w:lang w:val="ro-RO"/>
              </w:rPr>
              <w:t>-23</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w:t>
            </w:r>
            <w:r>
              <w:rPr>
                <w:rFonts w:asciiTheme="majorBidi" w:hAnsiTheme="majorBidi" w:cstheme="majorBidi"/>
                <w:sz w:val="18"/>
                <w:szCs w:val="18"/>
                <w:lang w:val="ro-RO"/>
              </w:rPr>
              <w:t>6</w:t>
            </w:r>
            <w:r w:rsidRPr="00B91C10">
              <w:rPr>
                <w:rFonts w:asciiTheme="majorBidi" w:hAnsiTheme="majorBidi" w:cstheme="majorBidi"/>
                <w:sz w:val="18"/>
                <w:szCs w:val="18"/>
                <w:lang w:val="ro-RO"/>
              </w:rPr>
              <w:t>7.Capacitatea pentru trimestrele următorului an gazier este licitată prin intermediul unor licitații concomitente pentru fiecare trimestru și în legătură cu fiecare punct de interconectare,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1) pentru trimestru</w:t>
                  </w:r>
                  <w:r>
                    <w:rPr>
                      <w:rFonts w:asciiTheme="majorBidi" w:hAnsiTheme="majorBidi" w:cstheme="majorBidi"/>
                      <w:sz w:val="18"/>
                      <w:szCs w:val="18"/>
                      <w:lang w:val="ro-RO"/>
                    </w:rPr>
                    <w:t>l I</w:t>
                  </w:r>
                  <w:r w:rsidRPr="00B91C10">
                    <w:rPr>
                      <w:rFonts w:asciiTheme="majorBidi" w:hAnsiTheme="majorBidi" w:cstheme="majorBidi"/>
                      <w:sz w:val="18"/>
                      <w:szCs w:val="18"/>
                      <w:lang w:val="ro-RO"/>
                    </w:rPr>
                    <w:t>(octombrie-decembrie) până în trimestru</w:t>
                  </w:r>
                  <w:r>
                    <w:rPr>
                      <w:rFonts w:asciiTheme="majorBidi" w:hAnsiTheme="majorBidi" w:cstheme="majorBidi"/>
                      <w:sz w:val="18"/>
                      <w:szCs w:val="18"/>
                      <w:lang w:val="ro-RO"/>
                    </w:rPr>
                    <w:t>l IV iu</w:t>
                  </w:r>
                  <w:r w:rsidRPr="00B91C10">
                    <w:rPr>
                      <w:rFonts w:asciiTheme="majorBidi" w:hAnsiTheme="majorBidi" w:cstheme="majorBidi"/>
                      <w:sz w:val="18"/>
                      <w:szCs w:val="18"/>
                      <w:lang w:val="ro-RO"/>
                    </w:rPr>
                    <w:t>lie-septembrie), în cadrul primei licitații anuale a capacității trimestriale;</w:t>
                  </w:r>
                </w:p>
              </w:tc>
            </w:tr>
          </w:tbl>
          <w:p w:rsidR="00F02F76" w:rsidRPr="00B91C10" w:rsidRDefault="00F02F76" w:rsidP="00670674">
            <w:pPr>
              <w:ind w:firstLine="4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2) pentru trimestru</w:t>
                  </w:r>
                  <w:r>
                    <w:rPr>
                      <w:rFonts w:asciiTheme="majorBidi" w:hAnsiTheme="majorBidi" w:cstheme="majorBidi"/>
                      <w:sz w:val="18"/>
                      <w:szCs w:val="18"/>
                      <w:lang w:val="ro-RO"/>
                    </w:rPr>
                    <w:t>l II</w:t>
                  </w:r>
                  <w:r w:rsidRPr="00B91C10">
                    <w:rPr>
                      <w:rFonts w:asciiTheme="majorBidi" w:hAnsiTheme="majorBidi" w:cstheme="majorBidi"/>
                      <w:sz w:val="18"/>
                      <w:szCs w:val="18"/>
                      <w:lang w:val="ro-RO"/>
                    </w:rPr>
                    <w:t xml:space="preserve"> (ianuarie-martie) până în trimestru</w:t>
                  </w:r>
                  <w:r>
                    <w:rPr>
                      <w:rFonts w:asciiTheme="majorBidi" w:hAnsiTheme="majorBidi" w:cstheme="majorBidi"/>
                      <w:sz w:val="18"/>
                      <w:szCs w:val="18"/>
                      <w:lang w:val="ro-RO"/>
                    </w:rPr>
                    <w:t>l IV</w:t>
                  </w:r>
                  <w:r w:rsidRPr="00B91C10">
                    <w:rPr>
                      <w:rFonts w:asciiTheme="majorBidi" w:hAnsiTheme="majorBidi" w:cstheme="majorBidi"/>
                      <w:sz w:val="18"/>
                      <w:szCs w:val="18"/>
                      <w:lang w:val="ro-RO"/>
                    </w:rPr>
                    <w:t xml:space="preserve"> (iulie-septembrie), în cadrul celei de a do</w:t>
                  </w:r>
                  <w:r>
                    <w:rPr>
                      <w:rFonts w:asciiTheme="majorBidi" w:hAnsiTheme="majorBidi" w:cstheme="majorBidi"/>
                      <w:sz w:val="18"/>
                      <w:szCs w:val="18"/>
                      <w:lang w:val="ro-RO"/>
                    </w:rPr>
                    <w:t>2-</w:t>
                  </w:r>
                  <w:r w:rsidRPr="00B91C10">
                    <w:rPr>
                      <w:rFonts w:asciiTheme="majorBidi" w:hAnsiTheme="majorBidi" w:cstheme="majorBidi"/>
                      <w:sz w:val="18"/>
                      <w:szCs w:val="18"/>
                      <w:lang w:val="ro-RO"/>
                    </w:rPr>
                    <w:t>a licitații anuale a capacității trimestriale;</w:t>
                  </w:r>
                </w:p>
              </w:tc>
            </w:tr>
          </w:tbl>
          <w:p w:rsidR="00F02F76" w:rsidRPr="00B91C10" w:rsidRDefault="00F02F76" w:rsidP="00670674">
            <w:pPr>
              <w:ind w:firstLine="4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3) pentru trimestru</w:t>
                  </w:r>
                  <w:r>
                    <w:rPr>
                      <w:rFonts w:asciiTheme="majorBidi" w:hAnsiTheme="majorBidi" w:cstheme="majorBidi"/>
                      <w:sz w:val="18"/>
                      <w:szCs w:val="18"/>
                      <w:lang w:val="ro-RO"/>
                    </w:rPr>
                    <w:t>l</w:t>
                  </w:r>
                  <w:r w:rsidRPr="00B91C10">
                    <w:rPr>
                      <w:rFonts w:asciiTheme="majorBidi" w:hAnsiTheme="majorBidi" w:cstheme="majorBidi"/>
                      <w:sz w:val="18"/>
                      <w:szCs w:val="18"/>
                      <w:lang w:val="ro-RO"/>
                    </w:rPr>
                    <w:t xml:space="preserve"> </w:t>
                  </w:r>
                  <w:r>
                    <w:rPr>
                      <w:rFonts w:asciiTheme="majorBidi" w:hAnsiTheme="majorBidi" w:cstheme="majorBidi"/>
                      <w:sz w:val="18"/>
                      <w:szCs w:val="18"/>
                      <w:lang w:val="ro-RO"/>
                    </w:rPr>
                    <w:t xml:space="preserve">III </w:t>
                  </w:r>
                  <w:r w:rsidRPr="00B91C10">
                    <w:rPr>
                      <w:rFonts w:asciiTheme="majorBidi" w:hAnsiTheme="majorBidi" w:cstheme="majorBidi"/>
                      <w:sz w:val="18"/>
                      <w:szCs w:val="18"/>
                      <w:lang w:val="ro-RO"/>
                    </w:rPr>
                    <w:t>(aprilie-iunie) până în al  trimestru</w:t>
                  </w:r>
                  <w:r>
                    <w:rPr>
                      <w:rFonts w:asciiTheme="majorBidi" w:hAnsiTheme="majorBidi" w:cstheme="majorBidi"/>
                      <w:sz w:val="18"/>
                      <w:szCs w:val="18"/>
                      <w:lang w:val="ro-RO"/>
                    </w:rPr>
                    <w:t>l IV</w:t>
                  </w:r>
                  <w:r w:rsidRPr="00B91C10">
                    <w:rPr>
                      <w:rFonts w:asciiTheme="majorBidi" w:hAnsiTheme="majorBidi" w:cstheme="majorBidi"/>
                      <w:sz w:val="18"/>
                      <w:szCs w:val="18"/>
                      <w:lang w:val="ro-RO"/>
                    </w:rPr>
                    <w:t xml:space="preserve"> (iulie-septembrie), în cadrul celei de a </w:t>
                  </w:r>
                  <w:r>
                    <w:rPr>
                      <w:rFonts w:asciiTheme="majorBidi" w:hAnsiTheme="majorBidi" w:cstheme="majorBidi"/>
                      <w:sz w:val="18"/>
                      <w:szCs w:val="18"/>
                      <w:lang w:val="ro-RO"/>
                    </w:rPr>
                    <w:t>3-</w:t>
                  </w:r>
                  <w:r w:rsidRPr="00B91C10">
                    <w:rPr>
                      <w:rFonts w:asciiTheme="majorBidi" w:hAnsiTheme="majorBidi" w:cstheme="majorBidi"/>
                      <w:sz w:val="18"/>
                      <w:szCs w:val="18"/>
                      <w:lang w:val="ro-RO"/>
                    </w:rPr>
                    <w:t>a licitații anuale a capacității trimestriale;</w:t>
                  </w:r>
                </w:p>
              </w:tc>
            </w:tr>
          </w:tbl>
          <w:p w:rsidR="00F02F76" w:rsidRPr="00B91C10" w:rsidRDefault="00F02F76" w:rsidP="00670674">
            <w:pPr>
              <w:ind w:firstLine="4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4) pentru  trimestru</w:t>
                  </w:r>
                  <w:r>
                    <w:rPr>
                      <w:rFonts w:asciiTheme="majorBidi" w:hAnsiTheme="majorBidi" w:cstheme="majorBidi"/>
                      <w:sz w:val="18"/>
                      <w:szCs w:val="18"/>
                      <w:lang w:val="ro-RO"/>
                    </w:rPr>
                    <w:t xml:space="preserve">l IV </w:t>
                  </w:r>
                  <w:r w:rsidRPr="00B91C10">
                    <w:rPr>
                      <w:rFonts w:asciiTheme="majorBidi" w:hAnsiTheme="majorBidi" w:cstheme="majorBidi"/>
                      <w:sz w:val="18"/>
                      <w:szCs w:val="18"/>
                      <w:lang w:val="ro-RO"/>
                    </w:rPr>
                    <w:t xml:space="preserve"> (iulie-septembrie), în cadrul celei de a </w:t>
                  </w:r>
                  <w:r>
                    <w:rPr>
                      <w:rFonts w:asciiTheme="majorBidi" w:hAnsiTheme="majorBidi" w:cstheme="majorBidi"/>
                      <w:sz w:val="18"/>
                      <w:szCs w:val="18"/>
                      <w:lang w:val="ro-RO"/>
                    </w:rPr>
                    <w:t xml:space="preserve"> 4-</w:t>
                  </w:r>
                  <w:r w:rsidRPr="00B91C10">
                    <w:rPr>
                      <w:rFonts w:asciiTheme="majorBidi" w:hAnsiTheme="majorBidi" w:cstheme="majorBidi"/>
                      <w:sz w:val="18"/>
                      <w:szCs w:val="18"/>
                      <w:lang w:val="ro-RO"/>
                    </w:rPr>
                    <w:t>a licitații anuale a capacității trimestriale.</w:t>
                  </w:r>
                </w:p>
              </w:tc>
            </w:tr>
          </w:tbl>
          <w:p w:rsidR="00F02F76" w:rsidRPr="00B91C10" w:rsidRDefault="00F02F76" w:rsidP="00670674">
            <w:pPr>
              <w:shd w:val="clear" w:color="auto" w:fill="FFFFFF"/>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Pentru fiecare licitație anuală a capacității trimestriale, utilizatorii de sistem pot participa la toate licitațiile concomitente.</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68</w:t>
            </w:r>
            <w:r w:rsidRPr="00B91C10">
              <w:rPr>
                <w:rFonts w:asciiTheme="majorBidi" w:hAnsiTheme="majorBidi" w:cstheme="majorBidi"/>
                <w:sz w:val="18"/>
                <w:szCs w:val="18"/>
                <w:lang w:val="ro-RO"/>
              </w:rPr>
              <w:t>.În fiecare an gazier, licitațiile anuale ale capacității trimestriale încep în zilele următoare, cu excepția cazului în care se specifică altfel în calendarul licitației:</w:t>
            </w:r>
          </w:p>
          <w:p w:rsidR="00F02F76" w:rsidRPr="00C33F84" w:rsidRDefault="00F02F76" w:rsidP="00670674">
            <w:pPr>
              <w:pStyle w:val="NormalWeb"/>
              <w:rPr>
                <w:sz w:val="18"/>
                <w:szCs w:val="18"/>
                <w:lang w:val="it-IT"/>
              </w:rPr>
            </w:pPr>
            <w:r w:rsidRPr="00C33F84">
              <w:rPr>
                <w:sz w:val="18"/>
                <w:szCs w:val="18"/>
                <w:lang w:val="it-IT"/>
              </w:rPr>
              <w:t>1) I – a licitaţie anuală a capacităţii trimestriale începe în prima zi de luni, a lunii august;</w:t>
            </w:r>
          </w:p>
          <w:p w:rsidR="00F02F76" w:rsidRPr="00C33F84" w:rsidRDefault="00F02F76" w:rsidP="00670674">
            <w:pPr>
              <w:pStyle w:val="NormalWeb"/>
              <w:rPr>
                <w:sz w:val="18"/>
                <w:szCs w:val="18"/>
                <w:lang w:val="it-IT"/>
              </w:rPr>
            </w:pPr>
            <w:r w:rsidRPr="00C33F84">
              <w:rPr>
                <w:sz w:val="18"/>
                <w:szCs w:val="18"/>
                <w:lang w:val="it-IT"/>
              </w:rPr>
              <w:t>2) II – a licitaţie anuală a capacităţii trimestriale începe în prima zi de luni, a lunii noiembrie;</w:t>
            </w:r>
          </w:p>
          <w:p w:rsidR="00F02F76" w:rsidRPr="00C33F84" w:rsidRDefault="00F02F76" w:rsidP="00670674">
            <w:pPr>
              <w:pStyle w:val="NormalWeb"/>
              <w:rPr>
                <w:sz w:val="18"/>
                <w:szCs w:val="18"/>
                <w:lang w:val="it-IT"/>
              </w:rPr>
            </w:pPr>
            <w:r w:rsidRPr="00C33F84">
              <w:rPr>
                <w:sz w:val="18"/>
                <w:szCs w:val="18"/>
                <w:lang w:val="it-IT"/>
              </w:rPr>
              <w:t>3) III – a licitaţie anuală a capacităţii trimestriale începe în prima zi de luni, a lunii februarie;</w:t>
            </w:r>
          </w:p>
          <w:p w:rsidR="00F02F76" w:rsidRDefault="00F02F76" w:rsidP="00670674">
            <w:pPr>
              <w:pStyle w:val="NormalWeb"/>
              <w:rPr>
                <w:sz w:val="18"/>
                <w:szCs w:val="18"/>
                <w:lang w:val="it-IT"/>
              </w:rPr>
            </w:pPr>
            <w:r w:rsidRPr="00C33F84">
              <w:rPr>
                <w:sz w:val="18"/>
                <w:szCs w:val="18"/>
                <w:lang w:val="it-IT"/>
              </w:rPr>
              <w:t>4) IV – a licitaţie anuală a capacităţii trimestriale începe în prima zi de luni, a lunii mai.</w:t>
            </w:r>
          </w:p>
          <w:p w:rsidR="007327B4" w:rsidRPr="00C33F84" w:rsidRDefault="007327B4" w:rsidP="00670674">
            <w:pPr>
              <w:pStyle w:val="NormalWeb"/>
              <w:rPr>
                <w:sz w:val="18"/>
                <w:szCs w:val="18"/>
                <w:lang w:val="it-IT"/>
              </w:rPr>
            </w:pPr>
          </w:p>
          <w:p w:rsidR="00F02F76" w:rsidRPr="00C33F84" w:rsidRDefault="00F02F76" w:rsidP="00670674">
            <w:pPr>
              <w:tabs>
                <w:tab w:val="left" w:pos="851"/>
              </w:tabs>
              <w:jc w:val="both"/>
              <w:outlineLvl w:val="0"/>
              <w:rPr>
                <w:rFonts w:asciiTheme="majorBidi" w:hAnsiTheme="majorBidi" w:cstheme="majorBidi"/>
                <w:sz w:val="18"/>
                <w:szCs w:val="18"/>
                <w:lang w:val="it-IT"/>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69</w:t>
            </w:r>
            <w:r w:rsidRPr="00B91C10">
              <w:rPr>
                <w:rFonts w:asciiTheme="majorBidi" w:hAnsiTheme="majorBidi" w:cstheme="majorBidi"/>
                <w:sz w:val="18"/>
                <w:szCs w:val="18"/>
                <w:lang w:val="ro-RO"/>
              </w:rPr>
              <w:t>.Capacitatea care urmează să fie oferită în cadrul licitațiilor anuale ale capacității trimestriale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1C10" w:rsidRDefault="00F02F76" w:rsidP="00670674">
                  <w:pPr>
                    <w:jc w:val="center"/>
                    <w:rPr>
                      <w:rFonts w:asciiTheme="majorBidi" w:hAnsiTheme="majorBidi" w:cstheme="majorBidi"/>
                      <w:sz w:val="18"/>
                      <w:szCs w:val="18"/>
                      <w:lang w:val="ro-RO"/>
                    </w:rPr>
                  </w:pPr>
                  <w:r w:rsidRPr="00B91C10">
                    <w:rPr>
                      <w:rFonts w:asciiTheme="majorBidi" w:hAnsiTheme="majorBidi" w:cstheme="majorBidi"/>
                      <w:sz w:val="18"/>
                      <w:szCs w:val="18"/>
                      <w:lang w:val="ro-RO"/>
                    </w:rPr>
                    <w:t>A – C + D</w:t>
                  </w:r>
                </w:p>
              </w:tc>
            </w:tr>
          </w:tbl>
          <w:p w:rsidR="00F02F76" w:rsidRPr="00B91C10" w:rsidRDefault="00F02F76" w:rsidP="00670674">
            <w:pPr>
              <w:rPr>
                <w:rFonts w:asciiTheme="majorBidi" w:hAnsiTheme="majorBidi" w:cstheme="majorBidi"/>
                <w:vanish/>
                <w:sz w:val="18"/>
                <w:szCs w:val="18"/>
                <w:lang w:val="ro-RO"/>
              </w:rPr>
            </w:pPr>
          </w:p>
          <w:tbl>
            <w:tblPr>
              <w:tblW w:w="4714" w:type="pct"/>
              <w:tblInd w:w="33" w:type="dxa"/>
              <w:shd w:val="clear" w:color="auto" w:fill="FFFFFF"/>
              <w:tblLayout w:type="fixed"/>
              <w:tblCellMar>
                <w:left w:w="0" w:type="dxa"/>
                <w:right w:w="0" w:type="dxa"/>
              </w:tblCellMar>
              <w:tblLook w:val="04A0" w:firstRow="1" w:lastRow="0" w:firstColumn="1" w:lastColumn="0" w:noHBand="0" w:noVBand="1"/>
            </w:tblPr>
            <w:tblGrid>
              <w:gridCol w:w="4341"/>
            </w:tblGrid>
            <w:tr w:rsidR="00F02F76" w:rsidRPr="00C27D66" w:rsidTr="00670674">
              <w:tc>
                <w:tcPr>
                  <w:tcW w:w="5000" w:type="pct"/>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jc w:val="both"/>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jc w:val="both"/>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trimes</w:t>
                  </w:r>
                  <w:r>
                    <w:rPr>
                      <w:rFonts w:asciiTheme="majorBidi" w:hAnsiTheme="majorBidi" w:cstheme="majorBidi"/>
                      <w:sz w:val="18"/>
                      <w:szCs w:val="18"/>
                      <w:lang w:val="ro-RO"/>
                    </w:rPr>
                    <w:t>trul în cauză, dacă este cazul.</w:t>
                  </w:r>
                </w:p>
              </w:tc>
            </w:tr>
          </w:tbl>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.Cu </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săptămâni înainte de începerea licitațiilor, OST informează utilizatorii de sistem cu privire capacitatea care </w:t>
            </w:r>
            <w:r w:rsidRPr="00B91C10">
              <w:rPr>
                <w:rFonts w:asciiTheme="majorBidi" w:hAnsiTheme="majorBidi" w:cstheme="majorBidi"/>
                <w:sz w:val="18"/>
                <w:szCs w:val="18"/>
                <w:lang w:val="ro-RO"/>
              </w:rPr>
              <w:lastRenderedPageBreak/>
              <w:t>urmează să fie oferită pentru fiecare trimestru în cadrul următoarei licitații a capacității trimestriale.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1</w:t>
            </w:r>
            <w:r w:rsidRPr="00B91C10">
              <w:rPr>
                <w:rFonts w:asciiTheme="majorBidi" w:hAnsiTheme="majorBidi" w:cstheme="majorBidi"/>
                <w:sz w:val="18"/>
                <w:szCs w:val="18"/>
                <w:lang w:val="ro-RO"/>
              </w:rPr>
              <w:t>.Rundele de licitație pentru fiecare licitație au loc între orele 8.00 și 17.00 UTC (ora de iarnă) sau între orele 7.00 și 16.00 UTC (ora de vară), în toate zilele gaziere relevante. Rundele de licitație sunt deschise și închise în fiecare zi gazieră, astfel cum se prevede la pct. 21</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2</w:t>
            </w:r>
            <w:r w:rsidRPr="00B91C10">
              <w:rPr>
                <w:rFonts w:asciiTheme="majorBidi" w:hAnsiTheme="majorBidi" w:cstheme="majorBidi"/>
                <w:sz w:val="18"/>
                <w:szCs w:val="18"/>
                <w:lang w:val="ro-RO"/>
              </w:rPr>
              <w:t>.Rezultatele privind alocările, obținute în urma licitației, sunt puse simultan la dispoziția utilizatorilor de sistem individuali care participă la licitația respectivă, cât mai curând posibil și nu mai târziu de următoarea zi lucrătoare după închiderea rundei de licitație.</w:t>
            </w:r>
          </w:p>
          <w:p w:rsidR="00B92852" w:rsidRDefault="00B92852" w:rsidP="00670674">
            <w:pPr>
              <w:tabs>
                <w:tab w:val="left" w:pos="851"/>
              </w:tabs>
              <w:jc w:val="both"/>
              <w:outlineLvl w:val="0"/>
              <w:rPr>
                <w:rFonts w:asciiTheme="majorBidi" w:hAnsiTheme="majorBidi" w:cstheme="majorBidi"/>
                <w:sz w:val="18"/>
                <w:szCs w:val="18"/>
                <w:lang w:val="ro-RO"/>
              </w:rPr>
            </w:pPr>
          </w:p>
          <w:p w:rsidR="00B92852" w:rsidRPr="00B91C10" w:rsidRDefault="00B92852"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b/>
                <w:sz w:val="18"/>
                <w:szCs w:val="18"/>
                <w:lang w:val="it-IT"/>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3</w:t>
            </w:r>
            <w:r w:rsidRPr="00B91C10">
              <w:rPr>
                <w:rFonts w:asciiTheme="majorBidi" w:hAnsiTheme="majorBidi" w:cstheme="majorBidi"/>
                <w:sz w:val="18"/>
                <w:szCs w:val="18"/>
                <w:lang w:val="ro-RO"/>
              </w:rPr>
              <w:t>.Informațiile agregate privind rezultatele licitației sunt publicate și puse la dispoziția pieței.</w:t>
            </w:r>
          </w:p>
        </w:tc>
        <w:tc>
          <w:tcPr>
            <w:tcW w:w="1417" w:type="dxa"/>
          </w:tcPr>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Default="00F02F76" w:rsidP="00670674">
            <w:pPr>
              <w:jc w:val="both"/>
              <w:rPr>
                <w:rFonts w:asciiTheme="majorBidi" w:hAnsiTheme="majorBidi" w:cstheme="majorBidi"/>
                <w:bCs/>
                <w:sz w:val="18"/>
                <w:szCs w:val="18"/>
                <w:lang w:val="it-IT"/>
              </w:rPr>
            </w:pPr>
          </w:p>
          <w:p w:rsidR="007327B4" w:rsidRPr="004D5270" w:rsidRDefault="007327B4"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bCs/>
                <w:sz w:val="18"/>
                <w:szCs w:val="18"/>
              </w:rPr>
            </w:pPr>
          </w:p>
        </w:tc>
        <w:tc>
          <w:tcPr>
            <w:tcW w:w="4253" w:type="dxa"/>
          </w:tcPr>
          <w:p w:rsidR="00F02F76" w:rsidRPr="00114103" w:rsidRDefault="00F02F76" w:rsidP="00670674">
            <w:pPr>
              <w:jc w:val="center"/>
              <w:rPr>
                <w:rFonts w:asciiTheme="majorBidi" w:hAnsiTheme="majorBidi" w:cstheme="majorBidi"/>
                <w:b/>
                <w:sz w:val="18"/>
                <w:szCs w:val="18"/>
              </w:rPr>
            </w:pPr>
            <w:r w:rsidRPr="00114103">
              <w:rPr>
                <w:rFonts w:asciiTheme="majorBidi" w:hAnsiTheme="majorBidi" w:cstheme="majorBidi"/>
                <w:b/>
                <w:sz w:val="18"/>
                <w:szCs w:val="18"/>
              </w:rPr>
              <w:lastRenderedPageBreak/>
              <w:t>Article 12</w:t>
            </w:r>
          </w:p>
          <w:p w:rsidR="00F02F76" w:rsidRPr="00CE6605"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Ann</w:t>
            </w:r>
            <w:r>
              <w:rPr>
                <w:rFonts w:asciiTheme="majorBidi" w:hAnsiTheme="majorBidi" w:cstheme="majorBidi"/>
                <w:b/>
                <w:bCs/>
                <w:sz w:val="18"/>
                <w:szCs w:val="18"/>
              </w:rPr>
              <w:t>ual quarterly capacity auctions</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Four annual quarterly capacity auctions shall be held during each gas year.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Capacity for each quarterly standard capacity product shall be auctioned through the annual quarterly capacity auctions using an ascending-clock auction algorithm in accordance with Article 17.</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3. Capacity for quarters of the upcoming gas year shall be auctioned via concurrent auctions for each quarter and in relation to each interconnection point as follows: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for quarters one (October-December) through four (July-September) in the first annual quarterly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for quarters two (January-March) through four (July-September) in the second annual quarterly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for quarters three (April-June) through four (July-September) in the third annual quarterly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for the last quarter (July-September) in the fourth annual quarterly capacity auction.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For each annual quarterly auction network users shall be able to participate in all of the concurrent auctions.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Each gas year the annual quarterly capacity auctions shall start on the following days, unless otherwise specified in the auction calendar: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first annual quarterly capacity auctions shall start on the first Monday of August;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second annual quarterly capacity auctions shall start on the first Monday of November;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third annual quarterly capacity auctions shall start on the first Monday of February;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the fourth annual quarterly capacity auction shall start on the first Monday of May.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The capacity to be offered in all annual quarterly capacity auctions shall be equal to:</w:t>
            </w: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 – C + 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A</w:t>
            </w:r>
            <w:r w:rsidRPr="00B91C10">
              <w:rPr>
                <w:rFonts w:asciiTheme="majorBidi" w:hAnsiTheme="majorBidi" w:cstheme="majorBidi"/>
                <w:sz w:val="18"/>
                <w:szCs w:val="18"/>
              </w:rPr>
              <w:t xml:space="preserve"> is the transmission system operator’s technical capacity for each of the standard capacity products;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r w:rsidRPr="00B91C10">
              <w:rPr>
                <w:rFonts w:asciiTheme="majorBidi" w:hAnsiTheme="majorBidi" w:cstheme="majorBidi"/>
                <w:b/>
                <w:bCs/>
                <w:sz w:val="18"/>
                <w:szCs w:val="18"/>
              </w:rPr>
              <w:t>C</w:t>
            </w:r>
            <w:r w:rsidRPr="00B91C10">
              <w:rPr>
                <w:rFonts w:asciiTheme="majorBidi" w:hAnsiTheme="majorBidi" w:cstheme="majorBidi"/>
                <w:sz w:val="18"/>
                <w:szCs w:val="18"/>
              </w:rPr>
              <w:t xml:space="preserve"> is the previously sold technical capacity, adjusted by the capacity which is re-offered in accordance with applicable congestion management procedures;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D</w:t>
            </w:r>
            <w:r w:rsidRPr="00B91C10">
              <w:rPr>
                <w:rFonts w:asciiTheme="majorBidi" w:hAnsiTheme="majorBidi" w:cstheme="majorBidi"/>
                <w:sz w:val="18"/>
                <w:szCs w:val="18"/>
              </w:rPr>
              <w:t xml:space="preserve"> is additional capacity, for such quarter, if any.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 Two weeks before the auctions start, transmission system operators shall notify network users about the amount of capacity to be offered for each quarter for the upcoming annual quarterly capacity auction.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7. The bidding rounds of each auction, shall take place between 8.00 UTC to 17.00 UTC (winter time) or 7.00 UTC to 16.00 UTC (daylight saving) on all relevant gas days. Bidding rounds shall be opened and closed within each gas day, as specified in Article 17(2).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 The allocation results of the auction shall be published, as soon as reasonably possible, and no later than the next business day after the closing of the bidding round, simultaneously to individual network users participating in the respective auction. 9. Aggregated information on the auction results shall be published to the market.</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9.  Aggregated information on the auction results shall be published to the market.</w:t>
            </w:r>
          </w:p>
        </w:tc>
      </w:tr>
      <w:tr w:rsidR="00F02F76" w:rsidRPr="00B91C10" w:rsidTr="00CA0CFD">
        <w:trPr>
          <w:trHeight w:val="423"/>
        </w:trPr>
        <w:tc>
          <w:tcPr>
            <w:tcW w:w="5245" w:type="dxa"/>
          </w:tcPr>
          <w:p w:rsidR="00F02F76" w:rsidRPr="00B92C4E" w:rsidRDefault="00F02F76" w:rsidP="00670674">
            <w:pPr>
              <w:shd w:val="clear" w:color="auto" w:fill="FFFFFF"/>
              <w:jc w:val="center"/>
              <w:rPr>
                <w:rFonts w:asciiTheme="majorBidi" w:hAnsiTheme="majorBidi" w:cstheme="majorBidi"/>
                <w:b/>
                <w:i/>
                <w:iCs/>
                <w:sz w:val="18"/>
                <w:szCs w:val="18"/>
                <w:lang w:val="it-IT"/>
              </w:rPr>
            </w:pPr>
            <w:r w:rsidRPr="00B92C4E">
              <w:rPr>
                <w:rFonts w:asciiTheme="majorBidi" w:hAnsiTheme="majorBidi" w:cstheme="majorBidi"/>
                <w:b/>
                <w:i/>
                <w:iCs/>
                <w:sz w:val="18"/>
                <w:szCs w:val="18"/>
                <w:lang w:val="it-IT"/>
              </w:rPr>
              <w:lastRenderedPageBreak/>
              <w:t>Articolul 13</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 periodice ale capacității lunare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Licitația periodică a capacității lunare trebuie să aibă loc o dată pe lună.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Capacitatea pentru fiecare produs standard de capacitate lunară trebuie licitată prin intermediul licitației periodice a capacității lunare folosind un algoritm de licitație cu preț crescător, în conformitate cu articolul 17. În fiecare lună, trebuie să se liciteze produsul standard de capacitate lunară pentru luna calendaristică următoare.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cadrul licitației periodice a capacității lunare, utilizatorii rețelei trebuie să poată solicita un produs standard de capacitate lunară.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Licitațiile periodice ale capacității lunare trebuie să înceapă în a treia zi de luni a fiecărei luni pentru următorul produs standard de capacitate lunară, cu excepția cazului în care se specifică altfel în calendarul licitației.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Capacitatea oferită în cadrul licitației periodice a capacității lunare trebuie să fie egală, în fiecare lună,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B92C4E" w:rsidRDefault="00F02F76" w:rsidP="00670674">
                  <w:pPr>
                    <w:jc w:val="center"/>
                    <w:rPr>
                      <w:rFonts w:asciiTheme="majorBidi" w:hAnsiTheme="majorBidi" w:cstheme="majorBidi"/>
                      <w:b/>
                      <w:sz w:val="18"/>
                      <w:szCs w:val="18"/>
                    </w:rPr>
                  </w:pPr>
                  <w:r w:rsidRPr="00B92C4E">
                    <w:rPr>
                      <w:rFonts w:asciiTheme="majorBidi" w:hAnsiTheme="majorBidi" w:cstheme="majorBidi"/>
                      <w:b/>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luna în cauză, dacă este cazul.</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Cu o săptămână înainte de începerea licitației, operatorii de transport și de sistem trebuie să informeze utilizatorii rețelei cu privire la volumul de capacitate care urmează să fie oferit în cadrul următoarei licitații periodice a capacității lunare.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Rundele de licitație pentru fiecare licitație au loc între orele 8.00 și 17.00 UTC (ora de iarnă) sau între orele 7.00 și 16.00 UTC (ora de vară), în toate zilele gaziere relevante. Rundele de licitație sunt deschise și închise în fiecare zi gazieră, astfel cum se prevede la articolul 17 alineatul (2).</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Rezultatele privind alocările, obținute în urma licitației, sunt puse simultan la dispoziția utilizatorilor individuali ai rețelei care participă la licitația respectivă, cât mai curând posibil și nu mai târziu de următoarea zi lucrătoare după închiderea rundei de licitație.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(9.   Informațiile agregate privind rezultatele licitației sunt puse la dispoziția pieței</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5</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 periodice ale capacității lunare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4</w:t>
            </w:r>
            <w:r w:rsidRPr="00B91C10">
              <w:rPr>
                <w:rFonts w:asciiTheme="majorBidi" w:hAnsiTheme="majorBidi" w:cstheme="majorBidi"/>
                <w:sz w:val="18"/>
                <w:szCs w:val="18"/>
                <w:lang w:val="ro-RO"/>
              </w:rPr>
              <w:t>.Licitația periodică a capacității lunare trebuie să aibă loc o dată pe lună.</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.Capacitatea pentru fiecare PSC lunară trebuie licitată prin intermediul licitației periodice a capacității lunare folosind un algoritm de licitație cu preț crescător, în conformitate </w:t>
            </w:r>
            <w:r w:rsidRPr="00B91C10">
              <w:rPr>
                <w:rFonts w:asciiTheme="majorBidi" w:hAnsiTheme="majorBidi" w:cstheme="majorBidi"/>
                <w:sz w:val="18"/>
                <w:szCs w:val="18"/>
                <w:highlight w:val="lightGray"/>
                <w:lang w:val="ro-RO"/>
              </w:rPr>
              <w:t>pct. 2</w:t>
            </w:r>
            <w:r>
              <w:rPr>
                <w:rFonts w:asciiTheme="majorBidi" w:hAnsiTheme="majorBidi" w:cstheme="majorBidi"/>
                <w:sz w:val="18"/>
                <w:szCs w:val="18"/>
                <w:highlight w:val="lightGray"/>
                <w:lang w:val="ro-RO"/>
              </w:rPr>
              <w:t>09</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23</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 În fiecare lună, trebuie să se liciteze PSC lunară pentru luna calendaristică următoare.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76</w:t>
            </w:r>
            <w:r w:rsidRPr="00B91C10">
              <w:rPr>
                <w:rFonts w:asciiTheme="majorBidi" w:hAnsiTheme="majorBidi" w:cstheme="majorBidi"/>
                <w:sz w:val="18"/>
                <w:szCs w:val="18"/>
                <w:lang w:val="ro-RO"/>
              </w:rPr>
              <w:t>.În cadrul licitației periodice a capacității lunare, utilizatorii de sistem trebuie să poată solicita un PSC lunară.</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77</w:t>
            </w:r>
            <w:r w:rsidRPr="00B91C10">
              <w:rPr>
                <w:rFonts w:asciiTheme="majorBidi" w:hAnsiTheme="majorBidi" w:cstheme="majorBidi"/>
                <w:sz w:val="18"/>
                <w:szCs w:val="18"/>
                <w:lang w:val="ro-RO"/>
              </w:rPr>
              <w:t>.Licitațiile periodice ale capacității lunare trebuie să înceapă în a 3</w:t>
            </w:r>
            <w:r>
              <w:rPr>
                <w:rFonts w:asciiTheme="majorBidi" w:hAnsiTheme="majorBidi" w:cstheme="majorBidi"/>
                <w:sz w:val="18"/>
                <w:szCs w:val="18"/>
                <w:lang w:val="ro-RO"/>
              </w:rPr>
              <w:t>-a</w:t>
            </w:r>
            <w:r w:rsidRPr="00B91C10">
              <w:rPr>
                <w:rFonts w:asciiTheme="majorBidi" w:hAnsiTheme="majorBidi" w:cstheme="majorBidi"/>
                <w:sz w:val="18"/>
                <w:szCs w:val="18"/>
                <w:lang w:val="ro-RO"/>
              </w:rPr>
              <w:t xml:space="preserve"> zi de luni a fiecărei luni pentru următorul PSC lunară, cu excepția cazului în care se specifică altfel în calendarul licitației.</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78</w:t>
            </w:r>
            <w:r w:rsidRPr="00B91C10">
              <w:rPr>
                <w:rFonts w:asciiTheme="majorBidi" w:hAnsiTheme="majorBidi" w:cstheme="majorBidi"/>
                <w:sz w:val="18"/>
                <w:szCs w:val="18"/>
                <w:lang w:val="ro-RO"/>
              </w:rPr>
              <w:t>.Capacitatea oferită în cadrul licitației periodice a capacității lunare trebuie să fie egală, în fiecare lună,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spacing w:line="312" w:lineRule="atLeast"/>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2C4E" w:rsidRDefault="00F02F76" w:rsidP="00670674">
                  <w:pPr>
                    <w:spacing w:line="312" w:lineRule="atLeast"/>
                    <w:jc w:val="center"/>
                    <w:rPr>
                      <w:rFonts w:asciiTheme="majorBidi" w:hAnsiTheme="majorBidi" w:cstheme="majorBidi"/>
                      <w:b/>
                      <w:sz w:val="18"/>
                      <w:szCs w:val="18"/>
                      <w:lang w:val="ro-RO"/>
                    </w:rPr>
                  </w:pPr>
                  <w:r w:rsidRPr="00B92C4E">
                    <w:rPr>
                      <w:rFonts w:asciiTheme="majorBidi" w:hAnsiTheme="majorBidi" w:cstheme="majorBidi"/>
                      <w:b/>
                      <w:sz w:val="18"/>
                      <w:szCs w:val="18"/>
                      <w:lang w:val="ro-RO"/>
                    </w:rPr>
                    <w:t>A – C + D</w:t>
                  </w:r>
                </w:p>
              </w:tc>
            </w:tr>
          </w:tbl>
          <w:p w:rsidR="00F02F76" w:rsidRPr="00B91C10" w:rsidRDefault="00F02F76" w:rsidP="00670674">
            <w:pPr>
              <w:rPr>
                <w:rFonts w:asciiTheme="majorBidi" w:hAnsiTheme="majorBidi" w:cstheme="majorBidi"/>
                <w:vanish/>
                <w:sz w:val="18"/>
                <w:szCs w:val="18"/>
                <w:lang w:val="ro-RO"/>
              </w:rPr>
            </w:pPr>
          </w:p>
          <w:tbl>
            <w:tblPr>
              <w:tblW w:w="4785" w:type="pct"/>
              <w:tblInd w:w="33" w:type="dxa"/>
              <w:shd w:val="clear" w:color="auto" w:fill="FFFFFF"/>
              <w:tblLayout w:type="fixed"/>
              <w:tblCellMar>
                <w:left w:w="0" w:type="dxa"/>
                <w:right w:w="0" w:type="dxa"/>
              </w:tblCellMar>
              <w:tblLook w:val="04A0" w:firstRow="1" w:lastRow="0" w:firstColumn="1" w:lastColumn="0" w:noHBand="0" w:noVBand="1"/>
            </w:tblPr>
            <w:tblGrid>
              <w:gridCol w:w="4406"/>
            </w:tblGrid>
            <w:tr w:rsidR="00F02F76" w:rsidRPr="00C27D66" w:rsidTr="00670674">
              <w:tc>
                <w:tcPr>
                  <w:tcW w:w="5000" w:type="pct"/>
                  <w:shd w:val="clear" w:color="auto" w:fill="FFFFFF"/>
                  <w:hideMark/>
                </w:tcPr>
                <w:p w:rsidR="00F02F76" w:rsidRPr="00B91C10" w:rsidRDefault="00F02F76" w:rsidP="00670674">
                  <w:pPr>
                    <w:spacing w:line="312" w:lineRule="atLeast"/>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luna în cauză, dacă este cazul.</w:t>
                  </w:r>
                </w:p>
              </w:tc>
            </w:tr>
          </w:tbl>
          <w:p w:rsidR="00F02F76" w:rsidRDefault="00F02F76" w:rsidP="00670674">
            <w:pPr>
              <w:tabs>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79</w:t>
            </w:r>
            <w:r w:rsidRPr="00B91C10">
              <w:rPr>
                <w:rFonts w:asciiTheme="majorBidi" w:hAnsiTheme="majorBidi" w:cstheme="majorBidi"/>
                <w:sz w:val="18"/>
                <w:szCs w:val="18"/>
                <w:lang w:val="ro-RO"/>
              </w:rPr>
              <w:t xml:space="preserve">.Cu o săptămână înainte de începerea licitației, OST trebuie să informeze utilizatorii de sistem cu privire la capacitatea care </w:t>
            </w:r>
            <w:r w:rsidRPr="00B91C10">
              <w:rPr>
                <w:rFonts w:asciiTheme="majorBidi" w:hAnsiTheme="majorBidi" w:cstheme="majorBidi"/>
                <w:sz w:val="18"/>
                <w:szCs w:val="18"/>
                <w:lang w:val="ro-RO"/>
              </w:rPr>
              <w:lastRenderedPageBreak/>
              <w:t>urmează să fie oferită în cadrul următoarei licitații periodice a capacității lunare.</w:t>
            </w:r>
          </w:p>
          <w:p w:rsidR="00F02F76" w:rsidRPr="00B91C10" w:rsidRDefault="00F02F76" w:rsidP="00670674">
            <w:pPr>
              <w:tabs>
                <w:tab w:val="left" w:pos="567"/>
              </w:tabs>
              <w:jc w:val="both"/>
              <w:outlineLvl w:val="0"/>
              <w:rPr>
                <w:rFonts w:asciiTheme="majorBidi" w:hAnsiTheme="majorBidi" w:cstheme="majorBidi"/>
                <w:sz w:val="18"/>
                <w:szCs w:val="18"/>
                <w:lang w:val="ro-RO"/>
              </w:rPr>
            </w:pPr>
          </w:p>
          <w:p w:rsidR="00F02F76" w:rsidRPr="00CF455C" w:rsidRDefault="00F02F76" w:rsidP="00670674">
            <w:pPr>
              <w:tabs>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 Rundele de licitație pentru fiecare licitație au loc între orele 8.00 și 17.00 UTC (ora de iarnă) sau între orele 7.00 și 16.00 UTC (ora de vară), în toate zilele gaziere relevante. Rundele de licitație </w:t>
            </w:r>
            <w:r w:rsidRPr="00CF455C">
              <w:rPr>
                <w:rFonts w:asciiTheme="majorBidi" w:hAnsiTheme="majorBidi" w:cstheme="majorBidi"/>
                <w:sz w:val="18"/>
                <w:szCs w:val="18"/>
                <w:lang w:val="ro-RO"/>
              </w:rPr>
              <w:t>sunt deschise și închise în fiecare zi gazieră, astfel cum se prevede la pct. 214.</w:t>
            </w:r>
          </w:p>
          <w:p w:rsidR="00F02F76" w:rsidRPr="00B91C10" w:rsidRDefault="00F02F76" w:rsidP="00670674">
            <w:pPr>
              <w:tabs>
                <w:tab w:val="left" w:pos="567"/>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181.Rezultatele privind alocările</w:t>
            </w:r>
            <w:r w:rsidRPr="00B91C10">
              <w:rPr>
                <w:rFonts w:asciiTheme="majorBidi" w:hAnsiTheme="majorBidi" w:cstheme="majorBidi"/>
                <w:sz w:val="18"/>
                <w:szCs w:val="18"/>
                <w:lang w:val="ro-RO"/>
              </w:rPr>
              <w:t>, obținute în urma licitației, sunt puse simultan la dispoziția utilizatorilor de rețea individuali care participă la licitația respectivă, cât mai curând posibil și nu mai târziu de următoarea zi lucrătoare după închiderea rundei de licitație.</w:t>
            </w:r>
          </w:p>
          <w:p w:rsidR="00F02F76" w:rsidRPr="00B91C10" w:rsidRDefault="00F02F76" w:rsidP="00670674">
            <w:pPr>
              <w:tabs>
                <w:tab w:val="left" w:pos="567"/>
              </w:tabs>
              <w:jc w:val="both"/>
              <w:outlineLvl w:val="0"/>
              <w:rPr>
                <w:rFonts w:asciiTheme="majorBidi" w:hAnsiTheme="majorBidi" w:cstheme="majorBidi"/>
                <w:b/>
                <w:sz w:val="18"/>
                <w:szCs w:val="18"/>
                <w:lang w:val="it-IT"/>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2</w:t>
            </w:r>
            <w:r w:rsidRPr="00B91C10">
              <w:rPr>
                <w:rFonts w:asciiTheme="majorBidi" w:hAnsiTheme="majorBidi" w:cstheme="majorBidi"/>
                <w:sz w:val="18"/>
                <w:szCs w:val="18"/>
                <w:lang w:val="ro-RO"/>
              </w:rPr>
              <w:t>.Informațiile agregate privind rezultatele licitației sunt publicate și puse la dispoziția pieței.</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CA0CFD" w:rsidRDefault="00CA0CFD" w:rsidP="00670674">
            <w:pPr>
              <w:jc w:val="both"/>
              <w:rPr>
                <w:rFonts w:asciiTheme="majorBidi" w:hAnsiTheme="majorBidi" w:cstheme="majorBidi"/>
                <w:sz w:val="18"/>
                <w:szCs w:val="18"/>
                <w:lang w:val="it-IT"/>
              </w:rPr>
            </w:pPr>
            <w:r>
              <w:rPr>
                <w:rFonts w:asciiTheme="majorBidi" w:hAnsiTheme="majorBidi" w:cstheme="majorBidi"/>
                <w:sz w:val="18"/>
                <w:szCs w:val="18"/>
                <w:lang w:val="it-IT"/>
              </w:rPr>
              <w:t>Compatibil</w:t>
            </w:r>
          </w:p>
        </w:tc>
        <w:tc>
          <w:tcPr>
            <w:tcW w:w="4253" w:type="dxa"/>
          </w:tcPr>
          <w:p w:rsidR="00F02F76" w:rsidRPr="00CE6605" w:rsidRDefault="00F02F76" w:rsidP="00670674">
            <w:pPr>
              <w:shd w:val="clear" w:color="auto" w:fill="FFFFFF"/>
              <w:jc w:val="center"/>
              <w:rPr>
                <w:rFonts w:asciiTheme="majorBidi" w:hAnsiTheme="majorBidi" w:cstheme="majorBidi"/>
                <w:b/>
                <w:iCs/>
                <w:sz w:val="18"/>
                <w:szCs w:val="18"/>
                <w:lang w:val="ro-RO"/>
              </w:rPr>
            </w:pPr>
            <w:r w:rsidRPr="00CE6605">
              <w:rPr>
                <w:rFonts w:asciiTheme="majorBidi" w:hAnsiTheme="majorBidi" w:cstheme="majorBidi"/>
                <w:b/>
                <w:iCs/>
                <w:sz w:val="18"/>
                <w:szCs w:val="18"/>
                <w:lang w:val="ro-RO"/>
              </w:rPr>
              <w:lastRenderedPageBreak/>
              <w:t>Article 13</w:t>
            </w:r>
          </w:p>
          <w:p w:rsidR="00F02F76" w:rsidRPr="00CE6605" w:rsidRDefault="00F02F76" w:rsidP="00670674">
            <w:pPr>
              <w:shd w:val="clear" w:color="auto" w:fill="FFFFFF"/>
              <w:jc w:val="center"/>
              <w:rPr>
                <w:rFonts w:asciiTheme="majorBidi" w:hAnsiTheme="majorBidi" w:cstheme="majorBidi"/>
                <w:b/>
                <w:iCs/>
                <w:sz w:val="18"/>
                <w:szCs w:val="18"/>
                <w:lang w:val="ro-RO"/>
              </w:rPr>
            </w:pPr>
            <w:r w:rsidRPr="00CE6605">
              <w:rPr>
                <w:rFonts w:asciiTheme="majorBidi" w:hAnsiTheme="majorBidi" w:cstheme="majorBidi"/>
                <w:b/>
                <w:iCs/>
                <w:sz w:val="18"/>
                <w:szCs w:val="18"/>
                <w:lang w:val="ro-RO"/>
              </w:rPr>
              <w:t>Rolling monthly capacity auctions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The rolling monthly capacity auction shall be held once a month.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Capacity for each monthly standard capacity product shall be auctioned through the rolling monthly capacity auction using an ascending-clock auction algorithm according to Article 17. Each month, the monthly standard capacity product for the following calendar month shall be auctioned.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During the rolling monthly capacity auction network users shall be able to apply for one monthly standard capacity product.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Rolling monthly capacity auctions shall start on the third Monday of each month for the following monthly standard capacity product unless otherwise specified in the auction calendar.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The capacity to be offered in the rolling monthly capacity auction shall be, each month, equal to: </w:t>
            </w:r>
          </w:p>
          <w:p w:rsidR="00F02F76" w:rsidRPr="00B92C4E" w:rsidRDefault="00F02F76" w:rsidP="00670674">
            <w:pPr>
              <w:jc w:val="center"/>
              <w:rPr>
                <w:rFonts w:asciiTheme="majorBidi" w:hAnsiTheme="majorBidi" w:cstheme="majorBidi"/>
                <w:b/>
                <w:sz w:val="18"/>
                <w:szCs w:val="18"/>
              </w:rPr>
            </w:pPr>
            <w:r w:rsidRPr="00B92C4E">
              <w:rPr>
                <w:rFonts w:asciiTheme="majorBidi" w:hAnsiTheme="majorBidi" w:cstheme="majorBidi"/>
                <w:b/>
                <w:sz w:val="18"/>
                <w:szCs w:val="18"/>
              </w:rPr>
              <w:t>A – C + 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Where: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 A</w:t>
            </w:r>
            <w:r w:rsidRPr="00B91C10">
              <w:rPr>
                <w:rFonts w:asciiTheme="majorBidi" w:hAnsiTheme="majorBidi" w:cstheme="majorBidi"/>
                <w:sz w:val="18"/>
                <w:szCs w:val="18"/>
              </w:rPr>
              <w:t xml:space="preserve"> is the transmission system operator’s technical capacity for each of the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C</w:t>
            </w:r>
            <w:r w:rsidRPr="00B91C10">
              <w:rPr>
                <w:rFonts w:asciiTheme="majorBidi" w:hAnsiTheme="majorBidi" w:cstheme="majorBidi"/>
                <w:sz w:val="18"/>
                <w:szCs w:val="18"/>
              </w:rPr>
              <w:t xml:space="preserve"> is the previously sold technical capacity, adjusted by the capacity which is re-offered in accordance with applicable congestion management procedures;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r w:rsidRPr="00B91C10">
              <w:rPr>
                <w:rFonts w:asciiTheme="majorBidi" w:hAnsiTheme="majorBidi" w:cstheme="majorBidi"/>
                <w:b/>
                <w:bCs/>
                <w:sz w:val="18"/>
                <w:szCs w:val="18"/>
              </w:rPr>
              <w:t>D</w:t>
            </w:r>
            <w:r w:rsidRPr="00B91C10">
              <w:rPr>
                <w:rFonts w:asciiTheme="majorBidi" w:hAnsiTheme="majorBidi" w:cstheme="majorBidi"/>
                <w:sz w:val="18"/>
                <w:szCs w:val="18"/>
              </w:rPr>
              <w:t xml:space="preserve"> is additional capacity, for such month, if any.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One week before the auction starts, transmission system operators shall notify network users about the </w:t>
            </w:r>
            <w:r w:rsidRPr="00B91C10">
              <w:rPr>
                <w:rFonts w:asciiTheme="majorBidi" w:hAnsiTheme="majorBidi" w:cstheme="majorBidi"/>
                <w:sz w:val="18"/>
                <w:szCs w:val="18"/>
              </w:rPr>
              <w:lastRenderedPageBreak/>
              <w:t xml:space="preserve">amount of capacity to be offered for the upcoming rolling monthly capacity auction.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The bidding rounds of each auction shall take place between 8.00 UTC to 17.00 UTC (winter time) or 7.00 UTC to 16.00 UTC (daylight saving) on all relevant gas days. Bidding rounds shall be opened and closed within each gas day, as specified in Article 17(2).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The allocation results of the auction shall be published, as soon as reasonably possible, and no later than the next business day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9. Aggregated information on the auction results shall be published to the market.</w:t>
            </w:r>
          </w:p>
        </w:tc>
      </w:tr>
      <w:tr w:rsidR="00F02F76" w:rsidRPr="00B91C10" w:rsidTr="00690087">
        <w:trPr>
          <w:trHeight w:val="7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14</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 periodice ale capacității pentru ziua următoare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Licitația periodică a capacității pentru ziua următoare are loc o dată pe zi.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fiecare zi, un produs standard de capacitate pentru următoarea zi gazieră se licitează prin intermediul licitației periodice a capacității pentru ziua următoare.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Capacitatea pentru fiecare produs de capacitate zilnică standard se licitează prin intermediul licitației periodice a capacității pentru ziua următoare folosind un algoritm de licitație cu preț uniform, în conformitate cu articolul 18. În fiecare zi, se licitează produsul standard de capacitate zilnică pentru următoarea zi gazieră.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cadrul licitației periodice a capacității pentru ziua următoare, utilizatorii rețelei trebuie să poată solicita capacitate pentru un singur produs standard de capacitate zilnică.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Runda de licitație se deschide în fiecare zi la ora 15.30 UTC (ora de iarnă) sau la ora 14.30 UTC (ora de vară).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O ofertă de capacitate pentru un produs standard de capacitate zilnică în cadrul unei licitații periodice pentru ziua următoare se desfășoară după cum urmează: prezentarea, retragerea sau modificarea are loc între orele 15:30 și 16:00 UTC (ora de iarnă) sau între orele 14:30 și 15:00 UTC (ora de vară).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Capacitatea care urmează să fie oferită în cadrul licitației periodice a capacității pentru ziua următoare este egală, în fiecare zi,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lastRenderedPageBreak/>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ziua în cauză, dacă este cazul.</w:t>
                  </w:r>
                </w:p>
              </w:tc>
            </w:tr>
          </w:tbl>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La momentul deschiderii rundei de licitație, operatorii de transport și de sistem informează utilizatorii rețelei cu privire la volumul de capacitate care urmează să fie oferit în cadrul următoarei licitații periodice a capacității pentru ziua următoare.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Rezultatele privind alocările, obținute în urma licitației, sunt puse simultan la dispoziția utilizatorilor individuali ai rețelei care participă la licitația respectivă, cel târziu la 30 de minute după închiderea rundei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Informațiile agregate privind rezultatele licitației sunt puse la dispoziția pieței.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6</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 periodice ale ca</w:t>
            </w:r>
            <w:r>
              <w:rPr>
                <w:rFonts w:asciiTheme="majorBidi" w:hAnsiTheme="majorBidi" w:cstheme="majorBidi"/>
                <w:b/>
                <w:bCs/>
                <w:sz w:val="18"/>
                <w:szCs w:val="18"/>
                <w:lang w:val="ro-RO"/>
              </w:rPr>
              <w:t>pacității pentru ziua următoare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3</w:t>
            </w:r>
            <w:r w:rsidRPr="00B91C10">
              <w:rPr>
                <w:rFonts w:asciiTheme="majorBidi" w:hAnsiTheme="majorBidi" w:cstheme="majorBidi"/>
                <w:sz w:val="18"/>
                <w:szCs w:val="18"/>
                <w:lang w:val="ro-RO"/>
              </w:rPr>
              <w:t>.Licitația periodică a capacității pentru ziua următoare are loc o dată pe zi.</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4</w:t>
            </w:r>
            <w:r w:rsidRPr="00B91C10">
              <w:rPr>
                <w:rFonts w:asciiTheme="majorBidi" w:hAnsiTheme="majorBidi" w:cstheme="majorBidi"/>
                <w:sz w:val="18"/>
                <w:szCs w:val="18"/>
                <w:lang w:val="ro-RO"/>
              </w:rPr>
              <w:t>.În fiecare zi, un PSC pentru următoarea zi gazieră se licitează prin intermediul licitației periodice a capacității pentru ziua următoare.</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.Capacitatea pentru fiecare PSC zilnică se licitează prin intermediul licitației periodice a capacității pentru ziua următoare folosind un algoritm de licitație cu preț uniform, în conformitate </w:t>
            </w:r>
            <w:r w:rsidRPr="00B91C10">
              <w:rPr>
                <w:rFonts w:asciiTheme="majorBidi" w:hAnsiTheme="majorBidi" w:cstheme="majorBidi"/>
                <w:sz w:val="18"/>
                <w:szCs w:val="18"/>
                <w:highlight w:val="lightGray"/>
                <w:lang w:val="ro-RO"/>
              </w:rPr>
              <w:t>pct. 235-</w:t>
            </w:r>
            <w:r w:rsidRPr="00B91C10">
              <w:rPr>
                <w:rFonts w:asciiTheme="majorBidi" w:hAnsiTheme="majorBidi" w:cstheme="majorBidi"/>
                <w:sz w:val="18"/>
                <w:szCs w:val="18"/>
                <w:lang w:val="ro-RO"/>
              </w:rPr>
              <w:t>245. În fiecare zi, se licitează PSC zilnică pentru următoarea zi gazieră.</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86</w:t>
            </w:r>
            <w:r w:rsidRPr="00B91C10">
              <w:rPr>
                <w:rFonts w:asciiTheme="majorBidi" w:hAnsiTheme="majorBidi" w:cstheme="majorBidi"/>
                <w:sz w:val="18"/>
                <w:szCs w:val="18"/>
                <w:lang w:val="ro-RO"/>
              </w:rPr>
              <w:t>. În cadrul licitației periodice a capacității pentru ziua următoare, utilizatorii de sistem trebuie să poată solicita capacitate pentru un singur PSC zilnică.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87</w:t>
            </w:r>
            <w:r w:rsidRPr="00B91C10">
              <w:rPr>
                <w:rFonts w:asciiTheme="majorBidi" w:hAnsiTheme="majorBidi" w:cstheme="majorBidi"/>
                <w:sz w:val="18"/>
                <w:szCs w:val="18"/>
                <w:lang w:val="ro-RO"/>
              </w:rPr>
              <w:t>.Runda de licitație se deschide în fiecare zi la ora 15.30 UTC (ora de iarnă) sau la ora 14.30 UTC (ora de vară).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88</w:t>
            </w:r>
            <w:r w:rsidRPr="00B91C10">
              <w:rPr>
                <w:rFonts w:asciiTheme="majorBidi" w:hAnsiTheme="majorBidi" w:cstheme="majorBidi"/>
                <w:sz w:val="18"/>
                <w:szCs w:val="18"/>
                <w:lang w:val="ro-RO"/>
              </w:rPr>
              <w:t>.O ofertă de capacitate pentru un PSC zilnică în cadrul unei licitații periodice pentru ziua următoare se desfășoară după cum urmează: prezentarea, retragerea sau modificarea ofertei are loc între orele 15:30 și 16:00 UTC (ora de iarnă) sau între orele 14:30 și 15:00 UTC (ora de vară).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189</w:t>
            </w:r>
            <w:r w:rsidRPr="00B91C10">
              <w:rPr>
                <w:rFonts w:asciiTheme="majorBidi" w:hAnsiTheme="majorBidi" w:cstheme="majorBidi"/>
                <w:sz w:val="18"/>
                <w:szCs w:val="18"/>
                <w:lang w:val="ro-RO"/>
              </w:rPr>
              <w:t>.Capacitatea care urmează să fie oferită în cadrul licitației periodice a capacității pentru ziua următoare este egală, în fiecare zi,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A – C + D</w:t>
                  </w:r>
                </w:p>
              </w:tc>
            </w:tr>
          </w:tbl>
          <w:p w:rsidR="00F02F76" w:rsidRPr="00B91C10"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lastRenderedPageBreak/>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ziua în cauză, dacă este cazul.</w:t>
                  </w:r>
                </w:p>
              </w:tc>
            </w:tr>
          </w:tbl>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19</w:t>
            </w:r>
            <w:r>
              <w:rPr>
                <w:rFonts w:asciiTheme="majorBidi" w:hAnsiTheme="majorBidi" w:cstheme="majorBidi"/>
                <w:sz w:val="18"/>
                <w:szCs w:val="18"/>
                <w:lang w:val="ro-RO"/>
              </w:rPr>
              <w:t>0</w:t>
            </w:r>
            <w:r w:rsidRPr="00B91C10">
              <w:rPr>
                <w:rFonts w:asciiTheme="majorBidi" w:hAnsiTheme="majorBidi" w:cstheme="majorBidi"/>
                <w:sz w:val="18"/>
                <w:szCs w:val="18"/>
                <w:lang w:val="ro-RO"/>
              </w:rPr>
              <w:t>.La momentul deschiderii rundei de licitație, OST informează utilizatorii de sistem cu privire la volumul de capacitate care urmează să fie oferit în cadrul următoarei licitații periodice a capacității pentru ziua următoare.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1</w:t>
            </w:r>
            <w:r w:rsidRPr="00B91C10">
              <w:rPr>
                <w:rFonts w:asciiTheme="majorBidi" w:hAnsiTheme="majorBidi" w:cstheme="majorBidi"/>
                <w:sz w:val="18"/>
                <w:szCs w:val="18"/>
                <w:lang w:val="ro-RO"/>
              </w:rPr>
              <w:t>.Rezultatele privind alocările, obținute în urma licitației, sunt puse simultan la dispoziția utilizatorilor de sistem individuali care participă la licitația respectivă, cel târziu la 30 de minute după închiderea rundei de licitație.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2</w:t>
            </w:r>
            <w:r w:rsidRPr="00B91C10">
              <w:rPr>
                <w:rFonts w:asciiTheme="majorBidi" w:hAnsiTheme="majorBidi" w:cstheme="majorBidi"/>
                <w:sz w:val="18"/>
                <w:szCs w:val="18"/>
                <w:lang w:val="ro-RO"/>
              </w:rPr>
              <w:t>.Informațiile agregate privind rezultatele licitației sunt publicate și puse la dispoziția participanților pieței.</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690087" w:rsidRDefault="00690087" w:rsidP="00670674">
            <w:pPr>
              <w:jc w:val="both"/>
              <w:rPr>
                <w:rFonts w:asciiTheme="majorBidi" w:hAnsiTheme="majorBidi" w:cstheme="majorBidi"/>
                <w:bCs/>
                <w:sz w:val="18"/>
                <w:szCs w:val="18"/>
                <w:lang w:val="it-IT"/>
              </w:rPr>
            </w:pPr>
            <w:r>
              <w:rPr>
                <w:rFonts w:asciiTheme="majorBidi" w:hAnsiTheme="majorBidi" w:cstheme="majorBidi"/>
                <w:bCs/>
                <w:sz w:val="18"/>
                <w:szCs w:val="18"/>
                <w:lang w:val="it-IT"/>
              </w:rPr>
              <w:t>Compatibil</w:t>
            </w:r>
          </w:p>
        </w:tc>
        <w:tc>
          <w:tcPr>
            <w:tcW w:w="4253" w:type="dxa"/>
          </w:tcPr>
          <w:p w:rsidR="00F02F76" w:rsidRPr="00B92C4E" w:rsidRDefault="00F02F76" w:rsidP="00670674">
            <w:pPr>
              <w:jc w:val="center"/>
              <w:rPr>
                <w:rFonts w:asciiTheme="majorBidi" w:hAnsiTheme="majorBidi" w:cstheme="majorBidi"/>
                <w:b/>
                <w:sz w:val="18"/>
                <w:szCs w:val="18"/>
              </w:rPr>
            </w:pPr>
            <w:r w:rsidRPr="00B92C4E">
              <w:rPr>
                <w:rFonts w:asciiTheme="majorBidi" w:hAnsiTheme="majorBidi" w:cstheme="majorBidi"/>
                <w:b/>
                <w:sz w:val="18"/>
                <w:szCs w:val="18"/>
              </w:rPr>
              <w:lastRenderedPageBreak/>
              <w:t>Article 14</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Rolling day-ahead capacity auctions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rolling day-ahead capacity auction shall be held once a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Every day, a standard capacity product for the following gas day shall be auctioned through the rolling day-ahead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Capacity for each daily standard capacity product shall be auctioned through the rolling day-ahead capacity auction using a uniform price auction algorithm according to Article 18. Each day, the daily standard capacity product for the following gas day shall be auctioned.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During the rolling day-ahead capacity auction network users shall be able to apply for capacity for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one daily standard capacity product.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The bidding round shall open every day at 15.30 UTC (winter time) or 14.30 UTC (daylight saving).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A capacity bid for the daily standard capacity product for the rolling day-ahead capacity auction shall be handled as follows: submission, withdrawal or amendment from 15.30 UTC to 16.00 UTC (winter time) or 14.30 UTC to 15.00 UTC (daylight saving).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The capacity to be offered in the rolling day-ahead capacity auction shall be, each day, equal to: </w:t>
            </w:r>
          </w:p>
          <w:p w:rsidR="00F02F76" w:rsidRDefault="00F02F76" w:rsidP="00670674">
            <w:pPr>
              <w:jc w:val="both"/>
              <w:rPr>
                <w:rFonts w:asciiTheme="majorBidi" w:hAnsiTheme="majorBidi" w:cstheme="majorBidi"/>
                <w:b/>
                <w:sz w:val="18"/>
                <w:szCs w:val="18"/>
              </w:rPr>
            </w:pPr>
          </w:p>
          <w:p w:rsidR="00F02F76" w:rsidRPr="002C3067" w:rsidRDefault="00F02F76" w:rsidP="00670674">
            <w:pPr>
              <w:jc w:val="center"/>
              <w:rPr>
                <w:rFonts w:asciiTheme="majorBidi" w:hAnsiTheme="majorBidi" w:cstheme="majorBidi"/>
                <w:b/>
                <w:sz w:val="18"/>
                <w:szCs w:val="18"/>
              </w:rPr>
            </w:pPr>
            <w:r w:rsidRPr="002C3067">
              <w:rPr>
                <w:rFonts w:asciiTheme="majorBidi" w:hAnsiTheme="majorBidi" w:cstheme="majorBidi"/>
                <w:b/>
                <w:sz w:val="18"/>
                <w:szCs w:val="18"/>
              </w:rPr>
              <w:t>A – C + D</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A </w:t>
            </w:r>
            <w:r w:rsidRPr="00B91C10">
              <w:rPr>
                <w:rFonts w:asciiTheme="majorBidi" w:hAnsiTheme="majorBidi" w:cstheme="majorBidi"/>
                <w:sz w:val="18"/>
                <w:szCs w:val="18"/>
              </w:rPr>
              <w:t>is the transmission system operator’s technical capacity for each of the standard capacity products;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lastRenderedPageBreak/>
              <w:t xml:space="preserve">C </w:t>
            </w:r>
            <w:r w:rsidRPr="00B91C10">
              <w:rPr>
                <w:rFonts w:asciiTheme="majorBidi" w:hAnsiTheme="majorBidi" w:cstheme="majorBidi"/>
                <w:sz w:val="18"/>
                <w:szCs w:val="18"/>
              </w:rPr>
              <w:t>is the previously sold technical capacity, adjusted by the capacity which is re-offered in accordance with applicable congestion management procedures;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D </w:t>
            </w:r>
            <w:r w:rsidRPr="00B91C10">
              <w:rPr>
                <w:rFonts w:asciiTheme="majorBidi" w:hAnsiTheme="majorBidi" w:cstheme="majorBidi"/>
                <w:sz w:val="18"/>
                <w:szCs w:val="18"/>
              </w:rPr>
              <w:t xml:space="preserve">is additional capacity, for such day, if any.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At the time the bidding round opens, transmission system operators shall notify network users about the amount of capacity to be offered for the upcoming rolling day-ahead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The allocation results of the auction shall be published, no later than 30 minutes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10. Aggregated information on the auction results shall be published to the market.</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15</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Licitațiile capacității intra-zilnice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Cu condiția să existe capacitate disponibilă, se organizează o licitație a capacității intra-zilnice în fiecare oră în cursul unei zile gaziere, folosind un algoritm de licitație cu preț uniform, în conformitate cu articolul 18.</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Prima rundă de licitație se deschide exact la ora imediat următoare publicării rezultatelor ultimei licitații pentru ziua următoare (inclusiv pentru capacitatea întreruptibilă, dacă este oferită), în conformitate cu articolul 14. Prima rundă de licitație se închide la ora 1.30 UTC (ora de iarnă) sau la ora 0.30 UTC (ora de vară), înainte de ziua gazieră. Alocarea ofertelor câștigătoare intră în vigoare începând cu ora 5.00 UTC (ora de iarnă) sau cu ora 4.00 UTC (ora de vară), în ziua gazieră relevantă.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Ultima rundă de licitație se închide la ora 0.30 UTC (ora de iarnă) sau la ora 23.30 UTC (ora de vară), în ziua gazieră relevantă.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Utilizatorii rețelei au dreptul de a depune, de a retrage sau de a modifica ofertele, începând cu momentul deschiderii fiecărei runde de licitație până la închiderea rundei de licitație respective.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fiecare oră a zilei gaziere relevante, capacitatea devenită efectivă începând cu ora + 4 este licitată ca și capacitate intra-zilnică.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Fiecare rundă de licitație se deschide la începutul fiecărei ore a zilei gaziere relevante.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Durata fiecărei runde de licitație este de 30 de minute de la deschiderea rundei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Capacitatea care urmează să fie oferită în cadrul licitației capacității intra-zilnice este egală, în fiecare oră,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976DC4" w:rsidRDefault="00F02F76" w:rsidP="00670674">
                  <w:pPr>
                    <w:jc w:val="center"/>
                    <w:rPr>
                      <w:rFonts w:asciiTheme="majorBidi" w:hAnsiTheme="majorBidi" w:cstheme="majorBidi"/>
                      <w:b/>
                      <w:sz w:val="18"/>
                      <w:szCs w:val="18"/>
                    </w:rPr>
                  </w:pPr>
                  <w:r w:rsidRPr="00976DC4">
                    <w:rPr>
                      <w:rFonts w:asciiTheme="majorBidi" w:hAnsiTheme="majorBidi" w:cstheme="majorBidi"/>
                      <w:b/>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dacă este cazul.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Operatorii de transport și de sistem publică volumul disponibil de capacitate fermă intra-zilnică oferit, după închiderea ultimei licitații pentru ziua următoare și în conformitate cu articolul 32 alineatul (9).</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Operatorii de transport și de sistem oferă utilizatorilor rețelei care participă la licitațiile pentru ziua următoare posibilitatea ca ofertele necâștigătoare valabile să participe în mod automat la următoarea licitație intra-zilnică.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Capacitatea se alocă în termen de 30 de minute de la închiderea rundei de licitație, cu condiția ca ofertele să fie acceptate și ca operatorul de transport și de sistem să efectueze procesul de alocare a capacității.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(12)   Rezultatele licitației sunt puse în mod simultan la dispoziția utilizatorilor individuali ai rețelei.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rPr>
                <w:rFonts w:asciiTheme="majorBidi" w:hAnsiTheme="majorBidi" w:cstheme="majorBidi"/>
                <w:i/>
                <w:iCs/>
                <w:sz w:val="18"/>
                <w:szCs w:val="18"/>
                <w:lang w:val="it-IT"/>
              </w:rPr>
            </w:pPr>
            <w:r w:rsidRPr="00B91C10">
              <w:rPr>
                <w:rFonts w:asciiTheme="majorBidi" w:hAnsiTheme="majorBidi" w:cstheme="majorBidi"/>
                <w:sz w:val="18"/>
                <w:szCs w:val="18"/>
                <w:lang w:val="it-IT"/>
              </w:rPr>
              <w:t>(13)   Informațiile agregate privind rezultatele licitației sunt publicate cel puțin la sfârșitul fiecărei zile</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7</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w:t>
            </w:r>
            <w:r>
              <w:rPr>
                <w:rFonts w:asciiTheme="majorBidi" w:hAnsiTheme="majorBidi" w:cstheme="majorBidi"/>
                <w:b/>
                <w:bCs/>
                <w:sz w:val="18"/>
                <w:szCs w:val="18"/>
                <w:lang w:val="ro-RO"/>
              </w:rPr>
              <w:t>țiile capacității intra-zilnice</w:t>
            </w:r>
          </w:p>
          <w:p w:rsidR="00F02F76" w:rsidRPr="00782595"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.Cu condiția să existe capacitate disponibilă, se organizează o licitație a </w:t>
            </w:r>
            <w:r w:rsidRPr="00782595">
              <w:rPr>
                <w:rFonts w:asciiTheme="majorBidi" w:hAnsiTheme="majorBidi" w:cstheme="majorBidi"/>
                <w:sz w:val="18"/>
                <w:szCs w:val="18"/>
                <w:lang w:val="ro-RO"/>
              </w:rPr>
              <w:t>capacității intra-zilnice în fiecare oră în cursul unei zile gaziere, folosind un algoritm de licitație cu preț uniform, în conformitate cu pct. 231-241.</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t>194.Prima rundă de licitație se deschide exact la ora imediat următoare publicării rezultatelor ultimei licitații pentru ziua următoare (inclusiv pentru capacitatea întreruptibilă, dacă este oferită), în conformitate cu pct. 183-192. Prima rundă de licitație se închide la ora 1.30 UTC (ora de iarnă) sau la</w:t>
            </w:r>
            <w:r w:rsidRPr="00B91C10">
              <w:rPr>
                <w:rFonts w:asciiTheme="majorBidi" w:hAnsiTheme="majorBidi" w:cstheme="majorBidi"/>
                <w:sz w:val="18"/>
                <w:szCs w:val="18"/>
                <w:lang w:val="ro-RO"/>
              </w:rPr>
              <w:t xml:space="preserve"> ora 0.30 UTC (ora de vară), înainte de ziua gazieră. Alocarea ofertelor câștigătoare intră în vigoare începând cu ora 5.00 UTC (ora de iarnă) sau cu ora 4.00 UTC (ora de vară), în ziua gazieră relevantă.</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5</w:t>
            </w:r>
            <w:r w:rsidRPr="00B91C10">
              <w:rPr>
                <w:rFonts w:asciiTheme="majorBidi" w:hAnsiTheme="majorBidi" w:cstheme="majorBidi"/>
                <w:sz w:val="18"/>
                <w:szCs w:val="18"/>
                <w:lang w:val="ro-RO"/>
              </w:rPr>
              <w:t>.Ultima rundă de licitație se închide la ora 0.30 UTC (ora de iarnă) sau la ora 23.30 UTC (ora de vară), în ziua gazieră relevantă.</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196</w:t>
            </w:r>
            <w:r w:rsidRPr="00B91C10">
              <w:rPr>
                <w:rFonts w:asciiTheme="majorBidi" w:hAnsiTheme="majorBidi" w:cstheme="majorBidi"/>
                <w:sz w:val="18"/>
                <w:szCs w:val="18"/>
                <w:lang w:val="ro-RO"/>
              </w:rPr>
              <w:t>.Utilizatorii de sistem au dreptul de a depune, de a retrage sau de a modifica ofertele, începând cu momentul deschiderii fiecărei runde de licitație până la închiderea rundei de licitație respective.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197</w:t>
            </w:r>
            <w:r w:rsidRPr="00B91C10">
              <w:rPr>
                <w:rFonts w:asciiTheme="majorBidi" w:hAnsiTheme="majorBidi" w:cstheme="majorBidi"/>
                <w:sz w:val="18"/>
                <w:szCs w:val="18"/>
                <w:lang w:val="ro-RO"/>
              </w:rPr>
              <w:t>.În fiecare oră a zilei gaziere relevante, capacitatea devenită efectivă începând cu ora + 4 este licitată ca și capacitate intra-zilnică.</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198</w:t>
            </w:r>
            <w:r w:rsidRPr="00B91C10">
              <w:rPr>
                <w:rFonts w:asciiTheme="majorBidi" w:hAnsiTheme="majorBidi" w:cstheme="majorBidi"/>
                <w:sz w:val="18"/>
                <w:szCs w:val="18"/>
                <w:lang w:val="ro-RO"/>
              </w:rPr>
              <w:t>.Fiecare rundă de licitație se deschide la începutul fiecărei ore a zilei gaziere relevante.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199</w:t>
            </w:r>
            <w:r w:rsidRPr="00B91C10">
              <w:rPr>
                <w:rFonts w:asciiTheme="majorBidi" w:hAnsiTheme="majorBidi" w:cstheme="majorBidi"/>
                <w:sz w:val="18"/>
                <w:szCs w:val="18"/>
                <w:lang w:val="ro-RO"/>
              </w:rPr>
              <w:t>.Durata fiecărei runde de licitație este de 30 de minute de la deschiderea rundei de licitație.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0</w:t>
            </w:r>
            <w:r w:rsidRPr="00B91C10">
              <w:rPr>
                <w:rFonts w:asciiTheme="majorBidi" w:hAnsiTheme="majorBidi" w:cstheme="majorBidi"/>
                <w:sz w:val="18"/>
                <w:szCs w:val="18"/>
                <w:lang w:val="ro-RO"/>
              </w:rPr>
              <w:t>.Capacitatea care urmează să fie oferită în cadrul licitației capacității intra-zilnice este egală, în fiecare oră,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tabs>
                      <w:tab w:val="left" w:pos="1276"/>
                    </w:tabs>
                    <w:spacing w:line="312" w:lineRule="atLeast"/>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1C10" w:rsidRDefault="00F02F76" w:rsidP="00670674">
                  <w:pPr>
                    <w:tabs>
                      <w:tab w:val="left" w:pos="1276"/>
                    </w:tabs>
                    <w:spacing w:line="312" w:lineRule="atLeast"/>
                    <w:jc w:val="center"/>
                    <w:rPr>
                      <w:rFonts w:asciiTheme="majorBidi" w:hAnsiTheme="majorBidi" w:cstheme="majorBidi"/>
                      <w:sz w:val="18"/>
                      <w:szCs w:val="18"/>
                      <w:lang w:val="ro-RO"/>
                    </w:rPr>
                  </w:pPr>
                  <w:r w:rsidRPr="00B91C10">
                    <w:rPr>
                      <w:rFonts w:asciiTheme="majorBidi" w:hAnsiTheme="majorBidi" w:cstheme="majorBidi"/>
                      <w:sz w:val="18"/>
                      <w:szCs w:val="18"/>
                      <w:lang w:val="ro-RO"/>
                    </w:rPr>
                    <w:t>A – C + D</w:t>
                  </w:r>
                </w:p>
              </w:tc>
            </w:tr>
          </w:tbl>
          <w:p w:rsidR="00F02F76" w:rsidRPr="00B91C10" w:rsidRDefault="00F02F76" w:rsidP="00670674">
            <w:pPr>
              <w:tabs>
                <w:tab w:val="left" w:pos="1276"/>
              </w:tabs>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dacă este cazul.</w:t>
                  </w:r>
                </w:p>
              </w:tc>
            </w:tr>
          </w:tbl>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201</w:t>
            </w:r>
            <w:r w:rsidRPr="00B91C10">
              <w:rPr>
                <w:rFonts w:asciiTheme="majorBidi" w:hAnsiTheme="majorBidi" w:cstheme="majorBidi"/>
                <w:sz w:val="18"/>
                <w:szCs w:val="18"/>
                <w:lang w:val="ro-RO"/>
              </w:rPr>
              <w:t xml:space="preserve">.OST publică capacitatea fermă intra-zilnică oferit, după închiderea ultimei licitații pentru ziua următoare și în conformitate cu </w:t>
            </w:r>
            <w:r w:rsidRPr="00B91C10">
              <w:rPr>
                <w:rFonts w:asciiTheme="majorBidi" w:hAnsiTheme="majorBidi" w:cstheme="majorBidi"/>
                <w:sz w:val="18"/>
                <w:szCs w:val="18"/>
                <w:highlight w:val="lightGray"/>
                <w:lang w:val="ro-RO"/>
              </w:rPr>
              <w:t>pct. 310.</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2</w:t>
            </w:r>
            <w:r w:rsidRPr="00B91C10">
              <w:rPr>
                <w:rFonts w:asciiTheme="majorBidi" w:hAnsiTheme="majorBidi" w:cstheme="majorBidi"/>
                <w:sz w:val="18"/>
                <w:szCs w:val="18"/>
                <w:lang w:val="ro-RO"/>
              </w:rPr>
              <w:t>.OST oferă utilizatorilor de sistem care participă la licitațiile pentru ziua următoare posibilitatea ca ofertele necâștigătoare valabile să participe în mod automat la următoarea licitație intra-zilnică.</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3</w:t>
            </w:r>
            <w:r w:rsidRPr="00B91C10">
              <w:rPr>
                <w:rFonts w:asciiTheme="majorBidi" w:hAnsiTheme="majorBidi" w:cstheme="majorBidi"/>
                <w:sz w:val="18"/>
                <w:szCs w:val="18"/>
                <w:lang w:val="ro-RO"/>
              </w:rPr>
              <w:t>.Capacitatea se alocă în termen de 30 de minute de la închiderea rundei de licitație, cu condiția ca ofertele să fie acceptate și ca OST să efectueze procesul de alocare a capacității.</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4</w:t>
            </w:r>
            <w:r w:rsidRPr="00B91C10">
              <w:rPr>
                <w:rFonts w:asciiTheme="majorBidi" w:hAnsiTheme="majorBidi" w:cstheme="majorBidi"/>
                <w:sz w:val="18"/>
                <w:szCs w:val="18"/>
                <w:lang w:val="ro-RO"/>
              </w:rPr>
              <w:t>.Rezultatele licitației sunt puse în mod simultan la dispoziția utilizatorilor de sistem individuali.</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5</w:t>
            </w:r>
            <w:r w:rsidRPr="00B91C10">
              <w:rPr>
                <w:rFonts w:asciiTheme="majorBidi" w:hAnsiTheme="majorBidi" w:cstheme="majorBidi"/>
                <w:sz w:val="18"/>
                <w:szCs w:val="18"/>
                <w:lang w:val="ro-RO"/>
              </w:rPr>
              <w:t>.Informațiile agregate privind rezultatele licitației sunt publicate cel puțin la sfârșitul fiecărei zile.</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983016" w:rsidRPr="00B91C10" w:rsidRDefault="0098301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CE6605" w:rsidRDefault="00F02F76" w:rsidP="00670674">
            <w:pPr>
              <w:jc w:val="both"/>
              <w:rPr>
                <w:rFonts w:asciiTheme="majorBidi" w:hAnsiTheme="majorBidi" w:cstheme="majorBidi"/>
                <w:sz w:val="18"/>
                <w:szCs w:val="18"/>
              </w:rPr>
            </w:pPr>
            <w:r>
              <w:rPr>
                <w:rFonts w:asciiTheme="majorBidi" w:hAnsiTheme="majorBidi" w:cstheme="majorBidi"/>
                <w:sz w:val="18"/>
                <w:szCs w:val="18"/>
              </w:rPr>
              <w:t>Compatibil</w:t>
            </w:r>
          </w:p>
        </w:tc>
        <w:tc>
          <w:tcPr>
            <w:tcW w:w="4253" w:type="dxa"/>
          </w:tcPr>
          <w:p w:rsidR="00F02F76" w:rsidRPr="00326598" w:rsidRDefault="00F02F76" w:rsidP="00670674">
            <w:pPr>
              <w:jc w:val="center"/>
              <w:rPr>
                <w:rFonts w:asciiTheme="majorBidi" w:hAnsiTheme="majorBidi" w:cstheme="majorBidi"/>
                <w:b/>
                <w:sz w:val="18"/>
                <w:szCs w:val="18"/>
              </w:rPr>
            </w:pPr>
            <w:r w:rsidRPr="00326598">
              <w:rPr>
                <w:rFonts w:asciiTheme="majorBidi" w:hAnsiTheme="majorBidi" w:cstheme="majorBidi"/>
                <w:b/>
                <w:sz w:val="18"/>
                <w:szCs w:val="18"/>
              </w:rPr>
              <w:lastRenderedPageBreak/>
              <w:t>Article 15</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Within-day capacity auctions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Subject to capacity being made available, a within-day capacity auction shall be held every hour during gas day using a uniform price auction algorithm in accordance with Article 18.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The first bidding round shall open directly on the next hour bar following the publication of results of the last day-ahead auction (including interruptible capacity if offered) in accordance with Article 14. The first bidding round closes at 1.30 UTC (winter time) or 0.30 UTC (daylight saving) before the gas day. The allocation of successful bids shall be effective from 5.00 UTC (winter time) or 4.00 UTC (daylight saving) on the relevant gas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The last bidding round shall close at 0.30 UTC (winter time) or 23.30 UTC (daylight saving) on the relevant gas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Network users shall be entitled to place, withdraw or amend bids from the opening of each bidding round until closure of that bidding round.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Each hour on the relevant gas day, capacity effective from the hour + 4 shall be auctioned as within-day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Each bidding round shall open at the start of every hour on the relevant gas day.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 The duration of each bidding round shall be 30 minutes as of the opening of the bidding round.</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8. The capacity to be offered in the within-day capacity auction shall be, each hour, equal to: </w:t>
            </w:r>
          </w:p>
          <w:p w:rsidR="00F02F76" w:rsidRPr="00B91C10" w:rsidRDefault="00F02F76" w:rsidP="00670674">
            <w:pPr>
              <w:jc w:val="both"/>
              <w:rPr>
                <w:rFonts w:asciiTheme="majorBidi" w:hAnsiTheme="majorBidi" w:cstheme="majorBidi"/>
                <w:sz w:val="18"/>
                <w:szCs w:val="18"/>
              </w:rPr>
            </w:pPr>
          </w:p>
          <w:p w:rsidR="00F02F76" w:rsidRPr="00976DC4" w:rsidRDefault="00F02F76" w:rsidP="00670674">
            <w:pPr>
              <w:jc w:val="center"/>
              <w:rPr>
                <w:rFonts w:asciiTheme="majorBidi" w:hAnsiTheme="majorBidi" w:cstheme="majorBidi"/>
                <w:b/>
                <w:sz w:val="18"/>
                <w:szCs w:val="18"/>
              </w:rPr>
            </w:pPr>
            <w:r w:rsidRPr="00976DC4">
              <w:rPr>
                <w:rFonts w:asciiTheme="majorBidi" w:hAnsiTheme="majorBidi" w:cstheme="majorBidi"/>
                <w:b/>
                <w:sz w:val="18"/>
                <w:szCs w:val="18"/>
              </w:rPr>
              <w:t>A – C + D</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Where: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r w:rsidRPr="00B91C10">
              <w:rPr>
                <w:rFonts w:asciiTheme="majorBidi" w:hAnsiTheme="majorBidi" w:cstheme="majorBidi"/>
                <w:b/>
                <w:bCs/>
                <w:sz w:val="18"/>
                <w:szCs w:val="18"/>
              </w:rPr>
              <w:t>A</w:t>
            </w:r>
            <w:r w:rsidRPr="00B91C10">
              <w:rPr>
                <w:rFonts w:asciiTheme="majorBidi" w:hAnsiTheme="majorBidi" w:cstheme="majorBidi"/>
                <w:sz w:val="18"/>
                <w:szCs w:val="18"/>
              </w:rPr>
              <w:t xml:space="preserve"> is the transmission system operator’s technical capacity for each of the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C</w:t>
            </w:r>
            <w:r w:rsidRPr="00B91C10">
              <w:rPr>
                <w:rFonts w:asciiTheme="majorBidi" w:hAnsiTheme="majorBidi" w:cstheme="majorBidi"/>
                <w:sz w:val="18"/>
                <w:szCs w:val="18"/>
              </w:rPr>
              <w:t xml:space="preserve"> is the previously sold technical capacity, adjusted by the capacity which is re-offered in accordance with applicable congestion management procedures;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D </w:t>
            </w:r>
            <w:r w:rsidRPr="00B91C10">
              <w:rPr>
                <w:rFonts w:asciiTheme="majorBidi" w:hAnsiTheme="majorBidi" w:cstheme="majorBidi"/>
                <w:sz w:val="18"/>
                <w:szCs w:val="18"/>
              </w:rPr>
              <w:t>is additional capacity, if any.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Transmission system operators shall publish the available amount of within-day firm capacity on offer, after closure of the last day-ahead auction and in accordance with Article 32(9).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10. Transmission system operators shall provide network users who bid in the day-ahead auctions with the option to have valid unsuccessful bids automatically entered into the subsequent within-day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11. The capacity shall be allocated within 30 minutes of the closure of the bidding round provided that the bids are accepted and the transmission system operator runs the allocation process.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12. The results of the auction shall be made available simultaneously to individual network users.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13. Aggregated information on the auction results shall be published at least at the end of each day.</w:t>
            </w:r>
          </w:p>
        </w:tc>
      </w:tr>
      <w:tr w:rsidR="00F02F76" w:rsidRPr="00B91C10" w:rsidTr="00670674">
        <w:trPr>
          <w:trHeight w:val="1699"/>
        </w:trPr>
        <w:tc>
          <w:tcPr>
            <w:tcW w:w="5245" w:type="dxa"/>
          </w:tcPr>
          <w:p w:rsidR="00F02F76" w:rsidRPr="009B61D3" w:rsidRDefault="00F02F76" w:rsidP="00670674">
            <w:pPr>
              <w:shd w:val="clear" w:color="auto" w:fill="FFFFFF"/>
              <w:jc w:val="center"/>
              <w:rPr>
                <w:rFonts w:asciiTheme="majorBidi" w:hAnsiTheme="majorBidi" w:cstheme="majorBidi"/>
                <w:b/>
                <w:i/>
                <w:iCs/>
                <w:sz w:val="18"/>
                <w:szCs w:val="18"/>
                <w:lang w:val="it-IT"/>
              </w:rPr>
            </w:pPr>
            <w:r w:rsidRPr="009B61D3">
              <w:rPr>
                <w:rFonts w:asciiTheme="majorBidi" w:hAnsiTheme="majorBidi" w:cstheme="majorBidi"/>
                <w:b/>
                <w:i/>
                <w:iCs/>
                <w:sz w:val="18"/>
                <w:szCs w:val="18"/>
                <w:lang w:val="it-IT"/>
              </w:rPr>
              <w:lastRenderedPageBreak/>
              <w:t>Articolul 16</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Algoritmele de licitație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cazul în care, în cadrul unei licitații, sunt oferite mai multe produse standard de capacitate, algoritmul de licitație respectiv se aplică în mod separat pentru fiecare produs standard de capacitate la momentul alocării sale. Ofertele pentru diferitele produse standard de capacitate sunt luate în considerare în mod independent unele de altele la aplicarea algoritmului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Pentru licitațiile anuale ale capacității anuale, ale capacității trimestriale și pentru licitațiile periodice ale capacității lunare se aplică un algoritm de licitație cu preț crescător, cu mai multe runde de licitație, astfel cum se prevede la articolul 17.</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 xml:space="preserve">(3)   Pentru licitațiile periodice ale capacității pentru ziua următoare și pentru licitațiile capacității intra-zilnice se aplică un algoritm de </w:t>
            </w:r>
            <w:r w:rsidRPr="00B91C10">
              <w:rPr>
                <w:rFonts w:asciiTheme="majorBidi" w:hAnsiTheme="majorBidi" w:cstheme="majorBidi"/>
                <w:sz w:val="18"/>
                <w:szCs w:val="18"/>
                <w:lang w:val="it-IT"/>
              </w:rPr>
              <w:lastRenderedPageBreak/>
              <w:t>licitație cu preț uniform, cu o singură rundă de licitație, în conformitate cu articolul 18.</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w:t>
            </w:r>
            <w:r>
              <w:rPr>
                <w:rFonts w:asciiTheme="majorBidi" w:hAnsiTheme="majorBidi" w:cstheme="majorBidi"/>
                <w:b/>
                <w:iCs/>
                <w:sz w:val="18"/>
                <w:szCs w:val="18"/>
                <w:lang w:val="ro-RO"/>
              </w:rPr>
              <w:t>8</w:t>
            </w:r>
            <w:r w:rsidRPr="00B91C10">
              <w:rPr>
                <w:rFonts w:asciiTheme="majorBidi" w:hAnsiTheme="majorBidi" w:cstheme="majorBidi"/>
                <w:b/>
                <w:iCs/>
                <w:sz w:val="18"/>
                <w:szCs w:val="18"/>
                <w:lang w:val="ro-RO"/>
              </w:rPr>
              <w:t>9</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Algoritmele de licitație</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06</w:t>
            </w:r>
            <w:r w:rsidRPr="00B91C10">
              <w:rPr>
                <w:rFonts w:asciiTheme="majorBidi" w:hAnsiTheme="majorBidi" w:cstheme="majorBidi"/>
                <w:sz w:val="18"/>
                <w:szCs w:val="18"/>
                <w:lang w:val="ro-RO"/>
              </w:rPr>
              <w:t>.În cazul în care, în cadrul unei licitații, sunt oferite mai multe PSC, algoritmul de licitație se aplică în mod separat pentru fiecare PSC la momentul alocării sale. Ofertele pentru diferitele PSC sunt luate în considerare în mod independent unele de altele la aplicarea algoritmului de licitație.</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98301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07</w:t>
            </w:r>
            <w:r w:rsidRPr="00B91C10">
              <w:rPr>
                <w:rFonts w:asciiTheme="majorBidi" w:hAnsiTheme="majorBidi" w:cstheme="majorBidi"/>
                <w:sz w:val="18"/>
                <w:szCs w:val="18"/>
                <w:lang w:val="ro-RO"/>
              </w:rPr>
              <w:t xml:space="preserve">.Pentru licitațiile </w:t>
            </w:r>
            <w:r w:rsidRPr="00983016">
              <w:rPr>
                <w:rFonts w:asciiTheme="majorBidi" w:hAnsiTheme="majorBidi" w:cstheme="majorBidi"/>
                <w:sz w:val="18"/>
                <w:szCs w:val="18"/>
                <w:lang w:val="ro-RO"/>
              </w:rPr>
              <w:t xml:space="preserve">capacității anuale, ale capacității trimestriale și pentru licitațiile capacității lunare se aplică un </w:t>
            </w:r>
            <w:r w:rsidRPr="00983016">
              <w:rPr>
                <w:rFonts w:asciiTheme="majorBidi" w:hAnsiTheme="majorBidi" w:cstheme="majorBidi"/>
                <w:i/>
                <w:sz w:val="18"/>
                <w:szCs w:val="18"/>
                <w:lang w:val="ro-RO"/>
              </w:rPr>
              <w:t>algoritm de licitație cu preț crescător</w:t>
            </w:r>
            <w:r w:rsidRPr="00983016">
              <w:rPr>
                <w:rFonts w:asciiTheme="majorBidi" w:hAnsiTheme="majorBidi" w:cstheme="majorBidi"/>
                <w:sz w:val="18"/>
                <w:szCs w:val="18"/>
                <w:lang w:val="ro-RO"/>
              </w:rPr>
              <w:t>, cu mai multe runde de licitație, astfel cum se prevede la pct. 209-230.</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 xml:space="preserve">208.Pentru licitațiile periodice ale capacității pentru ziua următoare și pentru licitațiile capacității intra-zilnice se aplică un </w:t>
            </w:r>
            <w:r w:rsidRPr="00983016">
              <w:rPr>
                <w:rFonts w:asciiTheme="majorBidi" w:hAnsiTheme="majorBidi" w:cstheme="majorBidi"/>
                <w:i/>
                <w:sz w:val="18"/>
                <w:szCs w:val="18"/>
                <w:lang w:val="ro-RO"/>
              </w:rPr>
              <w:lastRenderedPageBreak/>
              <w:t>algoritm de licitație cu preț uniform</w:t>
            </w:r>
            <w:r w:rsidRPr="00983016">
              <w:rPr>
                <w:rFonts w:asciiTheme="majorBidi" w:hAnsiTheme="majorBidi" w:cstheme="majorBidi"/>
                <w:sz w:val="18"/>
                <w:szCs w:val="18"/>
                <w:lang w:val="ro-RO"/>
              </w:rPr>
              <w:t>, cu o singură rundă de licitație, în conformitate cu pct. 231-241.</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9B61D3" w:rsidRDefault="00F02F76" w:rsidP="00670674">
            <w:pPr>
              <w:jc w:val="center"/>
              <w:rPr>
                <w:rFonts w:asciiTheme="majorBidi" w:hAnsiTheme="majorBidi" w:cstheme="majorBidi"/>
                <w:b/>
                <w:sz w:val="18"/>
                <w:szCs w:val="18"/>
              </w:rPr>
            </w:pPr>
            <w:r w:rsidRPr="009B61D3">
              <w:rPr>
                <w:rFonts w:asciiTheme="majorBidi" w:hAnsiTheme="majorBidi" w:cstheme="majorBidi"/>
                <w:b/>
                <w:sz w:val="18"/>
                <w:szCs w:val="18"/>
              </w:rPr>
              <w:t>Article 16</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Auction algorithms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If several standard capacity products are offered during an auction, the respective allocation algorithm shall be applied separately for each standard capacity product when it is being allocated. Bids for the different standard capacity products shall be considered independently from each other in the application of the auction algorithm.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For annual yearly, annual quarterly and rolling monthly capacity auctions, an ascending clock auction algorithm, with multiple bidding rounds, as provided for in Article 17, shall be applied.</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3. For rolling day-ahead capacity auctions and within-day capacity auctions, a uniform-price auction </w:t>
            </w:r>
            <w:r w:rsidRPr="00B91C10">
              <w:rPr>
                <w:rFonts w:asciiTheme="majorBidi" w:hAnsiTheme="majorBidi" w:cstheme="majorBidi"/>
                <w:sz w:val="18"/>
                <w:szCs w:val="18"/>
              </w:rPr>
              <w:lastRenderedPageBreak/>
              <w:t>algorithm, with a single bidding round, shall be applied in accordance with Article 18.</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17</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Algoritmul de licitație cu preț crescător</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Licitațiile cu preț crescător le permit utilizatorilor rețelei să facă oferte de volume ținând cont de prețurile în creștere progresivă, care vor fi anunțate în runde de licitație consecutive, prețul de pornire fiind prețul de rezervă P</w:t>
            </w:r>
            <w:r w:rsidRPr="00B91C10">
              <w:rPr>
                <w:rFonts w:asciiTheme="majorBidi" w:hAnsiTheme="majorBidi" w:cstheme="majorBidi"/>
                <w:sz w:val="18"/>
                <w:szCs w:val="18"/>
                <w:vertAlign w:val="subscript"/>
                <w:lang w:val="it-IT"/>
              </w:rPr>
              <w:t>0</w:t>
            </w:r>
            <w:r w:rsidRPr="00B91C10">
              <w:rPr>
                <w:rFonts w:asciiTheme="majorBidi" w:hAnsiTheme="majorBidi" w:cstheme="majorBidi"/>
                <w:sz w:val="18"/>
                <w:szCs w:val="18"/>
                <w:lang w:val="it-IT"/>
              </w:rPr>
              <w:t>.</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Prima rundă de licitație, cu un preț egal cu prețul de rezervă P</w:t>
            </w:r>
            <w:r w:rsidRPr="00B91C10">
              <w:rPr>
                <w:rFonts w:asciiTheme="majorBidi" w:hAnsiTheme="majorBidi" w:cstheme="majorBidi"/>
                <w:sz w:val="18"/>
                <w:szCs w:val="18"/>
                <w:vertAlign w:val="subscript"/>
                <w:lang w:val="it-IT"/>
              </w:rPr>
              <w:t>0</w:t>
            </w:r>
            <w:r w:rsidRPr="00B91C10">
              <w:rPr>
                <w:rFonts w:asciiTheme="majorBidi" w:hAnsiTheme="majorBidi" w:cstheme="majorBidi"/>
                <w:sz w:val="18"/>
                <w:szCs w:val="18"/>
                <w:lang w:val="it-IT"/>
              </w:rPr>
              <w:t>, trebuie să aibă o durată de trei ore. Rundele de licitație ulterioare trebuie să aibă o durată de o oră. Trebuie să existe o perioadă de o oră între rundele de licitație.</w:t>
            </w:r>
          </w:p>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(3)   Oferta trebuie să precizeze:</w:t>
            </w:r>
          </w:p>
          <w:p w:rsidR="00F02F76" w:rsidRPr="00B91C10" w:rsidRDefault="00F02F76" w:rsidP="00670674">
            <w:pPr>
              <w:shd w:val="clear" w:color="auto" w:fill="FFFFFF"/>
              <w:jc w:val="both"/>
              <w:rPr>
                <w:rFonts w:asciiTheme="majorBidi" w:hAnsiTheme="majorBidi" w:cstheme="majorBidi"/>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0"/>
              <w:gridCol w:w="4759"/>
            </w:tblGrid>
            <w:tr w:rsidR="00F02F76" w:rsidRPr="00C27D66" w:rsidTr="00670674">
              <w:tc>
                <w:tcPr>
                  <w:tcW w:w="48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8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identitatea utilizatorului rețelei care depune oferta;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67"/>
              <w:gridCol w:w="4762"/>
            </w:tblGrid>
            <w:tr w:rsidR="00F02F76" w:rsidRPr="00C27D66" w:rsidTr="00670674">
              <w:tc>
                <w:tcPr>
                  <w:tcW w:w="48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7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punctul de interconectare în cauză și direcția fluxului;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4"/>
              <w:gridCol w:w="4815"/>
            </w:tblGrid>
            <w:tr w:rsidR="00F02F76" w:rsidRPr="00C27D66" w:rsidTr="00670674">
              <w:tc>
                <w:tcPr>
                  <w:tcW w:w="3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97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produsul standard de capacitate pentru care se solicită capacitate;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3"/>
              <w:gridCol w:w="4876"/>
            </w:tblGrid>
            <w:tr w:rsidR="00F02F76" w:rsidRPr="00C27D66" w:rsidTr="00670674">
              <w:tc>
                <w:tcPr>
                  <w:tcW w:w="26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08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fiecare nivel de tarif, volumul de capacitate pentru produsul standard de capacitate solicitat;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8"/>
              <w:gridCol w:w="4841"/>
            </w:tblGrid>
            <w:tr w:rsidR="00F02F76" w:rsidRPr="00C27D66" w:rsidTr="00670674">
              <w:tc>
                <w:tcPr>
                  <w:tcW w:w="33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021"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se oferă capacitate incrementală, nivelul de ofertă în cauză.</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O ofertă este considerată valabilă dacă este depusă de un utilizator al rețelei și dacă ea respectă toate dispozițiile prezentului articol.</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Pentru ca utilizatorii rețelei să poată participa la o licitație, este obligatoriu ca utilizatorii rețelei să facă o ofertă de volum în prima rundă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Operatorii de transport și de sistem le oferă utilizatorilor rețelei posibilitatea de a face în mod automat oferte pentru orice nivel de tarif.</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După închiderea rundei de licitație relevante, nu se acceptă nicio modificare, retragere sau variație a ofertelor valabile. Toate ofertele valabile devin angajamente obligatorii prin care utilizatorul rețelei se angajează să rezerve volumul de capacitate solicitat la prețul anunțat, cu condiția ca prețul de închidere al licitației să fie cel anunțat în cadrul rundei de licitație relevante.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(8)   Oferta de volum depusă de un utilizator al rețelei în cadrul oricărei runde de licitație trebuie să fie mai mică sau egală cu capacitatea oferită în cadrul unei licitații date. Oferta de volum depusă de un utilizator al rețelei la un anumit preț trebuie să fie mai mică sau egală cu oferta de volum depusă de acest utilizator al rețelei în runda anterioară, cu excepția cazului în care se aplică dispozițiile de la alineatul (16).</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Ofertele pot fi depuse, modificate sau retrase în mod liber în cursul unei runde de licitație, cu condiția ca toate ofertele să respecte dispozițiile de la alineatul (8). Ofertele valabile rămân valabile până când sunt modificate sau retrase.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Pentru fiecare punct de interconectare și pentru fiecare produs standard de capacitate se definește un nivel mare de tarif și un nivel mic de tarif, iar acestea sunt publicate înaintea desfășurării licitației în cauză. Nivelul mic de tarif se stabilește astfel încât nivelul mare de tarif să fie un multiplu întreg al nivelului mic de tarif.</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Nivelul mare de tarif se stabilește astfel încât să se reducă la minimum, în măsura posibilului, durata procesului de licitație. Nivelul mic de tarif se stabilește astfel încât să se reducă la minimum, în măsura posibilului, volumul de capacitate nevândut, în cazul în care licitația se închide la un preț mai mare decât prețul de rezervă.</w:t>
            </w:r>
          </w:p>
          <w:p w:rsidR="00F02F76" w:rsidRDefault="00F02F76" w:rsidP="00670674">
            <w:pPr>
              <w:shd w:val="clear" w:color="auto" w:fill="FFFFFF"/>
              <w:jc w:val="both"/>
              <w:rPr>
                <w:rFonts w:asciiTheme="majorBidi" w:hAnsiTheme="majorBidi" w:cstheme="majorBidi"/>
                <w:sz w:val="18"/>
                <w:szCs w:val="18"/>
                <w:lang w:val="it-IT"/>
              </w:rPr>
            </w:pPr>
          </w:p>
          <w:p w:rsidR="00983016" w:rsidRPr="00B91C10" w:rsidRDefault="0098301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(12)   În cazul în care cererea agregată la nivelul tuturor utilizatorilor rețelei este mai mică sau egală cu capacitatea oferită la sfârșitul primei runde de licitație, licitația se închide.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(13)   În cazul în care cererea agregată la nivelul tuturor utilizatorilor rețelei este mai mare decât capacitatea oferită la sfârșitul primei runde de licitație sau al unei runde de licitație ulterioare, se deschide o nouă rundă de licitație cu un preț egal cu prețul din runda de licitație anterioară, la care se adaugă nivelul mare de tarif.</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(14)   În cazul în care cererea agregată la nivelul tuturor utilizatorilor rețelei este egală cu capacitatea oferită la sfârșitul celei de a doua runde de licitație sau al unei runde de licitație ulterioare, licitația se închide.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(15)   Dacă survine o primă subcotare, are loc o reducere a prețului și se deschide o nouă rundă de licitație. Runda de licitație următoare va avea un preț egal cu prețul aplicabil în runda de licitație care a precedat prima subcotare, la care se adaugă nivelul mic de tarif. Ulterior se deschid noi runde de licitație, în cadrul cărora au loc creșteri ale nivelului mic de tarif, astfel încât cererea agregată la nivelul tuturor utilizatorilor rețelei să devină mai mică sau egală cu capacitatea oferită, etapă în care licitația se închide.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(16)   Oferta de volum depusă de fiecare utilizator al rețelei în toate rundele de licitație în care se aplică niveluri mici de tarif trebuie să fie </w:t>
            </w:r>
            <w:r w:rsidRPr="00B91C10">
              <w:rPr>
                <w:rFonts w:asciiTheme="majorBidi" w:hAnsiTheme="majorBidi" w:cstheme="majorBidi"/>
                <w:sz w:val="18"/>
                <w:szCs w:val="18"/>
                <w:lang w:val="it-IT"/>
              </w:rPr>
              <w:lastRenderedPageBreak/>
              <w:t>mai mică sau egală cu oferta de volum depusă de acest utilizator al rețelei în runda de licitație care a precedat prima subcotare. Oferta de volum depusă de fiecare utilizator al rețelei pentru un nivel mic specific de tarif trebuie să fie mai mică sau egală cu oferta de volum depusă de acest utilizator al rețelei în runda de licitație anterioară caracterizată de niveluri mici de tarif. Oferta de volum depusă de fiecare utilizator al rețelei în toate rundele de licitație în care se aplică niveluri mici de tarif trebuie să fie mai mare sau egală cu oferta de volum depusă de acest utilizator al rețelei în runda de licitație în care a survenit prima subcotare.</w:t>
            </w:r>
          </w:p>
          <w:p w:rsidR="005C6CD2" w:rsidRDefault="00F02F76" w:rsidP="005C6CD2">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(17)   Dacă cererea agregată la nivelul tuturor utilizatorilor rețelei este mai mare decât capacitatea oferită în runda de licitație cu un preț egal cu cel care a condus la prima subcotare, minus un nivel mic de tarif, licitația se închide. Prețul de închidere este prețul care a condus la prima subcotare, iar ofertele câștigătoare sunt cele depuse în runda de licitație inițială în care a survenit prima subcotare.</w:t>
            </w:r>
          </w:p>
          <w:p w:rsidR="005C6CD2" w:rsidRDefault="005C6CD2" w:rsidP="005C6CD2">
            <w:pPr>
              <w:shd w:val="clear" w:color="auto" w:fill="FFFFFF"/>
              <w:jc w:val="both"/>
              <w:rPr>
                <w:rFonts w:asciiTheme="majorBidi" w:hAnsiTheme="majorBidi" w:cstheme="majorBidi"/>
                <w:sz w:val="18"/>
                <w:szCs w:val="18"/>
                <w:lang w:val="it-IT"/>
              </w:rPr>
            </w:pPr>
          </w:p>
          <w:p w:rsidR="005C6CD2" w:rsidRDefault="005C6CD2" w:rsidP="005C6CD2">
            <w:pPr>
              <w:shd w:val="clear" w:color="auto" w:fill="FFFFFF"/>
              <w:jc w:val="both"/>
              <w:rPr>
                <w:rFonts w:asciiTheme="majorBidi" w:hAnsiTheme="majorBidi" w:cstheme="majorBidi"/>
                <w:sz w:val="18"/>
                <w:szCs w:val="18"/>
                <w:lang w:val="it-IT"/>
              </w:rPr>
            </w:pPr>
          </w:p>
          <w:p w:rsidR="00F02F76" w:rsidRPr="00B91C10" w:rsidRDefault="00F02F76" w:rsidP="005C6CD2">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(18)   După fiecare rundă de licitație, cererile depuse de toți utilizatorii rețelei în cadrul unei licitații specifice se publică cât mai curând posibil, în formă agregată.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(19)   Prețul anunțat pentru ultima rundă de licitație în cursul căreia a fost închisă licitația este considerat a fi prețul de închidere al licitației specifice, cu excepția cazului în care se aplică alineatul (17).</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(20)   Tuturor utilizatorilor rețelei care au depus oferte de volum valabile la prețul de închidere li se alocă respectiva capacitate în funcție de ofertele lor de volum la prețul de închidere. În cazul în care se oferă capacitate incrementală, alocarea capacității incrementale este condiționată de rezultatul obținut în urma testului economic în conformitate cu articolul 22. Utilizatorii rețelei care au câștigat licitația plătesc prețul de închidere al licitației specifice, recurgând la o abordare privind un preț de plătit fix sau la o abordare privind un preț de plătit variabil, astfel cum se prevede la articolul 24 din Regulamentul (UE) 2017/460, precum și orice alte eventuale tarife aplicabile în momentul în care capacitatea care le este alocată poate fi utilizată.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(21)   După închiderea fiecărei licitații, se publică rezultatul final al licitației, inclusiv capacitățile alocate agregate și prețul de închidere. Utilizatorii rețelei care au câștigat licitația sunt informați cu privire la volumul de capacități care le sunt alocate, iar informațiile individuale sunt comunicate numai părților interesate. În cazul în care se alocă capacitate incrementală, prezentul alineat se aplică numai rezultatelor licitației al cărei nivel de ofertă pune la dispoziție cel mai mare volum de capacitate care a condus la un test economic pozitiv în conformitate cu articolul 22 alineatul (3).</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it-IT"/>
              </w:rPr>
              <w:lastRenderedPageBreak/>
              <w:t xml:space="preserve">(22)   Dacă o licitație cu preț crescător nu s-a încheiat până la momentul în care este programată să înceapă (conform calendarului licitației) următoarea licitație a capacității acoperind aceeași perioadă, prima licitație se închide și nu se alocă nicio capacitate. </w:t>
            </w:r>
            <w:r w:rsidRPr="00B91C10">
              <w:rPr>
                <w:rFonts w:asciiTheme="majorBidi" w:hAnsiTheme="majorBidi" w:cstheme="majorBidi"/>
                <w:sz w:val="18"/>
                <w:szCs w:val="18"/>
                <w:lang w:val="en-GB"/>
              </w:rPr>
              <w:t>Capacitatea este oferită în cadrul următoarei licitații relevante.</w:t>
            </w:r>
          </w:p>
          <w:p w:rsidR="00F02F76" w:rsidRPr="00B91C10" w:rsidRDefault="00F02F76" w:rsidP="00670674">
            <w:pPr>
              <w:shd w:val="clear" w:color="auto" w:fill="FFFFFF"/>
              <w:jc w:val="center"/>
              <w:rPr>
                <w:rFonts w:asciiTheme="majorBidi" w:hAnsiTheme="majorBidi" w:cstheme="majorBidi"/>
                <w:i/>
                <w:iCs/>
                <w:sz w:val="18"/>
                <w:szCs w:val="18"/>
                <w:lang w:val="en-GB"/>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9</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Algoritmul de licitație cu preț crescător</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09</w:t>
            </w:r>
            <w:r w:rsidRPr="00B91C10">
              <w:rPr>
                <w:rFonts w:asciiTheme="majorBidi" w:hAnsiTheme="majorBidi" w:cstheme="majorBidi"/>
                <w:sz w:val="18"/>
                <w:szCs w:val="18"/>
                <w:lang w:val="ro-RO"/>
              </w:rPr>
              <w:t>.Licitațiile cu preț crescător le permit utilizatorilor de sistem să facă oferte ținând cont de prețurile în creștere progresivă, care vor fi anunțate în runde de licitație consecutive, prețul de pornire fiind prețul de rezervă P0.</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0</w:t>
            </w:r>
            <w:r w:rsidRPr="00B91C10">
              <w:rPr>
                <w:rFonts w:asciiTheme="majorBidi" w:hAnsiTheme="majorBidi" w:cstheme="majorBidi"/>
                <w:sz w:val="18"/>
                <w:szCs w:val="18"/>
                <w:lang w:val="ro-RO"/>
              </w:rPr>
              <w:t>.Prima rundă de licitație, cu un preț egal cu prețul de rezervă P0, trebuie să aibă o durată de 3 ore. Rundele de licitație ulterioare trebuie să aibă o durată de o oră. Trebuie să existe o perioadă de o oră între rundele de licitație.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1</w:t>
            </w:r>
            <w:r w:rsidRPr="00B91C10">
              <w:rPr>
                <w:rFonts w:asciiTheme="majorBidi" w:hAnsiTheme="majorBidi" w:cstheme="majorBidi"/>
                <w:sz w:val="18"/>
                <w:szCs w:val="18"/>
                <w:lang w:val="ro-RO"/>
              </w:rPr>
              <w:t>.Oferta trebuie să precizeze: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1) identitatea utilizatorului de sistem care depune oferta;</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2) punctul de interconectare în cauză și direcția fluxului;</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3) PSC pentru care se solicită capacitate;</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4) pentru fiecare nivel de tarif, capacitatea pentru produsul standard de capacitate solicitat;</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5) în cazul în care se oferă capacitate incrementală, nivelul de ofertă în cauză.</w:t>
                  </w:r>
                </w:p>
                <w:p w:rsidR="00F02F76" w:rsidRDefault="00F02F76" w:rsidP="00670674">
                  <w:pPr>
                    <w:tabs>
                      <w:tab w:val="left" w:pos="851"/>
                    </w:tabs>
                    <w:ind w:firstLine="44"/>
                    <w:jc w:val="both"/>
                    <w:rPr>
                      <w:rFonts w:asciiTheme="majorBidi" w:hAnsiTheme="majorBidi" w:cstheme="majorBidi"/>
                      <w:sz w:val="18"/>
                      <w:szCs w:val="18"/>
                      <w:lang w:val="ro-RO"/>
                    </w:rPr>
                  </w:pPr>
                </w:p>
                <w:p w:rsidR="00F02F76" w:rsidRPr="00B91C10" w:rsidRDefault="00F02F76" w:rsidP="00670674">
                  <w:pPr>
                    <w:tabs>
                      <w:tab w:val="left" w:pos="851"/>
                    </w:tabs>
                    <w:ind w:firstLine="44"/>
                    <w:jc w:val="both"/>
                    <w:rPr>
                      <w:rFonts w:asciiTheme="majorBidi" w:hAnsiTheme="majorBidi" w:cstheme="majorBidi"/>
                      <w:sz w:val="18"/>
                      <w:szCs w:val="18"/>
                      <w:lang w:val="ro-RO"/>
                    </w:rPr>
                  </w:pPr>
                </w:p>
              </w:tc>
            </w:tr>
          </w:tbl>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2</w:t>
            </w:r>
            <w:r w:rsidRPr="00B91C10">
              <w:rPr>
                <w:rFonts w:asciiTheme="majorBidi" w:hAnsiTheme="majorBidi" w:cstheme="majorBidi"/>
                <w:sz w:val="18"/>
                <w:szCs w:val="18"/>
                <w:lang w:val="ro-RO"/>
              </w:rPr>
              <w:t>.O ofertă este considerată valabilă dacă este depusă de un utilizator de sistem și dacă ea respectă toate dispozițiile prezentei Secțiuni.</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3</w:t>
            </w:r>
            <w:r w:rsidRPr="00B91C10">
              <w:rPr>
                <w:rFonts w:asciiTheme="majorBidi" w:hAnsiTheme="majorBidi" w:cstheme="majorBidi"/>
                <w:sz w:val="18"/>
                <w:szCs w:val="18"/>
                <w:lang w:val="ro-RO"/>
              </w:rPr>
              <w:t>.Pentru ca utilizatorii de sistem să poată participa la o licitație, este obligatoriu ca de aceștia să facă o ofertă în prima rundă de licitație.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4</w:t>
            </w:r>
            <w:r w:rsidRPr="00B91C10">
              <w:rPr>
                <w:rFonts w:asciiTheme="majorBidi" w:hAnsiTheme="majorBidi" w:cstheme="majorBidi"/>
                <w:sz w:val="18"/>
                <w:szCs w:val="18"/>
                <w:lang w:val="ro-RO"/>
              </w:rPr>
              <w:t>.OST le oferă utilizatorilor de sistem posibilitatea de a face în mod automat oferte pentru orice nivel de tarif.</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5</w:t>
            </w:r>
            <w:r w:rsidRPr="00B91C10">
              <w:rPr>
                <w:rFonts w:asciiTheme="majorBidi" w:hAnsiTheme="majorBidi" w:cstheme="majorBidi"/>
                <w:sz w:val="18"/>
                <w:szCs w:val="18"/>
                <w:lang w:val="ro-RO"/>
              </w:rPr>
              <w:t>.După închiderea rundei de licitație relevante, nu se acceptă nicio modificare, retragere sau variație a ofertelor valabile. Toate ofertele valabile devin angajamente obligatorii prin care utilizatorul de sistem se angajează să rezerve capacitatea solicitată la prețul anunțat, cu condiția ca prețul de închidere al licitației să fie cel anunțat în cadrul rundei de licitație relevante.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2</w:t>
            </w:r>
            <w:r>
              <w:rPr>
                <w:rFonts w:asciiTheme="majorBidi" w:hAnsiTheme="majorBidi" w:cstheme="majorBidi"/>
                <w:sz w:val="18"/>
                <w:szCs w:val="18"/>
                <w:lang w:val="ro-RO"/>
              </w:rPr>
              <w:t>16</w:t>
            </w:r>
            <w:r w:rsidRPr="00B91C10">
              <w:rPr>
                <w:rFonts w:asciiTheme="majorBidi" w:hAnsiTheme="majorBidi" w:cstheme="majorBidi"/>
                <w:sz w:val="18"/>
                <w:szCs w:val="18"/>
                <w:lang w:val="ro-RO"/>
              </w:rPr>
              <w:t xml:space="preserve">.Oferta depusă de un utilizator de sistem în cadrul oricărei runde de licitație trebuie să fie mai mică sau egală cu capacitatea oferită în cadrul unei licitații date. Oferta depusă de un utilizator de sistem la un anumit preț trebuie </w:t>
            </w:r>
            <w:r w:rsidRPr="00997596">
              <w:rPr>
                <w:rFonts w:asciiTheme="majorBidi" w:hAnsiTheme="majorBidi" w:cstheme="majorBidi"/>
                <w:sz w:val="18"/>
                <w:szCs w:val="18"/>
                <w:lang w:val="ro-RO"/>
              </w:rPr>
              <w:t>să fie mai mică sau egală cu oferta depusă de acest utilizator de sistem în runda anterioară, cu excepția cazului în care se aplică dispozițiile de la pct. 228.</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271.Ofertele pot fi depuse, modificate sau retrase în mod liber în cursul unei runde de licitație, cu condiția ca toate ofertele să respecte dispozițiile de la pct. 220. Ofertele valabile rămân valabile până când sunt modificate sau retrase.</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218.Pentru fiecare punct de interconectare și pentru fiecare PSC se definește un nivel mare de tarif și un nivel mic de tarif, iar acestea sunt publicate înaintea desfășurării licitației în cauză. Nivelul mic de tarif se stabilește astfel încât nivelul mare de tarif să fie un multiplu întreg al nivelului mic de tarif.</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219.Nivelul mare de tarif se stabilește astfel încât să se reducă la minimum, în măsura posibilului, durata procesului de licitație. Nivelul mic de tarif se stabilește astfel încât să se reducă la minimum, în măsura posibilului, capacitatea nevândută, în cazul în care licitația se închide la un preț mai mare decât prețul de rezervă.</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220.În cazul în care cererea agregată la nivelul tuturor utilizatorilor de sistem este mai mică sau egală cu capacitatea oferită la sfârșitul primei runde de licitație, licitația se închide.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221.În cazul în care cererea agregată la nivelul tuturor utilizatorilor de sistem este mai mare decât capacitatea</w:t>
            </w:r>
            <w:r w:rsidRPr="00B91C10">
              <w:rPr>
                <w:rFonts w:asciiTheme="majorBidi" w:hAnsiTheme="majorBidi" w:cstheme="majorBidi"/>
                <w:sz w:val="18"/>
                <w:szCs w:val="18"/>
                <w:lang w:val="ro-RO"/>
              </w:rPr>
              <w:t xml:space="preserve"> oferită la sfârșitul primei runde de licitație sau al unei runde de licitație ulterioare, se deschide o nouă rundă de licitație cu un preț egal cu prețul din runda de licitație anterioară, la care se adaugă nivelul mare de tarif.</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2</w:t>
            </w:r>
            <w:r w:rsidRPr="00B91C10">
              <w:rPr>
                <w:rFonts w:asciiTheme="majorBidi" w:hAnsiTheme="majorBidi" w:cstheme="majorBidi"/>
                <w:sz w:val="18"/>
                <w:szCs w:val="18"/>
                <w:lang w:val="ro-RO"/>
              </w:rPr>
              <w:t>.În cazul în care cererea agregată la nivelul tuturor utilizatorilor de sistem este egală cu capacitatea oferită la sfârșitul celei de a doua runde de licitație sau al unei runde de licitație ulterioare, licitația se închide.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3</w:t>
            </w:r>
            <w:r w:rsidRPr="00B91C10">
              <w:rPr>
                <w:rFonts w:asciiTheme="majorBidi" w:hAnsiTheme="majorBidi" w:cstheme="majorBidi"/>
                <w:sz w:val="18"/>
                <w:szCs w:val="18"/>
                <w:lang w:val="ro-RO"/>
              </w:rPr>
              <w:t>.Dacă survine o primă subcotare, are loc o reducere a prețului și se deschide o nouă rundă de licitație. Runda de licitație următoare va avea un preț egal cu prețul aplicabil în runda de licitație care a precedat prima subcotare, la care se adaugă nivelul mic de tarif. Ulterior se deschid noi runde de licitație, în cadrul cărora au loc creșteri ale nivelului mic de tarif, astfel încât cererea agregată la nivelul tuturor utilizatorilor de sistem să devină mai mică sau egală cu capacitatea oferită, etapă în care licitația se închide.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.Oferta depusă de fiecare utilizator de sistem în toate rundele de licitație în care se aplică niveluri mici de tarif trebuie să fie mai mică sau egală cu oferta depusă de acest utilizator de sistem </w:t>
            </w:r>
            <w:r w:rsidRPr="00B91C10">
              <w:rPr>
                <w:rFonts w:asciiTheme="majorBidi" w:hAnsiTheme="majorBidi" w:cstheme="majorBidi"/>
                <w:sz w:val="18"/>
                <w:szCs w:val="18"/>
                <w:lang w:val="ro-RO"/>
              </w:rPr>
              <w:lastRenderedPageBreak/>
              <w:t>în runda de licitație care a precedat prima subcotare. Oferta depusă de fiecare utilizator de sistem pentru un nivel mic specific de tarif trebuie să fie mai mică sau egală cu oferta depusă de acest utilizator de sistem în runda de licitație anterioară caracterizată de niveluri mici de tarif. Oferta depusă de fiecare utilizator de sistem în toate rundele de licitație în care se aplică niveluri mici de tarif trebuie să fie mai mare sau egală cu depusă de acest utilizator de sistem în runda de licitație în care a survenit prima subcotare.</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5</w:t>
            </w:r>
            <w:r w:rsidRPr="00B91C10">
              <w:rPr>
                <w:rFonts w:asciiTheme="majorBidi" w:hAnsiTheme="majorBidi" w:cstheme="majorBidi"/>
                <w:sz w:val="18"/>
                <w:szCs w:val="18"/>
                <w:lang w:val="ro-RO"/>
              </w:rPr>
              <w:t>.Dacă cererea agregată la nivelul tuturor utilizatorilor de sistem este mai mare decât capacitatea oferită în runda de licitație cu un preț egal cu cel care a condus la prima subcotare, minus un nivel mic de tarif, licitația se închide. Prețul de închidere este prețul care a condus la prima subcotare, iar ofertele câștigătoare sunt cele depuse în runda de licitație inițială în care a survenit prima subcotare.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26</w:t>
            </w:r>
            <w:r w:rsidRPr="00B91C10">
              <w:rPr>
                <w:rFonts w:asciiTheme="majorBidi" w:hAnsiTheme="majorBidi" w:cstheme="majorBidi"/>
                <w:sz w:val="18"/>
                <w:szCs w:val="18"/>
                <w:lang w:val="ro-RO"/>
              </w:rPr>
              <w:t>.După fiecare rundă de licitație, cererile depuse de toți utilizatorii de sistem în cadrul unei licitații specifice se publică cât mai curând posibil, în formă agregată.</w:t>
            </w:r>
          </w:p>
          <w:p w:rsidR="00F02F76" w:rsidRPr="00782595"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27</w:t>
            </w:r>
            <w:r w:rsidRPr="00B91C10">
              <w:rPr>
                <w:rFonts w:asciiTheme="majorBidi" w:hAnsiTheme="majorBidi" w:cstheme="majorBidi"/>
                <w:sz w:val="18"/>
                <w:szCs w:val="18"/>
                <w:lang w:val="ro-RO"/>
              </w:rPr>
              <w:t xml:space="preserve">.Prețul anunțat pentru ultima rundă de licitație în cursul căreia a </w:t>
            </w:r>
            <w:r w:rsidRPr="00782595">
              <w:rPr>
                <w:rFonts w:asciiTheme="majorBidi" w:hAnsiTheme="majorBidi" w:cstheme="majorBidi"/>
                <w:sz w:val="18"/>
                <w:szCs w:val="18"/>
                <w:lang w:val="ro-RO"/>
              </w:rPr>
              <w:t>fost închisă licitația este considerat a fi prețul de închidere al licitației specifice, cu excepția cazului în care se aplică pct. 225.</w:t>
            </w:r>
          </w:p>
          <w:p w:rsidR="00F02F76" w:rsidRDefault="00F02F76" w:rsidP="00670674">
            <w:pPr>
              <w:tabs>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t>228.Tuturor utilizatorilor de sistem care au depus oferte valabile la prețul de închidere li se alocă capacitate respectivă în funcție de ofertele lor la prețul de închidere. În cazul în care se oferă capacitate incrementală, alocarea capacității incrementale este condiționată de rezultatul obținut în urma testului economic în conformitate cu pct. 251-253. Utilizatorii de sistem care au câștigat licitația plătesc prețul de închidere al licitației, recurgând la o abordare privind un preț de plătit</w:t>
            </w:r>
            <w:r w:rsidRPr="00B91C10">
              <w:rPr>
                <w:rFonts w:asciiTheme="majorBidi" w:hAnsiTheme="majorBidi" w:cstheme="majorBidi"/>
                <w:sz w:val="18"/>
                <w:szCs w:val="18"/>
                <w:lang w:val="ro-RO"/>
              </w:rPr>
              <w:t xml:space="preserve"> fix sau la o abordare privind un preț de plătit variabil, astfel cum se prevede la </w:t>
            </w:r>
            <w:r w:rsidRPr="00B91C10">
              <w:rPr>
                <w:rFonts w:asciiTheme="majorBidi" w:hAnsiTheme="majorBidi" w:cstheme="majorBidi"/>
                <w:sz w:val="18"/>
                <w:szCs w:val="18"/>
                <w:highlight w:val="lightGray"/>
                <w:lang w:val="ro-RO"/>
              </w:rPr>
              <w:t>pct. 39</w:t>
            </w:r>
            <w:r>
              <w:rPr>
                <w:rFonts w:asciiTheme="majorBidi" w:hAnsiTheme="majorBidi" w:cstheme="majorBidi"/>
                <w:sz w:val="18"/>
                <w:szCs w:val="18"/>
                <w:lang w:val="ro-RO"/>
              </w:rPr>
              <w:t>1</w:t>
            </w:r>
            <w:r w:rsidRPr="00B91C10">
              <w:rPr>
                <w:rFonts w:asciiTheme="majorBidi" w:hAnsiTheme="majorBidi" w:cstheme="majorBidi"/>
                <w:sz w:val="18"/>
                <w:szCs w:val="18"/>
                <w:lang w:val="ro-RO"/>
              </w:rPr>
              <w:t>, precum și orice alte eventuale tarife aplicabile în momentul în care capacitatea care le este alocată poate fi utilizată.</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782595"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29</w:t>
            </w:r>
            <w:r w:rsidRPr="00B91C10">
              <w:rPr>
                <w:rFonts w:asciiTheme="majorBidi" w:hAnsiTheme="majorBidi" w:cstheme="majorBidi"/>
                <w:sz w:val="18"/>
                <w:szCs w:val="18"/>
                <w:lang w:val="ro-RO"/>
              </w:rPr>
              <w:t xml:space="preserve">.După închiderea fiecărei licitații, se publică rezultatul final al licitației, inclusiv capacitățile alocate agregate și prețul de închidere. Utilizatorii de sistem care au câștigat licitația sunt informați cu privire la capacitatea care le este alocată, iar informațiile individuale sunt comunicate numai părților interesate. În cazul în care se alocă capacitate incrementală, prezentul  punct se aplică numai rezultatelor licitației al cărei nivel de ofertă pune la dispoziție cea mai mare </w:t>
            </w:r>
            <w:r w:rsidRPr="00782595">
              <w:rPr>
                <w:rFonts w:asciiTheme="majorBidi" w:hAnsiTheme="majorBidi" w:cstheme="majorBidi"/>
                <w:sz w:val="18"/>
                <w:szCs w:val="18"/>
                <w:lang w:val="ro-RO"/>
              </w:rPr>
              <w:t>capacitate care a condus la un test economic pozitiv în conformitate cu pct. 252.</w:t>
            </w:r>
          </w:p>
          <w:p w:rsidR="00F02F76" w:rsidRPr="00782595" w:rsidRDefault="00F02F76" w:rsidP="00670674">
            <w:pPr>
              <w:tabs>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t xml:space="preserve">. </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lastRenderedPageBreak/>
              <w:t>230.Dacă o licitație cu preț crescător nu s-a încheiat până la</w:t>
            </w:r>
            <w:r w:rsidRPr="00B91C10">
              <w:rPr>
                <w:rFonts w:asciiTheme="majorBidi" w:hAnsiTheme="majorBidi" w:cstheme="majorBidi"/>
                <w:sz w:val="18"/>
                <w:szCs w:val="18"/>
                <w:lang w:val="ro-RO"/>
              </w:rPr>
              <w:t xml:space="preserve"> momentul în care este programată să înceapă (conform calendarului licitației) următoarea licitație a capacității acoperind aceeași perioadă, prima licitație se închide și nu se alocă nicio capacitate. Capacitatea este oferită în cadrul următoarei licitații relevante.</w:t>
            </w:r>
          </w:p>
          <w:p w:rsidR="00F02F76" w:rsidRPr="00C33F84" w:rsidRDefault="00F02F76" w:rsidP="00670674">
            <w:pPr>
              <w:jc w:val="both"/>
              <w:rPr>
                <w:rFonts w:asciiTheme="majorBidi" w:hAnsiTheme="majorBidi" w:cstheme="majorBidi"/>
                <w:b/>
                <w:sz w:val="18"/>
                <w:szCs w:val="18"/>
                <w:lang w:val="ro-RO"/>
              </w:rPr>
            </w:pPr>
          </w:p>
        </w:tc>
        <w:tc>
          <w:tcPr>
            <w:tcW w:w="1417" w:type="dxa"/>
          </w:tcPr>
          <w:p w:rsidR="00F02F76" w:rsidRPr="00C33F84" w:rsidRDefault="00F02F76" w:rsidP="00670674">
            <w:pPr>
              <w:jc w:val="both"/>
              <w:rPr>
                <w:rFonts w:asciiTheme="majorBidi" w:hAnsiTheme="majorBidi" w:cstheme="majorBidi"/>
                <w:b/>
                <w:sz w:val="18"/>
                <w:szCs w:val="18"/>
                <w:lang w:val="ro-RO"/>
              </w:rPr>
            </w:pPr>
          </w:p>
          <w:p w:rsidR="00F02F76" w:rsidRPr="00C33F84" w:rsidRDefault="00F02F76" w:rsidP="00670674">
            <w:pPr>
              <w:jc w:val="both"/>
              <w:rPr>
                <w:rFonts w:asciiTheme="majorBidi" w:hAnsiTheme="majorBidi" w:cstheme="majorBidi"/>
                <w:b/>
                <w:sz w:val="18"/>
                <w:szCs w:val="18"/>
                <w:lang w:val="ro-RO"/>
              </w:rPr>
            </w:pPr>
          </w:p>
          <w:p w:rsidR="00F02F76" w:rsidRPr="00C33F84"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782595" w:rsidRPr="00B91C10" w:rsidRDefault="00782595"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782595"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Default="00782595"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983016" w:rsidRPr="00B91C10" w:rsidRDefault="0098301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9B61D3" w:rsidRDefault="00F02F76" w:rsidP="00670674">
            <w:pPr>
              <w:jc w:val="center"/>
              <w:rPr>
                <w:rFonts w:asciiTheme="majorBidi" w:hAnsiTheme="majorBidi" w:cstheme="majorBidi"/>
                <w:b/>
                <w:sz w:val="18"/>
                <w:szCs w:val="18"/>
              </w:rPr>
            </w:pPr>
            <w:r w:rsidRPr="009B61D3">
              <w:rPr>
                <w:rFonts w:asciiTheme="majorBidi" w:hAnsiTheme="majorBidi" w:cstheme="majorBidi"/>
                <w:b/>
                <w:sz w:val="18"/>
                <w:szCs w:val="18"/>
              </w:rPr>
              <w:lastRenderedPageBreak/>
              <w:t>Article 17</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Ascending clock auction algorithm</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Ascending clock auctions shall enable network users to place volume bids against escalating prices announced in consecutive bidding rounds, starting at the reserve price P0.</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The first bidding round, with an associated price equal to the reserve price P0 , shall have a duration of 3 hours. Subsequent bidding rounds shall have a duration of 1 hour. There shall be a period of 1 hour between bidding rounds.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A bid shall specify: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identity of the network user applying;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concerned interconnection point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direction of the flow;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standard capacity product for which the capacity is applied for;</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per price step, the amount of capacity for the respective standard capacity product applied for; (e) where incremental capacity is offered, the concerned offer level.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A bid shall be considered valid if it is submitted by a network user and complies with </w:t>
            </w:r>
            <w:r>
              <w:rPr>
                <w:rFonts w:asciiTheme="majorBidi" w:hAnsiTheme="majorBidi" w:cstheme="majorBidi"/>
                <w:sz w:val="18"/>
                <w:szCs w:val="18"/>
              </w:rPr>
              <w:t>all provisions of this Article.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In order for network users to participate in an auction, it shall be mandatory for network users to place a volume bid in the first bidding round.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Transmission system operators shall provide network users with the option to enter bids automatically against any price step.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Once the relevant bidding round closes, no modification, withdrawal or variation to valid bids shall be accepted. All valid bids shall become binding commitments of a network user to book capacity to the amount requested per announced price, provided the clearing price of the auction is that which is announced in the relevant bidding round.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8. The volume bid in any bidding round per network user shall be equal or smaller to the capacity offered in a specific auction. The volume bid per network user at a specific price shall be equal to or less than the volume bid placed by this network user in the previous round, except where paragraph 16 applies.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 Bids may be freely entered, modified and withdrawn during a bidding round, providing all bids comply with paragraph 8. Valid bids shall remain valid until modified or withdrawn</w:t>
            </w:r>
          </w:p>
          <w:p w:rsidR="00F02F76" w:rsidRPr="00B91C10" w:rsidRDefault="00F02F76" w:rsidP="00670674">
            <w:pPr>
              <w:jc w:val="both"/>
              <w:rPr>
                <w:rFonts w:asciiTheme="majorBidi" w:hAnsiTheme="majorBidi" w:cstheme="majorBidi"/>
                <w:sz w:val="18"/>
                <w:szCs w:val="18"/>
              </w:rPr>
            </w:pPr>
            <w:r>
              <w:rPr>
                <w:rFonts w:cstheme="majorBidi"/>
                <w:sz w:val="18"/>
                <w:szCs w:val="18"/>
              </w:rPr>
              <w:t>1</w:t>
            </w:r>
            <w:r w:rsidRPr="00B91C10">
              <w:rPr>
                <w:rFonts w:asciiTheme="majorBidi" w:hAnsiTheme="majorBidi" w:cstheme="majorBidi"/>
                <w:sz w:val="18"/>
                <w:szCs w:val="18"/>
              </w:rPr>
              <w:t>0. A large price step and a small price step shall be defined per interconnection point and per standard capacity product and shall be published in advance of the relevant auction. The small price step shall be set such that an increase by an integer number of small price steps is equal to an increase by a large price step.</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11. The determination of the large price step shall seek to minimise, as far as reasonably possible, the length of the auction process. The determination of the small price step shall seek to minimise, as far as reasonably possible, the level of unsold capacity where the auction closes at a price higher than the reserve price. </w:t>
            </w:r>
          </w:p>
          <w:p w:rsidR="00983016" w:rsidRPr="00B91C10" w:rsidRDefault="0098301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12. If the aggregate demand across all network users is less than or equal to the capacity offered at the end of the first bidding round, the auction shall close.</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13. If the aggregate demand across all network users is greater than the capacity offered at the end of the first bidding round or a subsequent bidding round, a further bidding round shall be opened with a price equal to the price in the previous bidding round, plus the large price step.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14.If the aggregate demand across all network users is equal to the capacity offered at the end of the second bidding round or a subsequent bidding round, the auction shall close.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15. If a first-time undersell occurs, a price reduction shall take place and a further bidding round shall be opened. The further bidding round will have a price equal to the price applicable in the bidding round preceding the first-time undersell, plus the small price step. Further bidding rounds with increments of the small price step shall then be opened until the aggregate demand across all network users is less than or equal to the capacity offered, at which point the auction shall close.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16. The volume bid per network user in all bidding rounds where small price steps are applied shall be equal to or less than the volume bid placed by this network user in the bidding round which preceded the first-time undersell. The volume bid per network user for a specific small price step shall be equal to or smaller than the volume bid placed by this network user in the previous bidding round of small price steps. The volume bid per network user in all bidding rounds where small price steps are applied shall be equal to or greater than the volume bid placed by this network user during the bidding round in which the first-time undersell occurred.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17. If the aggregate demand across all network users is greater than the capacity offered in the bidding round with a price equal to that which led to the first-time undersell, minus one small price step, the auction shall close. The clearing price shall be the price that led to the first-time undersell and the successful bids shall be those submitted during the original bidding round in which the first-time undersell occurred.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18. After each bidding round, the demand of all network users in a specific auction shall be published as soon as reasonably possible in an aggregated form.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19. The price announced for the last bidding round in which the auction closes shall be considered as the clearing price of the specific auction, except cases where paragraph 17 applies.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20. All network users who have placed valid volume bids at the clearing price shall be allocated the capacity according to their volume bids at the clearing price. Where incremental capacity is offered, the allocation of incremental capacity shall be subject to the outcome of the economic test according to Article 22. Successful network users shall pay the clearing price of the specific auction, which may be a fixed or a floating payable price approach set out in Article 24 of Regulation (EU) 2017/460, and any other possible charges applicable at the time when the capacity allocated to them can be used.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21. Following every closed auction, the final auction result including the aggregation of allocated capacities and the clearing price shall be published. Successful network users shall be informed about the amount of capacities they are allocated, individual information shall be communicated only to concerned parties. Where incremental capacity is allocated, this paragraph shall only apply to the auction results of the offer level </w:t>
            </w:r>
            <w:r w:rsidRPr="00B91C10">
              <w:rPr>
                <w:rFonts w:asciiTheme="majorBidi" w:hAnsiTheme="majorBidi" w:cstheme="majorBidi"/>
                <w:sz w:val="18"/>
                <w:szCs w:val="18"/>
              </w:rPr>
              <w:lastRenderedPageBreak/>
              <w:t xml:space="preserve">offering the largest amount of capacity that resulted in a positive economic test according to Article 22(3).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22. If an ascending clock auction has not ended by the scheduled starting point (according to the auction calendar) of the next auction for capacity covering the same period, the first auction shall close and no capacity shall be allocated. The capacity shall be offered in the next relevant auction.</w:t>
            </w:r>
          </w:p>
        </w:tc>
      </w:tr>
      <w:tr w:rsidR="00F02F76" w:rsidRPr="00B91C10" w:rsidTr="00690087">
        <w:trPr>
          <w:trHeight w:val="281"/>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18</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Algoritmul de licitație cu preț uniform</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cadrul unei licitații cu preț uniform, există o singură rundă de licitație în care utilizatorul rețelei face o ofertă de preț și de cantitate.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cursul unei runde de licitație a unei licitații date, utilizatorii rețelei pot prezenta până la 10 oferte. Fiecare ofertă este tratată în mod independent de celelalte oferte. După închiderea rundei de licitație, ofertele rămase nu pot fi modificate sau retrase.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7E7977" w:rsidRDefault="00F02F76" w:rsidP="00670674">
            <w:pPr>
              <w:shd w:val="clear" w:color="auto" w:fill="FFFFFF"/>
              <w:jc w:val="both"/>
              <w:rPr>
                <w:rFonts w:asciiTheme="majorBidi" w:hAnsiTheme="majorBidi" w:cstheme="majorBidi"/>
                <w:sz w:val="18"/>
                <w:szCs w:val="18"/>
                <w:lang w:val="it-IT"/>
              </w:rPr>
            </w:pPr>
            <w:r w:rsidRPr="007E7977">
              <w:rPr>
                <w:rFonts w:asciiTheme="majorBidi" w:hAnsiTheme="majorBidi" w:cstheme="majorBidi"/>
                <w:sz w:val="18"/>
                <w:szCs w:val="18"/>
                <w:lang w:val="it-IT"/>
              </w:rPr>
              <w:t>(3)   Oferta trebuie să precizeze: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70"/>
              <w:gridCol w:w="4759"/>
            </w:tblGrid>
            <w:tr w:rsidR="00F02F76" w:rsidRPr="00C27D66" w:rsidTr="00670674">
              <w:tc>
                <w:tcPr>
                  <w:tcW w:w="487" w:type="dxa"/>
                  <w:shd w:val="clear" w:color="auto" w:fill="FFFFFF"/>
                  <w:hideMark/>
                </w:tcPr>
                <w:p w:rsidR="00F02F76" w:rsidRPr="007E7977" w:rsidRDefault="00F02F76" w:rsidP="00670674">
                  <w:pPr>
                    <w:jc w:val="both"/>
                    <w:rPr>
                      <w:rFonts w:asciiTheme="majorBidi" w:hAnsiTheme="majorBidi" w:cstheme="majorBidi"/>
                      <w:sz w:val="18"/>
                      <w:szCs w:val="18"/>
                      <w:lang w:val="it-IT"/>
                    </w:rPr>
                  </w:pPr>
                  <w:r w:rsidRPr="007E7977">
                    <w:rPr>
                      <w:rFonts w:asciiTheme="majorBidi" w:hAnsiTheme="majorBidi" w:cstheme="majorBidi"/>
                      <w:sz w:val="18"/>
                      <w:szCs w:val="18"/>
                      <w:lang w:val="it-IT"/>
                    </w:rPr>
                    <w:t>(a)</w:t>
                  </w:r>
                </w:p>
              </w:tc>
              <w:tc>
                <w:tcPr>
                  <w:tcW w:w="88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identitatea utilizatorului rețelei care depune oferta;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67"/>
              <w:gridCol w:w="4762"/>
            </w:tblGrid>
            <w:tr w:rsidR="00F02F76" w:rsidRPr="00C27D66" w:rsidTr="00670674">
              <w:tc>
                <w:tcPr>
                  <w:tcW w:w="48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7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punctul de interconectare în cauză și direcția fluxului;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4"/>
              <w:gridCol w:w="4815"/>
            </w:tblGrid>
            <w:tr w:rsidR="00F02F76" w:rsidRPr="00C27D66" w:rsidTr="00670674">
              <w:tc>
                <w:tcPr>
                  <w:tcW w:w="3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97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produsul standard de capacitate pentru care se solicită capacitate;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de capacitate pentru produsul standard de capacitate solicitat, care trebuie să fie mai mic sau egal cu capacitatea oferită în cadrul unei licitații specifice;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minim de capacitate pentru produsul standard de capacitate respectiv pe care utilizatorul rețelei acceptă să îi fie alocat în conformitate cu algoritmul relevant, în cazul în care utilizatorului rețelei nu i se alocă volumul solicitat în conformitate cu litera (d);</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prețurile de ofertă pe care utilizatorul rețelei este dispus să le plătească pentru capacitatea solicitată, care nu trebuie să fie mai mici decât prețul de rezervă aplicabil pentru produsul de capacitate standard relevant. Ofertele ale căror prețuri de ofertă sunt mai mici decât prețul de rezervă nu se acceptă.</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Operatorul de transport și de sistem clasifică toate ofertele pentru un anumit produs standard de capacitate în ordinea descrescătoare a prețului lor de ofertă.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Toate ofertele rămase la momentul închiderii rundei de licitație se consideră ca fiind obligatorii pentru utilizatorii rețelei cărora le este alocat cel puțin volumul minim de capacitate solicitat în conformitate cu alineatul (3) litera (e).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(6)   După clasificarea ofertelor în conformitate cu alineatul (4) și sub rezerva dispozițiilor de la alineatele (7)-(10), capacitatea se alocă ofertelor în funcție de clasamentul de preț. Toate ofertele cărora li se alocă capacitate sunt considerate ca fiind câștigătoare. După alocarea capacității, volumul de capacități alocate se scade din capacitatea nealocată rămasă.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După aplicarea alineatului (6) și sub rezerva dispozițiilor de la alineatul (9), în cazul în care volumul de capacitate pentru care a licitat un utilizator al rețelei depășește capacitatea nealocată rămasă (după ce capacitatea fost alocată utilizatorilor rețelei care introduc oferte mai mari), acestui utilizator al rețelei i se alocă o capacitate egală cu capacitatea nealocată rămasă.</w:t>
            </w:r>
          </w:p>
          <w:p w:rsidR="00782595" w:rsidRDefault="00782595" w:rsidP="00670674">
            <w:pPr>
              <w:shd w:val="clear" w:color="auto" w:fill="FFFFFF"/>
              <w:jc w:val="both"/>
              <w:rPr>
                <w:rFonts w:asciiTheme="majorBidi" w:hAnsiTheme="majorBidi" w:cstheme="majorBidi"/>
                <w:sz w:val="18"/>
                <w:szCs w:val="18"/>
                <w:lang w:val="it-IT"/>
              </w:rPr>
            </w:pPr>
          </w:p>
          <w:p w:rsidR="00782595" w:rsidRPr="00B91C10" w:rsidRDefault="00782595"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După aplicarea alineatului (7) și sub rezerva dispozițiilor de la alineatul (9), în cazul în care două sau mai multe oferte indică același preț de ofertă, iar volumul de capacitate rămas relevant, pentru care s-a licitat în total în cadrul acestor oferte, depășește volumul nealocat rămas, volumul nealocat rămas se alocă proporțional cu cantitățile solicitate în fiecare dintre aceste oferte.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În cazul în care volumul ce urmează să fie alocat pentru o ofertă în temeiul alineatului (6), (7) sau (8) este mai mic decât volumul minim de capacitate prevăzut la alineatul (3) litera (e), oferta se consideră ca fiind necâștigătoare și se efectuează o alocare revizuită ținând cont de oferta (ofertele) de preț egală (egale) rămasă (rămase) în conformitate cu alineatul (8) sau se efectuează o alocare în ceea ce privește următoarea ofertă de preț, în conformitate cu alineatul (6).</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În cazul în care volumul rămas care urmează să fie alocat în ceea ce privește orice ofertă în temeiul alineatului (6), (7), (8) sau (9) este egal cu zero, nu se mai alocă capacitate ofertelor rămase. Ofertele respective sunt considerate necâștigătoare.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Prețul de închidere se definește ca prețul celei mai mici oferte câștigătoare, dacă cererea depășește oferta la prețul de rezervă. În toate celelalte cazuri, prețul de închidere trebuie să fie egal cu prețul de rezervă. Utilizatorii rețelei care au câștigat licitația plătesc prețul de închidere al licitației specifice, recurgând la o abordare privind un preț de plătit fix sau la o abordare privind un preț de plătit variabil, astfel cum se prevede la articolul 24 din Regulamentul (UE) 2017/460, precum și orice alte eventuale tarife aplicabile la momentul în care capacitatea care le este alocată poate fi utilizată.</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770AF1" w:rsidRDefault="00F02F76" w:rsidP="00495CCB">
            <w:pPr>
              <w:shd w:val="clear" w:color="auto" w:fill="FFFFFF"/>
              <w:spacing w:line="312" w:lineRule="atLeast"/>
              <w:jc w:val="both"/>
              <w:rPr>
                <w:rFonts w:asciiTheme="majorBidi" w:hAnsiTheme="majorBidi" w:cstheme="majorBidi"/>
                <w:i/>
                <w:iCs/>
                <w:sz w:val="18"/>
                <w:szCs w:val="18"/>
                <w:lang w:val="ro-RO"/>
              </w:rPr>
            </w:pPr>
            <w:r w:rsidRPr="00770AF1">
              <w:rPr>
                <w:rFonts w:asciiTheme="majorBidi" w:hAnsiTheme="majorBidi" w:cstheme="majorBidi"/>
                <w:b/>
                <w:iCs/>
                <w:sz w:val="18"/>
                <w:szCs w:val="18"/>
                <w:lang w:val="ro-RO"/>
              </w:rPr>
              <w:lastRenderedPageBreak/>
              <w:t>Secțiunea 10</w:t>
            </w:r>
          </w:p>
          <w:p w:rsidR="00F02F76" w:rsidRPr="00F644C4" w:rsidRDefault="00F02F76" w:rsidP="00495CCB">
            <w:pPr>
              <w:shd w:val="clear" w:color="auto" w:fill="FFFFFF"/>
              <w:spacing w:line="312" w:lineRule="atLeast"/>
              <w:jc w:val="both"/>
              <w:rPr>
                <w:rFonts w:asciiTheme="majorBidi" w:hAnsiTheme="majorBidi" w:cstheme="majorBidi"/>
                <w:b/>
                <w:bCs/>
                <w:sz w:val="18"/>
                <w:szCs w:val="18"/>
                <w:lang w:val="ro-RO"/>
              </w:rPr>
            </w:pPr>
            <w:r w:rsidRPr="00F644C4">
              <w:rPr>
                <w:rFonts w:asciiTheme="majorBidi" w:hAnsiTheme="majorBidi" w:cstheme="majorBidi"/>
                <w:b/>
                <w:bCs/>
                <w:sz w:val="18"/>
                <w:szCs w:val="18"/>
                <w:lang w:val="ro-RO"/>
              </w:rPr>
              <w:t>Algoritmul de licitație cu preț uniform</w:t>
            </w:r>
          </w:p>
          <w:p w:rsidR="00F02F76" w:rsidRPr="00156F0B" w:rsidRDefault="00F02F76" w:rsidP="00770AF1">
            <w:pPr>
              <w:tabs>
                <w:tab w:val="left" w:pos="851"/>
              </w:tabs>
              <w:jc w:val="both"/>
              <w:outlineLvl w:val="0"/>
              <w:rPr>
                <w:rFonts w:asciiTheme="majorBidi" w:hAnsiTheme="majorBidi" w:cstheme="majorBidi"/>
                <w:sz w:val="18"/>
                <w:szCs w:val="18"/>
                <w:lang w:val="ro-RO"/>
              </w:rPr>
            </w:pPr>
            <w:r w:rsidRPr="00156F0B">
              <w:rPr>
                <w:rFonts w:asciiTheme="majorBidi" w:hAnsiTheme="majorBidi" w:cstheme="majorBidi"/>
                <w:sz w:val="18"/>
                <w:szCs w:val="18"/>
                <w:lang w:val="ro-RO"/>
              </w:rPr>
              <w:t>231..În cadrul unei licitații cu preț uniform, există o singură rundă de licitație în care utilizatorul de sistem face o ofertă de preț și de capacitate.</w:t>
            </w:r>
          </w:p>
          <w:p w:rsidR="00F02F76" w:rsidRPr="00156F0B" w:rsidRDefault="00F02F76" w:rsidP="00770AF1">
            <w:pPr>
              <w:tabs>
                <w:tab w:val="left" w:pos="851"/>
              </w:tabs>
              <w:jc w:val="both"/>
              <w:outlineLvl w:val="0"/>
              <w:rPr>
                <w:rFonts w:asciiTheme="majorBidi" w:hAnsiTheme="majorBidi" w:cstheme="majorBidi"/>
                <w:sz w:val="18"/>
                <w:szCs w:val="18"/>
                <w:lang w:val="ro-RO"/>
              </w:rPr>
            </w:pPr>
            <w:r w:rsidRPr="00156F0B">
              <w:rPr>
                <w:rFonts w:asciiTheme="majorBidi" w:hAnsiTheme="majorBidi" w:cstheme="majorBidi"/>
                <w:sz w:val="18"/>
                <w:szCs w:val="18"/>
                <w:lang w:val="ro-RO"/>
              </w:rPr>
              <w:t>232..În cursul unei runde de licitație a unei licitații date, utilizatorii de sistem pot prezenta până la 10 oferte. Fiecare ofertă este tratată în mod independent de celelalte oferte. După închiderea rundei de licitație, ofertele rămase nu pot fi modificate sau retrase.</w:t>
            </w:r>
          </w:p>
          <w:p w:rsidR="00F02F76" w:rsidRPr="00770AF1" w:rsidRDefault="00F02F76" w:rsidP="00770AF1">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233.Oferta trebuie să specifice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70AF1" w:rsidRDefault="00F02F76" w:rsidP="00F644C4">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1) identitatea utilizatorului de sistem care depune oferta;</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70AF1" w:rsidRDefault="00F02F76" w:rsidP="00770AF1">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2) punctul de interconectare în cauză și direcția fluxului;</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70AF1" w:rsidRDefault="00F02F76" w:rsidP="00770AF1">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3) PSC pentru care se solicită capacitate;</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CF455C">
              <w:trPr>
                <w:trHeight w:val="453"/>
              </w:trPr>
              <w:tc>
                <w:tcPr>
                  <w:tcW w:w="9781" w:type="dxa"/>
                  <w:shd w:val="clear" w:color="auto" w:fill="FFFFFF"/>
                  <w:hideMark/>
                </w:tcPr>
                <w:p w:rsidR="00F02F76" w:rsidRPr="00770AF1" w:rsidRDefault="00F02F76" w:rsidP="00770AF1">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4) capacitatea pentru PSC solicitat, care trebuie să fie mai mic sau egal cu capacitatea oferită în cadrul unei licitații specifice;</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F455C" w:rsidTr="00670674">
              <w:tc>
                <w:tcPr>
                  <w:tcW w:w="9781" w:type="dxa"/>
                  <w:shd w:val="clear" w:color="auto" w:fill="FFFFFF"/>
                  <w:hideMark/>
                </w:tcPr>
                <w:p w:rsidR="00F02F76" w:rsidRPr="00CF455C" w:rsidRDefault="00F02F76" w:rsidP="00782595">
                  <w:pPr>
                    <w:jc w:val="both"/>
                    <w:rPr>
                      <w:rFonts w:asciiTheme="majorBidi" w:hAnsiTheme="majorBidi" w:cstheme="majorBidi"/>
                      <w:sz w:val="18"/>
                      <w:szCs w:val="18"/>
                      <w:lang w:val="ro-RO"/>
                    </w:rPr>
                  </w:pPr>
                  <w:r w:rsidRPr="00CF455C">
                    <w:rPr>
                      <w:rFonts w:asciiTheme="majorBidi" w:hAnsiTheme="majorBidi" w:cstheme="majorBidi"/>
                      <w:sz w:val="18"/>
                      <w:szCs w:val="18"/>
                      <w:lang w:val="ro-RO"/>
                    </w:rPr>
                    <w:t>5) capacitatea minimă pentru PSC respectivă pe care utilizatorul de sistem acceptă să îi fie alocată în conformitate cu algoritmul relevant, în cazul în care utilizatorului de sistem nu i se alocă capacitatea solicitată în conformitate cu pct. 237 subpct. 4);</w:t>
                  </w:r>
                </w:p>
              </w:tc>
            </w:tr>
          </w:tbl>
          <w:p w:rsidR="00F02F76" w:rsidRPr="00CF455C" w:rsidRDefault="00F02F76" w:rsidP="00782595">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F644C4" w:rsidRDefault="00F02F76" w:rsidP="00782595">
                  <w:pPr>
                    <w:jc w:val="both"/>
                    <w:rPr>
                      <w:rFonts w:asciiTheme="majorBidi" w:hAnsiTheme="majorBidi" w:cstheme="majorBidi"/>
                      <w:sz w:val="18"/>
                      <w:szCs w:val="18"/>
                      <w:lang w:val="ro-RO"/>
                    </w:rPr>
                  </w:pPr>
                  <w:r w:rsidRPr="00CF455C">
                    <w:rPr>
                      <w:rFonts w:asciiTheme="majorBidi" w:hAnsiTheme="majorBidi" w:cstheme="majorBidi"/>
                      <w:sz w:val="18"/>
                      <w:szCs w:val="18"/>
                      <w:lang w:val="ro-RO"/>
                    </w:rPr>
                    <w:t>6) prețurile de ofertă pe care utilizatorul de sistem este dispus să le plătească pentru capacitatea solicitată, care nu trebuie să fie mai mici decât prețul de rezervă aplicabil pentru PSC relevant. Ofertele ale căror prețuri sunt mai mici decât prețul de rezervă nu se acceptă.</w:t>
                  </w:r>
                </w:p>
              </w:tc>
            </w:tr>
          </w:tbl>
          <w:p w:rsidR="00F02F76" w:rsidRDefault="00F02F76" w:rsidP="00770AF1">
            <w:pPr>
              <w:tabs>
                <w:tab w:val="left" w:pos="851"/>
              </w:tabs>
              <w:jc w:val="both"/>
              <w:outlineLvl w:val="0"/>
              <w:rPr>
                <w:rFonts w:asciiTheme="majorBidi" w:hAnsiTheme="majorBidi" w:cstheme="majorBidi"/>
                <w:sz w:val="18"/>
                <w:szCs w:val="18"/>
                <w:lang w:val="ro-RO"/>
              </w:rPr>
            </w:pPr>
          </w:p>
          <w:p w:rsidR="00782595" w:rsidRDefault="00782595" w:rsidP="00770AF1">
            <w:pPr>
              <w:tabs>
                <w:tab w:val="left" w:pos="851"/>
              </w:tabs>
              <w:jc w:val="both"/>
              <w:outlineLvl w:val="0"/>
              <w:rPr>
                <w:rFonts w:asciiTheme="majorBidi" w:hAnsiTheme="majorBidi" w:cstheme="majorBidi"/>
                <w:sz w:val="18"/>
                <w:szCs w:val="18"/>
                <w:lang w:val="ro-RO"/>
              </w:rPr>
            </w:pPr>
          </w:p>
          <w:p w:rsidR="00782595" w:rsidRDefault="00782595" w:rsidP="00770AF1">
            <w:pPr>
              <w:tabs>
                <w:tab w:val="left" w:pos="851"/>
              </w:tabs>
              <w:jc w:val="both"/>
              <w:outlineLvl w:val="0"/>
              <w:rPr>
                <w:rFonts w:asciiTheme="majorBidi" w:hAnsiTheme="majorBidi" w:cstheme="majorBidi"/>
                <w:sz w:val="18"/>
                <w:szCs w:val="18"/>
                <w:lang w:val="ro-RO"/>
              </w:rPr>
            </w:pPr>
          </w:p>
          <w:p w:rsidR="00782595" w:rsidRDefault="00782595" w:rsidP="00770AF1">
            <w:pPr>
              <w:tabs>
                <w:tab w:val="left" w:pos="851"/>
              </w:tabs>
              <w:jc w:val="both"/>
              <w:outlineLvl w:val="0"/>
              <w:rPr>
                <w:rFonts w:asciiTheme="majorBidi" w:hAnsiTheme="majorBidi" w:cstheme="majorBidi"/>
                <w:sz w:val="18"/>
                <w:szCs w:val="18"/>
                <w:lang w:val="ro-RO"/>
              </w:rPr>
            </w:pPr>
          </w:p>
          <w:p w:rsidR="00782595" w:rsidRPr="00770AF1" w:rsidRDefault="00782595" w:rsidP="00770AF1">
            <w:pPr>
              <w:tabs>
                <w:tab w:val="left" w:pos="851"/>
              </w:tabs>
              <w:jc w:val="both"/>
              <w:outlineLvl w:val="0"/>
              <w:rPr>
                <w:rFonts w:asciiTheme="majorBidi" w:hAnsiTheme="majorBidi" w:cstheme="majorBidi"/>
                <w:sz w:val="18"/>
                <w:szCs w:val="18"/>
                <w:lang w:val="ro-RO"/>
              </w:rPr>
            </w:pPr>
          </w:p>
          <w:p w:rsidR="00F02F76" w:rsidRPr="00F644C4" w:rsidRDefault="00F02F76" w:rsidP="00770AF1">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234.OST clasifică toate ofertele pentru un anumit PSC în ordinea descrescătoare a prețului lor de ofertă.</w:t>
            </w:r>
          </w:p>
          <w:p w:rsidR="00F02F76" w:rsidRPr="00156F0B" w:rsidRDefault="00F02F76" w:rsidP="00770AF1">
            <w:pPr>
              <w:tabs>
                <w:tab w:val="left" w:pos="851"/>
              </w:tabs>
              <w:jc w:val="both"/>
              <w:outlineLvl w:val="0"/>
              <w:rPr>
                <w:rFonts w:asciiTheme="majorBidi" w:hAnsiTheme="majorBidi" w:cstheme="majorBidi"/>
                <w:sz w:val="18"/>
                <w:szCs w:val="18"/>
                <w:lang w:val="ro-RO"/>
              </w:rPr>
            </w:pPr>
          </w:p>
          <w:p w:rsidR="00F02F76" w:rsidRPr="00983016" w:rsidRDefault="00F02F76" w:rsidP="00F644C4">
            <w:pPr>
              <w:tabs>
                <w:tab w:val="left" w:pos="851"/>
              </w:tabs>
              <w:jc w:val="both"/>
              <w:outlineLvl w:val="0"/>
              <w:rPr>
                <w:rFonts w:asciiTheme="majorBidi" w:hAnsiTheme="majorBidi" w:cstheme="majorBidi"/>
                <w:sz w:val="18"/>
                <w:szCs w:val="18"/>
                <w:lang w:val="ro-RO"/>
              </w:rPr>
            </w:pPr>
            <w:r w:rsidRPr="00156F0B">
              <w:rPr>
                <w:rFonts w:asciiTheme="majorBidi" w:hAnsiTheme="majorBidi" w:cstheme="majorBidi"/>
                <w:sz w:val="18"/>
                <w:szCs w:val="18"/>
                <w:lang w:val="ro-RO"/>
              </w:rPr>
              <w:t xml:space="preserve">235.Toate ofertele rămase la momentul închiderii rundei de licitație se consideră ca </w:t>
            </w:r>
            <w:r w:rsidRPr="00983016">
              <w:rPr>
                <w:rFonts w:asciiTheme="majorBidi" w:hAnsiTheme="majorBidi" w:cstheme="majorBidi"/>
                <w:sz w:val="18"/>
                <w:szCs w:val="18"/>
                <w:lang w:val="ro-RO"/>
              </w:rPr>
              <w:t>fiind obligatorii pentru utilizatorii de sistem cărora le este alocat cel puțin capacitatea minimă solicitată în conformitate cu pct. 233 subpunct. 5).</w:t>
            </w:r>
          </w:p>
          <w:p w:rsidR="00F02F76" w:rsidRPr="00983016" w:rsidRDefault="00F02F76" w:rsidP="00156F0B">
            <w:pPr>
              <w:tabs>
                <w:tab w:val="left" w:pos="851"/>
              </w:tabs>
              <w:jc w:val="both"/>
              <w:outlineLvl w:val="0"/>
              <w:rPr>
                <w:rFonts w:asciiTheme="majorBidi" w:hAnsiTheme="majorBidi" w:cstheme="majorBidi"/>
                <w:sz w:val="18"/>
                <w:szCs w:val="18"/>
                <w:lang w:val="ro-RO"/>
              </w:rPr>
            </w:pPr>
          </w:p>
          <w:p w:rsidR="00F02F76" w:rsidRPr="00770AF1" w:rsidRDefault="00F02F76" w:rsidP="00156F0B">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236.După clasificarea ofertelor în conformitate pct. 234 și sub rezerva dispozițiilor de la pct. 237-240, capacitatea se alocă</w:t>
            </w:r>
            <w:r w:rsidRPr="00770AF1">
              <w:rPr>
                <w:rFonts w:asciiTheme="majorBidi" w:hAnsiTheme="majorBidi" w:cstheme="majorBidi"/>
                <w:sz w:val="18"/>
                <w:szCs w:val="18"/>
                <w:lang w:val="ro-RO"/>
              </w:rPr>
              <w:t xml:space="preserve"> ofertelor în funcție de clasamentul de preț. Toate ofertele cărora li se alocă capacitate sunt considerate ca fiind câștigătoare. După alocarea capacității, capacitatea alocată se scade din capacitatea nealocată rămasă.</w:t>
            </w:r>
          </w:p>
          <w:p w:rsidR="00F02F76" w:rsidRDefault="00F02F76">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 xml:space="preserve">237.După aplicarea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 xml:space="preserve">236 și sub rezerva dispozițiilor de la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239, în cazul în care capacitatea pentru care a licitat un utilizator de sistem depășește capacitatea nealocată rămasă (după ce capacitatea fost alocată utilizatorilor de sistem care introduc oferte mai mari), acestui utilizator de sistem i se alocă o capacitate egală cu capacitatea nealocată rămasă.</w:t>
            </w:r>
          </w:p>
          <w:p w:rsidR="00782595" w:rsidRDefault="00782595">
            <w:pPr>
              <w:tabs>
                <w:tab w:val="left" w:pos="851"/>
              </w:tabs>
              <w:jc w:val="both"/>
              <w:outlineLvl w:val="0"/>
              <w:rPr>
                <w:rFonts w:asciiTheme="majorBidi" w:hAnsiTheme="majorBidi" w:cstheme="majorBidi"/>
                <w:sz w:val="18"/>
                <w:szCs w:val="18"/>
                <w:lang w:val="ro-RO"/>
              </w:rPr>
            </w:pPr>
          </w:p>
          <w:p w:rsidR="00782595" w:rsidRPr="00770AF1" w:rsidRDefault="00782595">
            <w:pPr>
              <w:tabs>
                <w:tab w:val="left" w:pos="851"/>
              </w:tabs>
              <w:jc w:val="both"/>
              <w:outlineLvl w:val="0"/>
              <w:rPr>
                <w:rFonts w:asciiTheme="majorBidi" w:hAnsiTheme="majorBidi" w:cstheme="majorBidi"/>
                <w:sz w:val="18"/>
                <w:szCs w:val="18"/>
                <w:lang w:val="ro-RO"/>
              </w:rPr>
            </w:pPr>
          </w:p>
          <w:p w:rsidR="00F02F76" w:rsidRPr="00983016" w:rsidRDefault="00F02F76">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 xml:space="preserve">238.După aplicarea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 xml:space="preserve">237 și sub rezerva dispozițiilor de la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 xml:space="preserve">239 în </w:t>
            </w:r>
            <w:r w:rsidRPr="00983016">
              <w:rPr>
                <w:rFonts w:asciiTheme="majorBidi" w:hAnsiTheme="majorBidi" w:cstheme="majorBidi"/>
                <w:sz w:val="18"/>
                <w:szCs w:val="18"/>
                <w:lang w:val="ro-RO"/>
              </w:rPr>
              <w:t>cazul în care două sau mai multe oferte indică același preț de ofertă, iar capacitatea rămasă, pentru care s-a licitat în total în cadrul acestor oferte, depășește capacitatea rămasă, capacitatea nealocată rămas se alocă proporțional cu capacitățile solicitate în fiecare dintre aceste oferte.</w:t>
            </w:r>
          </w:p>
          <w:p w:rsidR="00F02F76" w:rsidRPr="00983016" w:rsidRDefault="00F02F76">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239.În cazul în care capacitatea ce urmează să fie alocată pentru o ofertă în temeiul pct. 236, 237 sau 238 este mai mică decât capacitatea minimă prevăzută la pct. 233 subpunct. 5), oferta se consideră ca fiind necâștigătoare și se efectuează o alocare revizuită ținând cont de oferta (ofertele) de preț egală (egale) rămasă (rămase) în conformitate cu pct. 2382 sau se efectuează o alocare în ceea ce privește următoarea ofertă de preț, în conformitate cu pct. 236.</w:t>
            </w:r>
          </w:p>
          <w:p w:rsidR="00F02F76" w:rsidRPr="00983016" w:rsidRDefault="00F02F76">
            <w:pPr>
              <w:tabs>
                <w:tab w:val="left" w:pos="851"/>
              </w:tabs>
              <w:jc w:val="both"/>
              <w:outlineLvl w:val="0"/>
              <w:rPr>
                <w:rFonts w:asciiTheme="majorBidi" w:hAnsiTheme="majorBidi" w:cstheme="majorBidi"/>
                <w:sz w:val="18"/>
                <w:szCs w:val="18"/>
                <w:lang w:val="ro-RO"/>
              </w:rPr>
            </w:pPr>
          </w:p>
          <w:p w:rsidR="00F02F76" w:rsidRPr="00983016" w:rsidRDefault="00F02F76">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240.În cazul în care capacitatea rămasă care urmează să fie alocată în ceea ce privește orice ofertă în temeiul pct. 236, 237, 238 sau 239 este egal cu zero, nu se mai alocă capacitate ofertelor rămase. Ofertele respective sunt considerate necâștigătoare.</w:t>
            </w:r>
          </w:p>
          <w:p w:rsidR="00F02F76" w:rsidRPr="00770AF1" w:rsidRDefault="00F02F76">
            <w:pPr>
              <w:tabs>
                <w:tab w:val="left" w:pos="851"/>
              </w:tabs>
              <w:jc w:val="both"/>
              <w:outlineLvl w:val="0"/>
              <w:rPr>
                <w:rFonts w:asciiTheme="majorBidi" w:hAnsiTheme="majorBidi" w:cstheme="majorBidi"/>
                <w:b/>
                <w:sz w:val="18"/>
                <w:szCs w:val="18"/>
                <w:lang w:val="it-IT"/>
              </w:rPr>
            </w:pPr>
            <w:r w:rsidRPr="00983016">
              <w:rPr>
                <w:rFonts w:asciiTheme="majorBidi" w:hAnsiTheme="majorBidi" w:cstheme="majorBidi"/>
                <w:sz w:val="18"/>
                <w:szCs w:val="18"/>
                <w:lang w:val="ro-RO"/>
              </w:rPr>
              <w:t>241.Prețul de închidere se definește ca prețul celei mai mici oferte câștigătoare, dacă cererea depășește oferta la prețul de rezervă. În toate celelalte cazuri, prețul de închidere trebuie să fie egal cu prețul de rezervă. Utilizatorii de sistem care au câștigat licitația plătesc prețul de închidere al licitației specifice, recurgând la o abordare privind un preț de plătit fix sau la o abordare privind un preț de plătit variabil, astfel cum se prevede la pct. 39, precum și orice alte eventuale tarife</w:t>
            </w:r>
            <w:r w:rsidRPr="00770AF1">
              <w:rPr>
                <w:rFonts w:asciiTheme="majorBidi" w:hAnsiTheme="majorBidi" w:cstheme="majorBidi"/>
                <w:sz w:val="18"/>
                <w:szCs w:val="18"/>
                <w:lang w:val="ro-RO"/>
              </w:rPr>
              <w:t xml:space="preserve"> aplicabile la momentul în care capacitatea care le este alocată poate fi utilizată.</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690087" w:rsidRPr="00B91C10" w:rsidRDefault="00690087"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762584" w:rsidRDefault="00F02F76" w:rsidP="00670674">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18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Uniform-price auction algorithm</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 In a uniform-price auction, there is a single bidding round in which the network user bids price as well as quantity.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During the bidding round of a given auction, network users may submit up to 10 bids. Each bid shall be treated independently from other bids. After the closure of the bidding round, remaining bids may not be modified or withdrawn.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A bid shall specify: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identity of the network user applying;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concerned interconnection point and direction of the flow;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standard capacity product for which the capacity is applied for;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the amount of capacity for the respective standard capacity product applied for, which shall be equal to or smaller than the capacity offered in a specific auction;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the minimum amount of capacity for the respective standard capacity product which the network user is willing to be allocated according to the relevant algorithm in case the network user is not allocated the amount requested in accordance with point (d);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(f) the bid prices, which shall not be less than the reserve price applicable for the relevant standard capacity product, which the network user is willing to pay in respect of the capacity applied for. Bids with a bid price below the reserve price shall not be accepted.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The transmission system operator shall rank all bids relating to a given standard capacity product according to their bid price, the highest price ranking first.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All remaining bids at bidding round closing time shall be considered as binding on those network users that are allocated at least the minimum amount of capacity requested in accordance with point (e) of paragraph 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6. Following the ranking of the bids in accordance with paragraph 4, and subject to paragraphs 7 to 10, capacity shall be allocated to the bids in function of their price ranking. All bids for which capacity is allocated shall be considered as successful. After the allocation of capacity, the remaining unallocated capacity shall be reduced by such quantity.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 Following the application of paragraph 6 and subject to paragraph 9, where the amount of capacity bid for by a network user exceeds the remaining unallocated capacity (after capacity has been allocated to network users placing higher bids), this network user shall be allocated capacity equal to the remaining unallocated capacity.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Following the application of paragraph 7 and subject to paragraph 9, where each of two or more bids specifies the same bid price, and the amount of relevant capacity remaining applied for in aggregate under such bids exceeds the remaining unallocated amount, the remaining unallocated amount shall be allocated pro rata to the amounts applied for in each such bid.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Where the amount to be allocated in respect of a bid pursuant to paragraphs 6, 7 or 8 is less than the minimum amount of capacity according to point (e) of paragraph 3, the bid shall be considered unsuccessful, and a revised allocation shall be made between remaining equal price bid(s) under paragraph 8, or an allocation shall be made in respect of the next priced bid, pursuant to paragraph 6.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10. Where the remaining amount to be allocated in respect of any bid pursuant to paragraphs 6, 7, 8 or 9 is equal to zero, no further capacity shall be allocated to the remaining bids. Those bids shall be considered unsuccessful.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11. The clearing price shall be defined as the price of the lowest successful bid, if the demand exceeds the offer at the reserve price. In all other cases, the clearing price shall be equal to the reserve price. Successful network users shall pay the clearing price of the specific auction, which may be a fixed or floating payable price approach as set out in Article 24 of Regulation (EU) 2017/460 and any other possible charges applicable at the time when the capacity allocated to them can be used.</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IV</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AGREGAREA DE CAPACITATE ÎN PUNCTELE DE INTERCONECTARE</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19</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Produsele de capacitate agregată</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adiacenți oferă în comun produse de capacitate agregată, în conformitate cu următoarele principii: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de ambele părți ale unui punct de interconectare, întreaga capacitate fermă este oferită ca și capacitate agregată, în măsura în care, de ambele părți ale unui punct de interconectare, este disponibilă capacitate fermă sau incrementală;</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oferă capacitate pentru produsele standard de capacitate relevante prin intermediul unei platforme de rezervare, în conformitate cu articolul 37 și în conformitate cu procedura de alocare aplicabilă prevăzută în capitolul III;</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agregată care urmează să fie oferită de operatorii de transport și de sistem în cauză într-un punct de interconectare se contractează prin intermediul unei proceduri de alocare unice;</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B91C10"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w:t>
                  </w:r>
                </w:p>
              </w:tc>
              <w:tc>
                <w:tcPr>
                  <w:tcW w:w="9220"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utilizatorii rețelei respectă clauzele și condițiile aplicabile menționate în contractul (contractele) de transport al (ale) operatorilor de transport și de sistem în cauză, începând cu momentul contractării capacității de transport;</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
              <w:gridCol w:w="4998"/>
            </w:tblGrid>
            <w:tr w:rsidR="00F02F76" w:rsidRPr="00B91C10" w:rsidTr="00670674">
              <w:tc>
                <w:tcPr>
                  <w:tcW w:w="4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w:t>
                  </w:r>
                </w:p>
              </w:tc>
              <w:tc>
                <w:tcPr>
                  <w:tcW w:w="931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de o parte a unui punct de interconectare, este disponibilă mai multă capacitate fermă decât de cealaltă parte, pentru orice perioadă luată în considerare, operatorul de transport și de sistem cu cea mai mare capacitate fermă disponibilă poate oferi această capacitate suplimentară utilizatorilor rețelei sub forma unui produs neagregat, în conformitate cu calendarul licitației și cu următoarele norme:</w:t>
                  </w:r>
                </w:p>
                <w:tbl>
                  <w:tblPr>
                    <w:tblW w:w="5000" w:type="pct"/>
                    <w:tblLayout w:type="fixed"/>
                    <w:tblCellMar>
                      <w:left w:w="0" w:type="dxa"/>
                      <w:right w:w="0" w:type="dxa"/>
                    </w:tblCellMar>
                    <w:tblLook w:val="04A0" w:firstRow="1" w:lastRow="0" w:firstColumn="1" w:lastColumn="0" w:noHBand="0" w:noVBand="1"/>
                  </w:tblPr>
                  <w:tblGrid>
                    <w:gridCol w:w="116"/>
                    <w:gridCol w:w="4882"/>
                  </w:tblGrid>
                  <w:tr w:rsidR="00F02F76" w:rsidRPr="00B91C10" w:rsidTr="00670674">
                    <w:tc>
                      <w:tcPr>
                        <w:tcW w:w="20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15"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dacă, de cealaltă parte a punctului de interconectare, există un contract de transport neagregat, poate fi oferită capacitate neagregată în limita volumelor și a duratei prevăzute în contractul de transport existent de cealaltă parte;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2"/>
                    <w:gridCol w:w="4876"/>
                  </w:tblGrid>
                  <w:tr w:rsidR="00F02F76" w:rsidRPr="00B91C10" w:rsidTr="00670674">
                    <w:tc>
                      <w:tcPr>
                        <w:tcW w:w="21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05"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în cazul în care această capacitate suplimentară nu face obiectul alineatului (5) litera (a), ea poate fi oferită pentru o perioadă de maximum un an;</w:t>
                        </w:r>
                      </w:p>
                    </w:tc>
                  </w:tr>
                </w:tbl>
                <w:p w:rsidR="00F02F76" w:rsidRPr="00B91C10" w:rsidRDefault="00F02F76" w:rsidP="00670674">
                  <w:pPr>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B91C10"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orice capacitate neagregată alocată în conformitate cu alineatul (5) poate fi utilizată și nominalizată ca atare. </w:t>
                  </w:r>
                  <w:r w:rsidRPr="00B91C10">
                    <w:rPr>
                      <w:rFonts w:asciiTheme="majorBidi" w:hAnsiTheme="majorBidi" w:cstheme="majorBidi"/>
                      <w:sz w:val="18"/>
                      <w:szCs w:val="18"/>
                    </w:rPr>
                    <w:t>De asemenea, ea poate fi comercializată pe piața secundară;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operatorii de transport și de sistem adiacenți instituie o procedură de nominalizare comună pentru capacitatea agregată, oferind </w:t>
                  </w:r>
                  <w:r w:rsidRPr="00B91C10">
                    <w:rPr>
                      <w:rFonts w:asciiTheme="majorBidi" w:hAnsiTheme="majorBidi" w:cstheme="majorBidi"/>
                      <w:sz w:val="18"/>
                      <w:szCs w:val="18"/>
                      <w:lang w:val="it-IT"/>
                    </w:rPr>
                    <w:lastRenderedPageBreak/>
                    <w:t>utilizatorilor rețelei posibilitatea de a nominaliza fluxurile capacității lor agregate prin intermediul unei singure nominalizări;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obligațiile de a oferi capacitate agregată se aplică, în măsura în care sunt relevante, și piețelor secundare de capacitate. Fără a aduce atingere alineatului (1), capacitatea alocată inițial sub formă de capacitate agregată nu poate fi revândută decât sub formă de capacitate agregată pe piața secundară;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
              <w:gridCol w:w="4998"/>
            </w:tblGrid>
            <w:tr w:rsidR="00F02F76" w:rsidRPr="00C27D66" w:rsidTr="00670674">
              <w:tc>
                <w:tcPr>
                  <w:tcW w:w="4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w:t>
                  </w:r>
                </w:p>
              </w:tc>
              <w:tc>
                <w:tcPr>
                  <w:tcW w:w="931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două sau mai multe puncte de interconectare leagă aceleași două sisteme de intrare/ieșire adiacente, respectivii operatori de transport și de sistem adiacenți oferă capacitățile disponibile în punctele de interconectare într-un singur punct de interconectare virtual. În cazul în care sunt implicați mai mult de doi operatori de transport și de sistem deoarece capacitatea unuia sau a ambelor sisteme de intrare/ieșire este comercializată de mai mult de un operator de transport și de sistem, punctul de interconectare virtual include, în măsura posibilului, toți acești operatori de transport și de sistem. În toate cazurile, se stabilește un punct de interconectare virtual numai dacă sunt îndeplinite următoarele condiții:</w:t>
                  </w:r>
                </w:p>
                <w:tbl>
                  <w:tblPr>
                    <w:tblW w:w="5000" w:type="pct"/>
                    <w:tblLayout w:type="fixed"/>
                    <w:tblCellMar>
                      <w:left w:w="0" w:type="dxa"/>
                      <w:right w:w="0" w:type="dxa"/>
                    </w:tblCellMar>
                    <w:tblLook w:val="04A0" w:firstRow="1" w:lastRow="0" w:firstColumn="1" w:lastColumn="0" w:noHBand="0" w:noVBand="1"/>
                  </w:tblPr>
                  <w:tblGrid>
                    <w:gridCol w:w="116"/>
                    <w:gridCol w:w="4882"/>
                  </w:tblGrid>
                  <w:tr w:rsidR="00F02F76" w:rsidRPr="00C27D66" w:rsidTr="00670674">
                    <w:tc>
                      <w:tcPr>
                        <w:tcW w:w="20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15"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tehnică totală în punctele de interconectare virtuale este mai mare sau egală cu suma capacităților tehnice în fiecare dintre punctele de interconectare care contribuie la punctele de interconectare virtuale;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2"/>
                    <w:gridCol w:w="4876"/>
                  </w:tblGrid>
                  <w:tr w:rsidR="00F02F76" w:rsidRPr="00C27D66" w:rsidTr="00670674">
                    <w:tc>
                      <w:tcPr>
                        <w:tcW w:w="21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05"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ele contribuie la o utilizare rentabilă și eficientă a sistemului, inclusiv a normelor prevăzute la articolul 16 din Regulamentul (CE) nr. 715/2009, dar fără a se limita la acestea.</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adiacenți demarează analiza necesară și stabilesc puncte de interconectare virtuale nu mai târziu de 1 noiembrie 2018.</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IV</w:t>
            </w:r>
          </w:p>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AGREGAREA / GRUPAREA CAPACITĂȚII ÎN PUNCTELE DE INTERCONECTARE</w:t>
            </w:r>
          </w:p>
          <w:p w:rsidR="00F02F76" w:rsidRPr="00B91C10" w:rsidRDefault="00F02F76" w:rsidP="00670674">
            <w:pPr>
              <w:shd w:val="clear" w:color="auto" w:fill="FFFFFF"/>
              <w:tabs>
                <w:tab w:val="left" w:pos="325"/>
              </w:tabs>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Produsele de capacitate agregată</w:t>
            </w:r>
          </w:p>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p>
          <w:p w:rsidR="00F02F76" w:rsidRPr="00B91C10" w:rsidRDefault="00F02F76" w:rsidP="00670674">
            <w:pPr>
              <w:tabs>
                <w:tab w:val="left" w:pos="325"/>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2</w:t>
            </w:r>
            <w:r w:rsidRPr="00B91C10">
              <w:rPr>
                <w:rFonts w:asciiTheme="majorBidi" w:hAnsiTheme="majorBidi" w:cstheme="majorBidi"/>
                <w:sz w:val="18"/>
                <w:szCs w:val="18"/>
                <w:lang w:val="ro-RO"/>
              </w:rPr>
              <w:t>.OST adiacenți oferă în comun produse de capacitate agregată, în conformitate cu următoarele principii: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1) de ambele părți ale unui punct de interconectare, întreaga capacitate fermă este oferită ca și capacitate agregată, în măsura în care, de ambele părți ale unui punct de interconectare, este disponibilă capacitate fermă sau incrementală;</w:t>
                  </w:r>
                </w:p>
              </w:tc>
            </w:tr>
          </w:tbl>
          <w:p w:rsidR="00F02F76" w:rsidRPr="00983016" w:rsidRDefault="00F02F76" w:rsidP="00670674">
            <w:pPr>
              <w:tabs>
                <w:tab w:val="left" w:pos="325"/>
                <w:tab w:val="left" w:pos="993"/>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 xml:space="preserve">2) OST oferă capacitate pentru PSC relevante prin intermediul unei platforme de rezervare, în conformitate cu pct. 312 - 316 și în conformitate cu procedura de alocare aplicabilă prevăzută în capitolul III </w:t>
                  </w:r>
                  <w:r w:rsidRPr="00983016">
                    <w:rPr>
                      <w:lang w:val="ro-RO"/>
                    </w:rPr>
                    <w:t>din prezentul Titlu</w:t>
                  </w:r>
                  <w:r w:rsidRPr="00983016">
                    <w:rPr>
                      <w:rFonts w:asciiTheme="majorBidi" w:hAnsiTheme="majorBidi" w:cstheme="majorBidi"/>
                      <w:sz w:val="18"/>
                      <w:szCs w:val="18"/>
                      <w:lang w:val="ro-RO"/>
                    </w:rPr>
                    <w:t>;</w:t>
                  </w:r>
                </w:p>
              </w:tc>
            </w:tr>
          </w:tbl>
          <w:p w:rsidR="00F02F76" w:rsidRPr="00983016" w:rsidRDefault="00F02F76" w:rsidP="00670674">
            <w:pPr>
              <w:tabs>
                <w:tab w:val="left" w:pos="325"/>
                <w:tab w:val="left" w:pos="993"/>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3) capacitatea agregată care urmează să fie oferită de OST în cauză într-un punct de interconectare se contractează prin intermediul unei proceduri de alocare unice;</w:t>
                  </w:r>
                </w:p>
              </w:tc>
            </w:tr>
          </w:tbl>
          <w:p w:rsidR="00F02F76" w:rsidRPr="00983016" w:rsidRDefault="00F02F76" w:rsidP="00670674">
            <w:pPr>
              <w:tabs>
                <w:tab w:val="left" w:pos="325"/>
                <w:tab w:val="left" w:pos="993"/>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4) utilizatorii de sistem respectă clauzele și condițiile aplicabile menționate în contractul (contractele) de transport al (ale) OST în cauză, începând cu momentul contractării capacității de transport;</w:t>
                  </w:r>
                </w:p>
              </w:tc>
            </w:tr>
          </w:tbl>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B91C10"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5) în cazul în care, de o parte a unui punct de interconectare, este disponibilă mai multă capacitate fermă decât de ceala</w:t>
            </w:r>
            <w:r w:rsidRPr="00B91C10">
              <w:rPr>
                <w:rFonts w:asciiTheme="majorBidi" w:hAnsiTheme="majorBidi" w:cstheme="majorBidi"/>
                <w:sz w:val="18"/>
                <w:szCs w:val="18"/>
                <w:lang w:val="ro-RO"/>
              </w:rPr>
              <w:t>ltă parte, pentru orice perioadă luată în considerare, OST cu cea mai mare capacitate fermă disponibilă poate oferi această capacitate suplimentară utilizatorilor de sistem sub forma unui produs neagregat, în conformitate cu calendarul licitației și cu următoarele norme:</w:t>
            </w:r>
          </w:p>
          <w:p w:rsidR="00F02F76" w:rsidRPr="00B91C10" w:rsidRDefault="00F02F76" w:rsidP="00670674">
            <w:pPr>
              <w:tabs>
                <w:tab w:val="left" w:pos="325"/>
                <w:tab w:val="left" w:pos="993"/>
              </w:tabs>
              <w:ind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a) dacă, de cealaltă parte a punctului de interconectare, există un contract de transport neagregat, poate fi oferită capacitate neagregată în limita capacității și a duratei prevăzute în contractul privind prestarea serviciilor de transport existent de cealaltă parte;</w:t>
            </w:r>
          </w:p>
          <w:p w:rsidR="00F02F76" w:rsidRPr="00B91C10" w:rsidRDefault="00F02F76" w:rsidP="00670674">
            <w:pPr>
              <w:tabs>
                <w:tab w:val="left" w:pos="325"/>
                <w:tab w:val="left" w:pos="993"/>
              </w:tabs>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b) </w:t>
            </w:r>
            <w:r w:rsidRPr="00690087">
              <w:rPr>
                <w:rFonts w:asciiTheme="majorBidi" w:hAnsiTheme="majorBidi" w:cstheme="majorBidi"/>
                <w:sz w:val="18"/>
                <w:szCs w:val="18"/>
                <w:lang w:val="ro-RO"/>
              </w:rPr>
              <w:t>în cazul în care această capacitate suplimentară nu face obiectul lit. a), ea poate fi oferită pentru o perioadă de maximum un an;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F455C" w:rsidTr="00670674">
              <w:tc>
                <w:tcPr>
                  <w:tcW w:w="9781" w:type="dxa"/>
                  <w:shd w:val="clear" w:color="auto" w:fill="FFFFFF"/>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6) orice capacitate neagregată alocată în conformitate cu subpunct 5) poate fi utilizată și nominalizată ca atare. De asemenea, ea poate fi comercializată pe piața secundară;</w:t>
                  </w:r>
                </w:p>
              </w:tc>
            </w:tr>
            <w:tr w:rsidR="00F02F76" w:rsidRPr="00C27D66" w:rsidTr="00670674">
              <w:tc>
                <w:tcPr>
                  <w:tcW w:w="9781" w:type="dxa"/>
                  <w:shd w:val="clear" w:color="auto" w:fill="FFFFFF"/>
                  <w:hideMark/>
                </w:tcPr>
                <w:p w:rsidR="00F02F76" w:rsidRPr="00CF455C" w:rsidRDefault="00F02F76" w:rsidP="00670674">
                  <w:pPr>
                    <w:tabs>
                      <w:tab w:val="left" w:pos="325"/>
                      <w:tab w:val="left" w:pos="993"/>
                    </w:tabs>
                    <w:ind w:firstLine="40"/>
                    <w:jc w:val="both"/>
                    <w:rPr>
                      <w:rFonts w:asciiTheme="majorBidi" w:hAnsiTheme="majorBidi" w:cstheme="majorBidi"/>
                      <w:sz w:val="18"/>
                      <w:szCs w:val="18"/>
                      <w:lang w:val="ro-RO"/>
                    </w:rPr>
                  </w:pPr>
                  <w:r w:rsidRPr="00CF455C">
                    <w:rPr>
                      <w:rFonts w:asciiTheme="majorBidi" w:hAnsiTheme="majorBidi" w:cstheme="majorBidi"/>
                      <w:sz w:val="18"/>
                      <w:szCs w:val="18"/>
                      <w:lang w:val="ro-RO"/>
                    </w:rPr>
                    <w:lastRenderedPageBreak/>
                    <w:t>7) OST adiacenți instituie o procedură de nominalizare comună pentru capacitatea agregată, oferind utilizatorilor de sistem posibilitatea de a nominaliza fluxurile capacității lor agregate prin intermediul unei singure nominalizări;</w:t>
                  </w:r>
                </w:p>
              </w:tc>
            </w:tr>
            <w:tr w:rsidR="00F02F76" w:rsidRPr="00C27D66" w:rsidTr="00670674">
              <w:tc>
                <w:tcPr>
                  <w:tcW w:w="9781" w:type="dxa"/>
                  <w:shd w:val="clear" w:color="auto" w:fill="FFFFFF"/>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 xml:space="preserve">8) obligațiile de a oferi capacitate agregată se aplică, în măsura în care sunt relevante, și piețelor secundare de capacitate. Fără a aduce atingere subpunct 1), capacitatea alocată inițial sub formă de capacitate agregată nu poate fi revândută decât sub formă de capacitate agregată pe piața secundară; </w:t>
                  </w:r>
                </w:p>
              </w:tc>
            </w:tr>
          </w:tbl>
          <w:p w:rsidR="00F02F76" w:rsidRPr="00CF455C" w:rsidRDefault="00F02F76" w:rsidP="00670674">
            <w:pPr>
              <w:tabs>
                <w:tab w:val="left" w:pos="325"/>
                <w:tab w:val="left" w:pos="993"/>
              </w:tabs>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 xml:space="preserve">9) în cazul în care 2 sau mai multe puncte de interconectare leagă aceleași 2 sisteme de intrare/ieșire adiacente, respectivii OST adiacenți oferă capacitățile disponibile în punctele de interconectare într-un singur </w:t>
                  </w:r>
                  <w:r w:rsidRPr="00CF455C">
                    <w:rPr>
                      <w:rFonts w:asciiTheme="majorBidi" w:hAnsiTheme="majorBidi" w:cstheme="majorBidi"/>
                      <w:i/>
                      <w:sz w:val="18"/>
                      <w:szCs w:val="18"/>
                      <w:lang w:val="ro-RO"/>
                    </w:rPr>
                    <w:t>punct de interconectare virtual</w:t>
                  </w:r>
                  <w:r w:rsidRPr="00CF455C">
                    <w:rPr>
                      <w:rFonts w:asciiTheme="majorBidi" w:hAnsiTheme="majorBidi" w:cstheme="majorBidi"/>
                      <w:sz w:val="18"/>
                      <w:szCs w:val="18"/>
                      <w:lang w:val="ro-RO"/>
                    </w:rPr>
                    <w:t>. În cazul în care sunt implicați mai mult de doi OST deoarece capacitatea unuia sau a ambelor sisteme de intrare/ieșire este comercializată de mai mult de un OST, punctul de interconectare virtual include, în măsura posibilului, toți acești OST. Punctul de interconectare virtual se stabilește numai dacă sunt îndeplinite următoarele condiții:</w:t>
                  </w:r>
                </w:p>
                <w:p w:rsidR="00F02F76" w:rsidRPr="00CF455C" w:rsidRDefault="00F02F76" w:rsidP="00670674">
                  <w:pPr>
                    <w:tabs>
                      <w:tab w:val="left" w:pos="325"/>
                      <w:tab w:val="left" w:pos="993"/>
                    </w:tabs>
                    <w:jc w:val="both"/>
                    <w:rPr>
                      <w:rFonts w:asciiTheme="majorBidi" w:hAnsiTheme="majorBidi" w:cstheme="majorBidi"/>
                      <w:sz w:val="18"/>
                      <w:szCs w:val="18"/>
                      <w:lang w:val="ro-RO"/>
                    </w:rPr>
                  </w:pPr>
                </w:p>
                <w:tbl>
                  <w:tblPr>
                    <w:tblW w:w="5000" w:type="pct"/>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auto"/>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a) capacitatea tehnică totală în punctele de interconectare virtuale este mai mare sau egală cu suma capacităților tehnice în fiecare dintre punctele de interconectare care contribuie la punctele de interconectare virtuale;</w:t>
                        </w:r>
                      </w:p>
                      <w:p w:rsidR="00F02F76" w:rsidRPr="00CF455C" w:rsidRDefault="00F02F76" w:rsidP="00670674">
                        <w:pPr>
                          <w:tabs>
                            <w:tab w:val="left" w:pos="325"/>
                            <w:tab w:val="left" w:pos="993"/>
                          </w:tabs>
                          <w:jc w:val="both"/>
                          <w:rPr>
                            <w:rFonts w:asciiTheme="majorBidi" w:hAnsiTheme="majorBidi" w:cstheme="majorBidi"/>
                            <w:sz w:val="18"/>
                            <w:szCs w:val="18"/>
                            <w:lang w:val="ro-RO"/>
                          </w:rPr>
                        </w:pPr>
                      </w:p>
                    </w:tc>
                  </w:tr>
                  <w:tr w:rsidR="00F02F76" w:rsidRPr="00C27D66" w:rsidTr="00670674">
                    <w:tc>
                      <w:tcPr>
                        <w:tcW w:w="9781" w:type="dxa"/>
                        <w:shd w:val="clear" w:color="auto" w:fill="auto"/>
                        <w:hideMark/>
                      </w:tcPr>
                      <w:p w:rsidR="00F02F76" w:rsidRPr="00B91C10"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b) acestea contribuie la o utilizare rentabilă și eficientă a sistemului, inclusiv a normelor prevăzute la articolele 71 și 72 din Legea cu privire la gazele naturale , dar fără a se limita la acestea.</w:t>
                        </w:r>
                      </w:p>
                    </w:tc>
                  </w:tr>
                </w:tbl>
                <w:p w:rsidR="00F02F76" w:rsidRPr="00B91C10" w:rsidRDefault="00F02F76" w:rsidP="00670674">
                  <w:pPr>
                    <w:tabs>
                      <w:tab w:val="left" w:pos="325"/>
                      <w:tab w:val="left" w:pos="993"/>
                    </w:tabs>
                    <w:rPr>
                      <w:rFonts w:asciiTheme="majorBidi" w:hAnsiTheme="majorBidi" w:cstheme="majorBidi"/>
                      <w:sz w:val="18"/>
                      <w:szCs w:val="18"/>
                      <w:lang w:val="ro-RO"/>
                    </w:rPr>
                  </w:pPr>
                </w:p>
              </w:tc>
            </w:tr>
          </w:tbl>
          <w:p w:rsidR="00F02F76" w:rsidRPr="00B91C10" w:rsidRDefault="00F02F76" w:rsidP="00670674">
            <w:pPr>
              <w:tabs>
                <w:tab w:val="left" w:pos="325"/>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325"/>
                <w:tab w:val="left" w:pos="851"/>
              </w:tabs>
              <w:jc w:val="both"/>
              <w:outlineLvl w:val="0"/>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Default="00782595"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lastRenderedPageBreak/>
              <w:t>Compatibil</w:t>
            </w: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lastRenderedPageBreak/>
              <w:t>CHAPTER IV</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BUNDLING OF CAPACITY AT INTERCONNECTION POINTS</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w:t>
            </w:r>
          </w:p>
          <w:p w:rsidR="00F02F76" w:rsidRPr="00762584" w:rsidRDefault="00F02F76" w:rsidP="00670674">
            <w:pPr>
              <w:jc w:val="center"/>
              <w:rPr>
                <w:rFonts w:asciiTheme="majorBidi" w:hAnsiTheme="majorBidi" w:cstheme="majorBidi"/>
                <w:sz w:val="18"/>
                <w:szCs w:val="18"/>
              </w:rPr>
            </w:pPr>
            <w:r w:rsidRPr="00762584">
              <w:rPr>
                <w:rFonts w:asciiTheme="majorBidi" w:hAnsiTheme="majorBidi" w:cstheme="majorBidi"/>
                <w:sz w:val="18"/>
                <w:szCs w:val="18"/>
              </w:rPr>
              <w:t>Article 19</w:t>
            </w:r>
          </w:p>
          <w:p w:rsidR="00F02F76" w:rsidRDefault="00F02F76" w:rsidP="00670674">
            <w:pPr>
              <w:jc w:val="center"/>
              <w:rPr>
                <w:rFonts w:asciiTheme="majorBidi" w:hAnsiTheme="majorBidi" w:cstheme="majorBidi"/>
                <w:sz w:val="18"/>
                <w:szCs w:val="18"/>
              </w:rPr>
            </w:pPr>
            <w:r w:rsidRPr="009D6029">
              <w:rPr>
                <w:rFonts w:asciiTheme="majorBidi" w:hAnsiTheme="majorBidi" w:cstheme="majorBidi"/>
                <w:b/>
                <w:sz w:val="18"/>
                <w:szCs w:val="18"/>
              </w:rPr>
              <w:t>Bundled capacity products</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Adjacent transmission system operators shall jointly offer bundled capacity products, according to the following principles: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 on both sides of an interconnection point all firm capacity shall be offered as bundled capacity, in so far as there is available firm or incremental capacity on both sides of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transmission system operators shall offer capacity for the relevant standard capacity product on a booking platform, in accordance with Article 37 and in accordance with the applicable allocation procedure, as set out in Chapter III;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bundled capacity to be offered by the transmission system operators concerned at an interconnection point shall be contracted through a single allocation procedure;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network users shall comply with applicable terms and conditions of the transport contract(s) of the transmission system operators concerned as from the time the transport capacity is contracted;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where there is more available firm capacity on one side of an interconnection point than on the other side for any period considered, the transmission system operator with the most available firm capacity may offer such extra capacity to the network users as an unbundled product in accordance with the auction calendar and the following rules: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where there is an existing unbundled transport contract at the other side of the interconnection point, capacity may be offered on an unbundled basis not exceeding the amount and duration of the existing transport contract at the other side;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where such extra capacity does not fall under point (a) of paragraph 5, it may be offered for a maximum period of 1 year;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 any unbundled capacity allocated in accordance with paragraph 5 may be used and nominated as such. It may also be traded on the secondary market;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7. adjacent transmission system operators shall establish a joint nomination procedure for bundled capacity, providing network users with the means to nominate the flows of their bundled capacity via a single nomination;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the obligations to offer bundled capacity also apply, to the extent that they are relevant, to secondary capacity markets. Without prejudice to paragraph 1, capacity originally allocated as bundled capacity can only be resold as bundled capacity on the secondary market;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where two or more interconnection points connect the same two adjacent entry-exit systems, the adjacent transmission system operators concerned shall offer the available capacities at the interconnection points at one virtual interconnection point. In case more than two transmission system operators are involved because capacity in one or both entry-exit systems is marketed by more than one transmission system operator, the virtual interconnection point shall include all of these transmission system operators, to the extent possible. In all cases a virtual interconnection point shall be established only if the following conditions are met: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total technical capacity at the virtual interconnection points shall be equal to or higher than the sum of the technical capacities at each of the interconnection points contributing to the virtual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they facilitate the economic and efficient use of the system including but not limited to rules set out in Article 16 of Regulation (EC) No 715/2009.</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Adjacent transmission system operators shall start the necessary analysis and shall establish functional virtual interconnection points no later than 1 November 2021.</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20</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Alinierea clauzelor și a condițiilor principale pentru produsele de capacitate agregată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Înainte de 6 ianuarie 2018 și după consultarea părților implicate, ENTSOG creează un catalog al clauzelor și condițiilor principale din contractul (contractele) de transport al (ale) operatorilor de transport și de sistem pentru produsele de capacitate agregată. ENTSOG analizează contractele de transport existente, identificând și clasificând diferențele dintre principalele clauze și condiții și motivele pentru care au apărut aceste diferențe, și publică aceste concluzii într-un raport.</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(2)   Pe baza raportului menționat la alineatul (1) și după consultarea utilizatorilor rețelei, ENTSOG elaborează și publică, în termen de șase luni de la publicarea raportului, un model de clauze și condiții principale care să acopere prevederile contractuale neafectate de </w:t>
            </w:r>
            <w:r w:rsidRPr="00B91C10">
              <w:rPr>
                <w:rFonts w:asciiTheme="majorBidi" w:hAnsiTheme="majorBidi" w:cstheme="majorBidi"/>
                <w:sz w:val="18"/>
                <w:szCs w:val="18"/>
                <w:lang w:val="it-IT"/>
              </w:rPr>
              <w:lastRenderedPageBreak/>
              <w:t>diferențe fundamentale între principiile sau jurisprudența legislației naționale, pentru oferta de produse de capacitate agregată.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Agenția, ținând seama în mod corespunzător de avizele autorităților naționale de reglementare, furnizează un aviz cu privire la modelul de clauze și condiții principale într-un termen de trei luni suplimentare. Ținând seama de avizul prezentat de agenție, ENTSOG publică pe site-ul său web modelul final de clauze și condiții principale nu mai târziu de trei luni de la primirea avizului agenției.</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(4)   După publicarea modelului final de clauze și condiții principale, operatorii de transport și de sistem, sub rezerva aprobării din partea autorității naționale de reglementare, pot aplica clauzele și condițiile stabilite în model în cazul produselor de capacitate agregată nou contractate.</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t>P</w:t>
            </w:r>
            <w:r w:rsidRPr="00B91C10">
              <w:rPr>
                <w:rFonts w:asciiTheme="majorBidi" w:hAnsiTheme="majorBidi" w:cstheme="majorBidi"/>
                <w:b/>
                <w:bCs/>
                <w:sz w:val="18"/>
                <w:szCs w:val="18"/>
                <w:lang w:val="ro-RO"/>
              </w:rPr>
              <w:t>rodusele de capacitate agregată</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b/>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w:t>
            </w:r>
            <w:r w:rsidRPr="00C33F84">
              <w:rPr>
                <w:sz w:val="18"/>
                <w:szCs w:val="18"/>
                <w:lang w:val="ro-RO"/>
              </w:rPr>
              <w:t>OST în baza acordului Agenţiei, pot aplica clauzele și condițiile stabilite în modelul publicat pe site-ul web al ENTSO- G, care prevede dispoziții contractuale ce nu sunt afectate de diferențele fundamentale în principiile legislației naționale sau jurisprudenței, pentru oferta de produse de capacitate agregată, în cazul produselor de capacitate agregată nou contractate.</w:t>
            </w:r>
            <w:r w:rsidRPr="00B91C10">
              <w:rPr>
                <w:rFonts w:asciiTheme="majorBidi" w:hAnsiTheme="majorBidi" w:cstheme="majorBidi"/>
                <w:sz w:val="18"/>
                <w:szCs w:val="18"/>
                <w:lang w:val="ro-RO"/>
              </w:rPr>
              <w:t>.</w:t>
            </w: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sz w:val="18"/>
                <w:szCs w:val="18"/>
              </w:rPr>
            </w:pPr>
          </w:p>
          <w:p w:rsidR="00F02F76" w:rsidRPr="00FE6804" w:rsidRDefault="00F02F76" w:rsidP="00670674">
            <w:pPr>
              <w:jc w:val="center"/>
              <w:rPr>
                <w:rFonts w:asciiTheme="majorBidi" w:hAnsiTheme="majorBidi" w:cstheme="majorBidi"/>
                <w:b/>
                <w:sz w:val="18"/>
                <w:szCs w:val="18"/>
              </w:rPr>
            </w:pPr>
            <w:r w:rsidRPr="00FE6804">
              <w:rPr>
                <w:rFonts w:asciiTheme="majorBidi" w:hAnsiTheme="majorBidi" w:cstheme="majorBidi"/>
                <w:b/>
                <w:sz w:val="18"/>
                <w:szCs w:val="18"/>
              </w:rPr>
              <w:t>Article 20</w:t>
            </w:r>
          </w:p>
          <w:p w:rsidR="00F02F76"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Alignment of main terms and conditions for bundled capacity products</w:t>
            </w:r>
          </w:p>
          <w:p w:rsidR="00F02F76" w:rsidRPr="00B91C10" w:rsidRDefault="00F02F76" w:rsidP="00670674">
            <w:pPr>
              <w:jc w:val="center"/>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 Transmission system operators, subject to the approval of national regulatory authority, may apply the terms and conditions set out in the template published on ENTSOG’s website covering contractual provisions which are not affected by fundamental differences in principles of national law or jurisprudence, for the offer of bundled capacity products in the case of newly contracted bundled capacity products.</w:t>
            </w:r>
          </w:p>
        </w:tc>
      </w:tr>
      <w:tr w:rsidR="00F02F76" w:rsidRPr="00B91C10" w:rsidTr="00690087">
        <w:trPr>
          <w:trHeight w:val="4250"/>
        </w:trPr>
        <w:tc>
          <w:tcPr>
            <w:tcW w:w="5245" w:type="dxa"/>
          </w:tcPr>
          <w:p w:rsidR="00F02F76" w:rsidRDefault="00F02F76" w:rsidP="00670674">
            <w:pPr>
              <w:shd w:val="clear" w:color="auto" w:fill="FFFFFF"/>
              <w:jc w:val="center"/>
              <w:rPr>
                <w:rFonts w:asciiTheme="majorBidi" w:hAnsiTheme="majorBidi" w:cstheme="majorBidi"/>
                <w:i/>
                <w:iCs/>
                <w:sz w:val="18"/>
                <w:szCs w:val="18"/>
                <w:lang w:val="en-GB"/>
              </w:rPr>
            </w:pPr>
          </w:p>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t>Articolul 21</w:t>
            </w:r>
          </w:p>
          <w:p w:rsidR="00F02F76"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Agregarea în cazul contractelor de transport existente</w:t>
            </w:r>
          </w:p>
          <w:p w:rsidR="00F02F76" w:rsidRDefault="00F02F76" w:rsidP="00670674">
            <w:pPr>
              <w:shd w:val="clear" w:color="auto" w:fill="FFFFFF"/>
              <w:jc w:val="center"/>
              <w:rPr>
                <w:rFonts w:asciiTheme="majorBidi" w:hAnsiTheme="majorBidi" w:cstheme="majorBidi"/>
                <w:b/>
                <w:bCs/>
                <w:sz w:val="18"/>
                <w:szCs w:val="18"/>
                <w:lang w:val="en-GB"/>
              </w:rPr>
            </w:pPr>
          </w:p>
          <w:p w:rsidR="00F02F76" w:rsidRPr="00B91C10" w:rsidRDefault="00F02F76" w:rsidP="00670674">
            <w:pPr>
              <w:shd w:val="clear" w:color="auto" w:fill="FFFFFF"/>
              <w:jc w:val="center"/>
              <w:rPr>
                <w:rFonts w:asciiTheme="majorBidi" w:hAnsiTheme="majorBidi" w:cstheme="majorBidi"/>
                <w:b/>
                <w:bCs/>
                <w:sz w:val="18"/>
                <w:szCs w:val="18"/>
                <w:lang w:val="en-GB"/>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Utilizatorii rețelei care sunt părți la contracte de transport pentru capacitate neagregată în punctele de interconectare respective vizează să ajungă la un acord privind agregarea capacității prin acorduri contractuale („acord de agregare”), în conformitate cu dispozițiile prevăzute la articolul 19. Acești utilizatori ai rețelei și operatori de transport și de sistem raportează autorităților naționale de reglementare relevante cu privire la toate acordurile de agregare încheiate de toate părțile la contractele de transport existente.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care sunt părți la contractele de transport existente pot participa în orice moment la discuțiile cu privire la acordurile de agregare, la invitația utilizatorilor rețelei care sunt părți la contractele de transport existente.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(3)   Începând cu 1 ianuarie 2018, operatorii de transport și de sistem oferă un serviciu gratuit de conversie a capacității utilizatorilor rețelei care dețin capacitate neagregată necorelată la unul dintre capetele unui punct de interconectare. Acest serviciu de conversie a capacității se aplică în cazul produselor de capacitate anuală, trimestrială sau lunară pentru capacitatea agregată fermă la punctul de interconectare respectiv pe care utilizatorul rețelei a trebuit să o achiziționeze deoarece la celălalt capăt al punctului de interconectare operatorul de transport și de sistem adiacent a oferit capacitate neagregată insuficientă. Acest serviciu se oferă în mod nediscriminatoriu și împiedică aplicarea de taxe suplimentare utilizatorilor rețelei pentru capacitatea pe care o dețin deja. În special, plățile pentru partea din capacitatea agregată contractată pe care utilizatorii rețelei o dețin deja sub formă de capacitate neagregată necorelată sunt limitate la o eventuală primă de licitație. Acest serviciu se bazează pe modelul de </w:t>
            </w:r>
            <w:r w:rsidRPr="00B91C10">
              <w:rPr>
                <w:rFonts w:asciiTheme="majorBidi" w:hAnsiTheme="majorBidi" w:cstheme="majorBidi"/>
                <w:sz w:val="18"/>
                <w:szCs w:val="18"/>
                <w:lang w:val="it-IT"/>
              </w:rPr>
              <w:lastRenderedPageBreak/>
              <w:t>conversie pe care îl elaborează în prezent ENTSOG și care va fi finalizat cel târziu până la 1 octombrie 2017, după consultarea părților interesate și a agenției. Punerea în aplicare poate fi facilitată de platforma (platformele) de rezervare a capacității menționată (menționate) la articolul 37. Utilizarea acestui serviciu se raportează anual către autoritățile naționale de reglementare respective.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cazul în care se ajunge la un acord de agregare între utilizatorii rețelei respectivi, operatorii de transport și de sistem implicați în punctul de interconectare sunt informați de îndată de către părți cu privire la acordul de agregare prevăzut și se procedează la punerea în aplicare a transferului capacității în cauză. În orice caz, acordul de agregare este pus în aplicare sub rezerva respectării clauzelor și condițiilor aplicabile ale contractelor de transport aferente existente. După punerea în aplicare a acordului de agregare, capacitatea relevantă este considerată drept capacitate agregată.</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orice caz, durata acordurilor de agregare privind capacitatea agregată stabilită în temeiul modificării contractelor existente nu depășește durata contractelor de transport inițiale.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it-IT"/>
              </w:rPr>
              <w:t xml:space="preserve">(6)   Toate capacitățile sunt agregate cât mai curând posibil. Contractele de transport existente pentru capacitatea neagregată nu pot fi reînnoite, prelungite sau reportate după data expirării lor. </w:t>
            </w:r>
            <w:r w:rsidRPr="00B91C10">
              <w:rPr>
                <w:rFonts w:asciiTheme="majorBidi" w:hAnsiTheme="majorBidi" w:cstheme="majorBidi"/>
                <w:sz w:val="18"/>
                <w:szCs w:val="18"/>
                <w:lang w:val="en-GB"/>
              </w:rPr>
              <w:t>Aceste capacități devin disponibile începând cu data expirării contractelor de transport.</w:t>
            </w:r>
          </w:p>
          <w:p w:rsidR="00F02F76" w:rsidRPr="00B91C10" w:rsidRDefault="00F02F76" w:rsidP="00670674">
            <w:pPr>
              <w:shd w:val="clear" w:color="auto" w:fill="FFFFFF"/>
              <w:jc w:val="center"/>
              <w:rPr>
                <w:rFonts w:asciiTheme="majorBidi" w:hAnsiTheme="majorBidi" w:cstheme="majorBidi"/>
                <w:i/>
                <w:iCs/>
                <w:sz w:val="18"/>
                <w:szCs w:val="18"/>
                <w:lang w:val="en-GB"/>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2</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Agregarea în cazul contractelor </w:t>
            </w:r>
            <w:r>
              <w:rPr>
                <w:rFonts w:asciiTheme="majorBidi" w:hAnsiTheme="majorBidi" w:cstheme="majorBidi"/>
                <w:b/>
                <w:bCs/>
                <w:sz w:val="18"/>
                <w:szCs w:val="18"/>
                <w:lang w:val="ro-RO"/>
              </w:rPr>
              <w:t xml:space="preserve">pentru prestarea serviciilor </w:t>
            </w:r>
            <w:r w:rsidRPr="00B91C10">
              <w:rPr>
                <w:rFonts w:asciiTheme="majorBidi" w:hAnsiTheme="majorBidi" w:cstheme="majorBidi"/>
                <w:b/>
                <w:bCs/>
                <w:sz w:val="18"/>
                <w:szCs w:val="18"/>
                <w:lang w:val="ro-RO"/>
              </w:rPr>
              <w:t>de transport existente</w:t>
            </w: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.Utilizatorii de sistem care sunt părți la contracte pentru prestarea serviciilor de transport pentru capacitate neagregată în punctele de interconectare respective vizează să ajungă la un acord privind agregarea capacității prin acorduri contractuale („acord de agregare”), în conformitate cu dispozițiile prevăzute la </w:t>
            </w:r>
            <w:r w:rsidRPr="00B91C10">
              <w:rPr>
                <w:rFonts w:asciiTheme="majorBidi" w:hAnsiTheme="majorBidi" w:cstheme="majorBidi"/>
                <w:sz w:val="18"/>
                <w:szCs w:val="18"/>
                <w:highlight w:val="lightGray"/>
                <w:lang w:val="ro-RO"/>
              </w:rPr>
              <w:t>pct. 24</w:t>
            </w:r>
            <w:r>
              <w:rPr>
                <w:rFonts w:asciiTheme="majorBidi" w:hAnsiTheme="majorBidi" w:cstheme="majorBidi"/>
                <w:sz w:val="18"/>
                <w:szCs w:val="18"/>
                <w:highlight w:val="lightGray"/>
                <w:lang w:val="ro-RO"/>
              </w:rPr>
              <w:t>2</w:t>
            </w:r>
            <w:r w:rsidRPr="00B91C10">
              <w:rPr>
                <w:rFonts w:asciiTheme="majorBidi" w:hAnsiTheme="majorBidi" w:cstheme="majorBidi"/>
                <w:sz w:val="18"/>
                <w:szCs w:val="18"/>
                <w:highlight w:val="lightGray"/>
                <w:lang w:val="ro-RO"/>
              </w:rPr>
              <w:t xml:space="preserve"> și </w:t>
            </w:r>
            <w:r w:rsidRPr="00B91C10">
              <w:rPr>
                <w:rFonts w:asciiTheme="majorBidi" w:hAnsiTheme="majorBidi" w:cstheme="majorBidi"/>
                <w:sz w:val="18"/>
                <w:szCs w:val="18"/>
                <w:lang w:val="ro-RO"/>
              </w:rPr>
              <w:t>24</w:t>
            </w:r>
            <w:r>
              <w:rPr>
                <w:rFonts w:asciiTheme="majorBidi" w:hAnsiTheme="majorBidi" w:cstheme="majorBidi"/>
                <w:sz w:val="18"/>
                <w:szCs w:val="18"/>
                <w:lang w:val="ro-RO"/>
              </w:rPr>
              <w:t>3</w:t>
            </w:r>
            <w:r w:rsidRPr="00B91C10">
              <w:rPr>
                <w:rFonts w:asciiTheme="majorBidi" w:hAnsiTheme="majorBidi" w:cstheme="majorBidi"/>
                <w:sz w:val="18"/>
                <w:szCs w:val="18"/>
                <w:lang w:val="ro-RO"/>
              </w:rPr>
              <w:t>. Acești utilizatori de sistem și OST informează Agenției cu privire la toate acordurile de agregare încheiate de toate părțile la contractele privind prestarea serviciilor de transport existente.</w:t>
            </w:r>
          </w:p>
          <w:p w:rsidR="00F02F76"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w:t>
            </w:r>
            <w:r w:rsidRPr="00B91C10">
              <w:rPr>
                <w:rFonts w:asciiTheme="majorBidi" w:hAnsiTheme="majorBidi" w:cstheme="majorBidi"/>
                <w:sz w:val="18"/>
                <w:szCs w:val="18"/>
                <w:lang w:val="ro-RO"/>
              </w:rPr>
              <w:t>5.OST care sunt părți la contractele pentru prestarea serviciilor de transport existente pot participa în orice moment la discuțiile cu privire la acordurile de agregare, la invitația utilizatorilor de sistem care sunt părți la contractele de transport existente.</w:t>
            </w:r>
          </w:p>
          <w:p w:rsidR="00F02F76"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46</w:t>
            </w:r>
            <w:r w:rsidRPr="00B91C10">
              <w:rPr>
                <w:rFonts w:asciiTheme="majorBidi" w:hAnsiTheme="majorBidi" w:cstheme="majorBidi"/>
                <w:sz w:val="18"/>
                <w:szCs w:val="18"/>
                <w:lang w:val="ro-RO"/>
              </w:rPr>
              <w:t xml:space="preserve">.OST oferă un serviciu gratuit de conversie a capacității utilizatorilor de sistem care dețin capacitate neagregată necorelată la unul dintre capetele unui punct de interconectare. Acest serviciu de conversie a capacității se aplică în cazul produselor de capacitate anuală, trimestrială sau lunară pentru capacitatea agregată fermă la punctul de interconectare respectiv pe care utilizatorul de sistem a trebuit să o achiziționeze deoarece la celălalt capăt al punctului de interconectare OST adiacent a oferit capacitate neagregată insuficientă. Acest serviciu se oferă în mod nediscriminatoriu și scutește utilizatorul de sistem de plata unei taxe suplimentare pentru capacitatea pe care o dețin deja. În special, plățile pentru partea din capacitatea agregată contractată pe care utilizatorii de sistem o dețin deja sub formă de capacitate neagregată necorelată sunt limitate la o eventuală primă de licitație. Acest serviciu se bazează pe </w:t>
            </w:r>
            <w:r w:rsidRPr="00B91C10">
              <w:rPr>
                <w:rFonts w:asciiTheme="majorBidi" w:hAnsiTheme="majorBidi" w:cstheme="majorBidi"/>
                <w:sz w:val="18"/>
                <w:szCs w:val="18"/>
                <w:lang w:val="ro-RO"/>
              </w:rPr>
              <w:lastRenderedPageBreak/>
              <w:t xml:space="preserve">modelul de conversie elaborat de ENTSO-G. Punerea în aplicare poate fi facilitată de platforma de rezervare a capacității conform </w:t>
            </w:r>
            <w:r w:rsidRPr="00B91C10">
              <w:rPr>
                <w:rFonts w:asciiTheme="majorBidi" w:hAnsiTheme="majorBidi" w:cstheme="majorBidi"/>
                <w:sz w:val="18"/>
                <w:szCs w:val="18"/>
                <w:highlight w:val="lightGray"/>
                <w:lang w:val="ro-RO"/>
              </w:rPr>
              <w:t>pct. 31</w:t>
            </w:r>
            <w:r>
              <w:rPr>
                <w:rFonts w:asciiTheme="majorBidi" w:hAnsiTheme="majorBidi" w:cstheme="majorBidi"/>
                <w:sz w:val="18"/>
                <w:szCs w:val="18"/>
                <w:highlight w:val="lightGray"/>
                <w:lang w:val="ro-RO"/>
              </w:rPr>
              <w:t>2</w:t>
            </w:r>
            <w:r w:rsidRPr="00B91C10">
              <w:rPr>
                <w:rFonts w:asciiTheme="majorBidi" w:hAnsiTheme="majorBidi" w:cstheme="majorBidi"/>
                <w:sz w:val="18"/>
                <w:szCs w:val="18"/>
                <w:highlight w:val="lightGray"/>
                <w:lang w:val="ro-RO"/>
              </w:rPr>
              <w:t xml:space="preserve"> - 3</w:t>
            </w:r>
            <w:r>
              <w:rPr>
                <w:rFonts w:asciiTheme="majorBidi" w:hAnsiTheme="majorBidi" w:cstheme="majorBidi"/>
                <w:sz w:val="18"/>
                <w:szCs w:val="18"/>
                <w:highlight w:val="lightGray"/>
                <w:lang w:val="ro-RO"/>
              </w:rPr>
              <w:t>16</w:t>
            </w:r>
            <w:r w:rsidRPr="00B91C10">
              <w:rPr>
                <w:rFonts w:asciiTheme="majorBidi" w:hAnsiTheme="majorBidi" w:cstheme="majorBidi"/>
                <w:sz w:val="18"/>
                <w:szCs w:val="18"/>
                <w:highlight w:val="lightGray"/>
                <w:lang w:val="ro-RO"/>
              </w:rPr>
              <w:t>4.</w:t>
            </w:r>
            <w:r w:rsidRPr="00B91C10">
              <w:rPr>
                <w:rFonts w:asciiTheme="majorBidi" w:hAnsiTheme="majorBidi" w:cstheme="majorBidi"/>
                <w:sz w:val="18"/>
                <w:szCs w:val="18"/>
                <w:lang w:val="ro-RO"/>
              </w:rPr>
              <w:t xml:space="preserve"> OST informează anual Agenția despre utilizarea acestui serviciu  </w:t>
            </w: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47</w:t>
            </w:r>
            <w:r w:rsidRPr="00B91C10">
              <w:rPr>
                <w:rFonts w:asciiTheme="majorBidi" w:hAnsiTheme="majorBidi" w:cstheme="majorBidi"/>
                <w:sz w:val="18"/>
                <w:szCs w:val="18"/>
                <w:lang w:val="ro-RO"/>
              </w:rPr>
              <w:t>.În cazul în care se ajunge la un acord de agregare între utilizatorii de sistem respectivi, OST implicați în punctul de interconectare sunt informați de îndată de către părți cu privire la acordul de agregare prevăzut și se efectuează transferul de capacitate în cauză. Acordul de agregare este pus în aplicare sub rezerva respectării clauzelor și condițiilor aplicabile ale contractelor ptivind prestarea serviciilor de transport existente. După punerea în aplicare a acordului de agregare, capacitatea relevantă este considerată drept capacitate agregată.</w:t>
            </w: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48</w:t>
            </w:r>
            <w:r w:rsidRPr="00B91C10">
              <w:rPr>
                <w:rFonts w:asciiTheme="majorBidi" w:hAnsiTheme="majorBidi" w:cstheme="majorBidi"/>
                <w:sz w:val="18"/>
                <w:szCs w:val="18"/>
                <w:lang w:val="ro-RO"/>
              </w:rPr>
              <w:t>.Durata acordurilor de agregare privind capacitatea agregată stabilită în temeiul modificării contractelor existente nu depășește durata contractelor privind prestarea serviciilor de transport inițiale.</w:t>
            </w:r>
          </w:p>
          <w:p w:rsidR="00F02F76" w:rsidRPr="00690087" w:rsidRDefault="00F02F76" w:rsidP="00690087">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9</w:t>
            </w:r>
            <w:r w:rsidRPr="00B91C10">
              <w:rPr>
                <w:rFonts w:asciiTheme="majorBidi" w:hAnsiTheme="majorBidi" w:cstheme="majorBidi"/>
                <w:sz w:val="18"/>
                <w:szCs w:val="18"/>
                <w:lang w:val="ro-RO"/>
              </w:rPr>
              <w:t>.Toate capacitățile sunt agregate cât mai curând posibil. Contractele privind prestarea serviciilor de transport existente pentru capacitatea neagregată nu pot fi reînnoite, prelungite sau reportate după data expirării lor. Aceste capacități devin disponibile începând cu data expirării contractelor privind pres</w:t>
            </w:r>
            <w:r w:rsidR="00690087">
              <w:rPr>
                <w:rFonts w:asciiTheme="majorBidi" w:hAnsiTheme="majorBidi" w:cstheme="majorBidi"/>
                <w:sz w:val="18"/>
                <w:szCs w:val="18"/>
                <w:lang w:val="ro-RO"/>
              </w:rPr>
              <w:t>tarea serviciilor de transport.</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690087" w:rsidRDefault="00690087"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Article 21</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Bundling in case of existing transport contracts </w:t>
            </w:r>
          </w:p>
          <w:p w:rsidR="00F02F76" w:rsidRDefault="00F02F76" w:rsidP="00670674">
            <w:pPr>
              <w:jc w:val="both"/>
              <w:rPr>
                <w:rFonts w:asciiTheme="majorBidi" w:hAnsiTheme="majorBidi" w:cstheme="majorBidi"/>
                <w:sz w:val="18"/>
                <w:szCs w:val="18"/>
              </w:rPr>
            </w:pPr>
          </w:p>
          <w:p w:rsidR="00690087" w:rsidRDefault="00690087" w:rsidP="00670674">
            <w:pPr>
              <w:jc w:val="both"/>
              <w:rPr>
                <w:rFonts w:asciiTheme="majorBidi" w:hAnsiTheme="majorBidi" w:cstheme="majorBidi"/>
                <w:sz w:val="18"/>
                <w:szCs w:val="18"/>
              </w:rPr>
            </w:pPr>
          </w:p>
          <w:p w:rsidR="00690087" w:rsidRPr="00B91C10" w:rsidRDefault="00690087"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network users who are parties to unbundled transport contracts at respective interconnection points, shall aim to reach an agreement on the bundling of the capacity via contractual arrangements (‘bundling arrangement’), in compliance with the provisions set out in Article 19. These network users and transmission system operators shall report to the relevant national regulatory authorities of all bundling arrangements reached by all parties to existing transport contracts.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The transmission system operators who are parties to the existing transport contracts may participate in the discussions regarding the bundling arrangement at any time, upon invitation of the network users who are parties to the existing transport contracts.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Nine months after the expiry of the deadline for transposition of this Regulation, transmission system operators shall offer network users holding mismatched unbundled capacity at one side of an interconnection point a free-of-charge capacity conversion service. Such a capacity conversion service shall apply to annual, quarterly or monthly capacity products for bundled firm capacity at that interconnection point which the network user had to acquire because insufficient unbundled capacity on the other side of the interconnection point was offered by an adjacent transmission system operator. This service shall be offered on a non-discriminatory basis and shall prevent additional charges from being applied to network users for capacity they already hold. In particular, payments for the part of the </w:t>
            </w:r>
            <w:r w:rsidRPr="00B91C10">
              <w:rPr>
                <w:rFonts w:asciiTheme="majorBidi" w:hAnsiTheme="majorBidi" w:cstheme="majorBidi"/>
                <w:sz w:val="18"/>
                <w:szCs w:val="18"/>
              </w:rPr>
              <w:lastRenderedPageBreak/>
              <w:t>contracted bundled capacity which network users already hold as mismatched unbundled capacity shall be limited to a possible auction premium. This service shall be based on the conversion model developed by ENTSOG.The implementation may be facilitated by the capacity booking platform(s) referred to in Article 37. The use of this service shall be reported annually to the respective national regulatory authorities.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Where a bundling arrangement is agreed upon between respective network users, the transmission system operators involved at the interconnection point shall be informed by the parties of such intended bundling arrangement without undue delay and the transfer of the concerned capacity shall be implemented. In any case, the bundling arrangement shall be implemented subject to the applicable terms and conditions of existing related transport contracts. Once the bundling arrangement is implemented, the relevant capacity shall be treated as bundled capacity.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In any case, the duration of the bundling arrangements regarding the capacity bundled under the amendment of the existing contracts shall not exceed the duration of the original transport contracts.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6. All capacity shall be bundled at the earliest opportunity. Existing transport contracts for unbundled capacity cannot be renewed, prolonged or rolled over after their expiration date. Such capacity shall become available capacity as of the expiration date of the transport contracts.</w:t>
            </w:r>
          </w:p>
        </w:tc>
      </w:tr>
      <w:tr w:rsidR="00F02F76" w:rsidRPr="00B91C10" w:rsidTr="000D130F">
        <w:trPr>
          <w:trHeight w:val="1968"/>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V</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PROCESUL DE CAPACITATE INCREMENTALĂ</w:t>
            </w:r>
          </w:p>
          <w:p w:rsidR="00F02F76"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22</w:t>
            </w:r>
          </w:p>
          <w:p w:rsidR="00F02F76" w:rsidRPr="00B91C10" w:rsidRDefault="00F02F76" w:rsidP="00670674">
            <w:pPr>
              <w:shd w:val="clear" w:color="auto" w:fill="FFFFFF"/>
              <w:jc w:val="center"/>
              <w:rPr>
                <w:rFonts w:asciiTheme="majorBidi" w:hAnsiTheme="majorBidi" w:cstheme="majorBidi"/>
                <w:i/>
                <w:i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Testul economic</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Testul economic prevăzut în prezentul articol este efectuat de operatorul (operatorii) sistemului (sistemelor) de transport sau de autoritatea națională de reglementare, conform deciziei autorității naționale de reglementare, pentru fiecare nivel de ofertă de capacitate incrementală stabilit după obținerea, de către operatorii de transport și de sistem implicați, a angajamentelor obligatorii ale utilizatorilor rețelei privind contractarea de capacitate și el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valoarea actualizată a angajamentelor obligatorii ale utilizatorilor rețelei pentru contractarea de capacitate, care se calculează ca suma actualizată a următorilor parametri:</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F02F76" w:rsidRPr="00C27D66" w:rsidTr="00670674">
                    <w:tc>
                      <w:tcPr>
                        <w:tcW w:w="1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(i)</w:t>
                        </w:r>
                      </w:p>
                    </w:tc>
                    <w:tc>
                      <w:tcPr>
                        <w:tcW w:w="912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suma dintre prețurile de referință estimate respective și o primă de licitație potențială și o primă minimă obligatorie potențială, înmulțită cu volumul de capacitate incrementală contractată;</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suma dintre o primă de licitație potențială și o primă de licitație minimă obligatorie potențială, înmulțită cu volumul de capacitate disponibilă care a fost contractat în combinație cu capacitatea incrementală;</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valoarea actuală a creșterii estimate a venitului autorizat sau a venitului-țintă al operatorului de transport și de sistem asociat capacității incrementale incluse în nivelul de ofertă respectiv, astfel cum a fost aprobată de autoritatea națională de reglementare relevantă în conformitate cu articolul 28 alineatul (2);</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23"/>
              <w:gridCol w:w="3906"/>
            </w:tblGrid>
            <w:tr w:rsidR="00F02F76" w:rsidRPr="00C27D66" w:rsidTr="00670674">
              <w:tc>
                <w:tcPr>
                  <w:tcW w:w="2079"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w:t>
                  </w:r>
                </w:p>
              </w:tc>
              <w:tc>
                <w:tcPr>
                  <w:tcW w:w="7276"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Rezultatul aplicării testului economic este: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pozitiv, atunci când valoarea parametrului stabilit la alineatul (1) litera (a) este cel puțin egală cu partea din parametrul stabilit la alineatul (1) litera (b), astfel cum este definit de 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negativ, atunci când valoarea parametrului stabilit la alineatul (1) litera (a) este mai mică decât partea din parametrul stabilit la alineatul (1) litera (b), astfel cum este definit de 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Se demarează un proiect de capacitate incrementală în cazul în care testul economic dă un rezultat pozitiv de ambele părți ale unui punct de interconectare pentru cel puțin un nivel de ofertă care include capacitate incrementală. În cazul în care testul economic dă rezultate pozitive pentru mai mult de un nivel de ofertă, se utilizează nivelul de ofertă cu cel mai mare volum de capacitate care a dus la un rezultat pozitiv pentru a continua proiectul de capacitate incrementală până la intrarea în funcțiune. În cazul în care nu se obțin rezultate pozitive pentru niciun nivel de ofertă, se pune capăt procesului de capacitate incrementală.</w:t>
            </w:r>
          </w:p>
          <w:p w:rsidR="00F02F76" w:rsidRPr="00B91C10" w:rsidRDefault="00F02F76" w:rsidP="00670674">
            <w:pPr>
              <w:shd w:val="clear" w:color="auto" w:fill="FFFFFF"/>
              <w:jc w:val="center"/>
              <w:rPr>
                <w:rFonts w:asciiTheme="majorBidi" w:hAnsiTheme="majorBidi" w:cstheme="majorBidi"/>
                <w:i/>
                <w:iCs/>
                <w:sz w:val="18"/>
                <w:szCs w:val="18"/>
                <w:lang w:val="it-IT"/>
              </w:rPr>
            </w:pP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V</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CAPACITATE</w:t>
            </w:r>
            <w:r>
              <w:rPr>
                <w:rFonts w:asciiTheme="majorBidi" w:hAnsiTheme="majorBidi" w:cstheme="majorBidi"/>
                <w:b/>
                <w:bCs/>
                <w:sz w:val="18"/>
                <w:szCs w:val="18"/>
                <w:lang w:val="ro-RO"/>
              </w:rPr>
              <w:t>A</w:t>
            </w:r>
            <w:r w:rsidRPr="00B91C10">
              <w:rPr>
                <w:rFonts w:asciiTheme="majorBidi" w:hAnsiTheme="majorBidi" w:cstheme="majorBidi"/>
                <w:b/>
                <w:bCs/>
                <w:sz w:val="18"/>
                <w:szCs w:val="18"/>
                <w:lang w:val="ro-RO"/>
              </w:rPr>
              <w:t xml:space="preserve"> INCREMENTALĂ</w:t>
            </w:r>
          </w:p>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Testul economic</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25</w:t>
            </w:r>
            <w:r>
              <w:rPr>
                <w:rFonts w:asciiTheme="majorBidi" w:hAnsiTheme="majorBidi" w:cstheme="majorBidi"/>
                <w:sz w:val="18"/>
                <w:szCs w:val="18"/>
                <w:lang w:val="ro-RO"/>
              </w:rPr>
              <w:t>0</w:t>
            </w:r>
            <w:r w:rsidRPr="00B91C10">
              <w:rPr>
                <w:rFonts w:asciiTheme="majorBidi" w:hAnsiTheme="majorBidi" w:cstheme="majorBidi"/>
                <w:sz w:val="18"/>
                <w:szCs w:val="18"/>
                <w:lang w:val="ro-RO"/>
              </w:rPr>
              <w:t>.Testul economic prevăzut în prezenta Secțiune este efectuat de Agenție sau de OST, conform deciziei Agenției, pentru fiecare nivel de ofertă de capacitate incrementală stabilit după obținerea de către OST implicați a angajamentelor obligatorii ale utilizatorilor de sistem privind contractarea capacității și el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0"/>
                    <w:jc w:val="both"/>
                    <w:rPr>
                      <w:rFonts w:asciiTheme="majorBidi" w:hAnsiTheme="majorBidi" w:cstheme="majorBidi"/>
                      <w:sz w:val="18"/>
                      <w:szCs w:val="18"/>
                      <w:lang w:val="ro-RO"/>
                    </w:rPr>
                  </w:pPr>
                  <w:r w:rsidRPr="00B91C10">
                    <w:rPr>
                      <w:rFonts w:asciiTheme="majorBidi" w:hAnsiTheme="majorBidi" w:cstheme="majorBidi"/>
                      <w:sz w:val="18"/>
                      <w:szCs w:val="18"/>
                      <w:lang w:val="ro-RO"/>
                    </w:rPr>
                    <w:t>1) valoarea actualizată a angajamentelor obligatorii ale utilizatorilor de sistem pentru contractarea capacității, care se calculează ca suma actualizată a următorilor parametri:</w:t>
                  </w:r>
                </w:p>
                <w:tbl>
                  <w:tblPr>
                    <w:tblW w:w="5000" w:type="pct"/>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auto"/>
                        <w:hideMark/>
                      </w:tcPr>
                      <w:p w:rsidR="00F02F76" w:rsidRPr="00B91C10" w:rsidRDefault="00F02F76" w:rsidP="00670674">
                        <w:pPr>
                          <w:ind w:firstLine="40"/>
                          <w:jc w:val="both"/>
                          <w:rPr>
                            <w:rFonts w:asciiTheme="majorBidi" w:hAnsiTheme="majorBidi" w:cstheme="majorBidi"/>
                            <w:sz w:val="18"/>
                            <w:szCs w:val="18"/>
                            <w:lang w:val="ro-RO"/>
                          </w:rPr>
                        </w:pPr>
                        <w:r w:rsidRPr="00B91C10">
                          <w:rPr>
                            <w:rFonts w:asciiTheme="majorBidi" w:hAnsiTheme="majorBidi" w:cstheme="majorBidi"/>
                            <w:sz w:val="18"/>
                            <w:szCs w:val="18"/>
                            <w:lang w:val="ro-RO"/>
                          </w:rPr>
                          <w:t>a) suma dintre prețurile de referință estimate și o primă de licitație potențială și o primă minimă obligatorie potențială, înmulțită cu capacitatea incrementală contractată;</w:t>
                        </w:r>
                      </w:p>
                    </w:tc>
                  </w:tr>
                  <w:tr w:rsidR="00F02F76" w:rsidRPr="00C27D66" w:rsidTr="00670674">
                    <w:tc>
                      <w:tcPr>
                        <w:tcW w:w="9781" w:type="dxa"/>
                        <w:shd w:val="clear" w:color="auto" w:fill="auto"/>
                        <w:hideMark/>
                      </w:tcPr>
                      <w:p w:rsidR="00F02F76" w:rsidRPr="00B91C10" w:rsidRDefault="00F02F76" w:rsidP="00670674">
                        <w:pPr>
                          <w:ind w:firstLine="40"/>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b) suma dintre o primă de licitație potențială și o primă de licitație minimă obligatorie potențială, înmulțită cu capacitatea disponibilă care a fost contractată în combinație cu capacitatea incrementală;</w:t>
                        </w:r>
                      </w:p>
                    </w:tc>
                  </w:tr>
                </w:tbl>
                <w:p w:rsidR="00F02F76" w:rsidRPr="00B91C10" w:rsidRDefault="00F02F76" w:rsidP="00670674">
                  <w:pPr>
                    <w:ind w:firstLine="40"/>
                    <w:rPr>
                      <w:rFonts w:asciiTheme="majorBidi" w:hAnsiTheme="majorBidi" w:cstheme="majorBidi"/>
                      <w:sz w:val="18"/>
                      <w:szCs w:val="18"/>
                      <w:lang w:val="ro-RO"/>
                    </w:rPr>
                  </w:pPr>
                </w:p>
              </w:tc>
            </w:tr>
            <w:tr w:rsidR="00F02F76" w:rsidRPr="00C27D66" w:rsidTr="00670674">
              <w:trPr>
                <w:trHeight w:val="700"/>
              </w:trPr>
              <w:tc>
                <w:tcPr>
                  <w:tcW w:w="9781" w:type="dxa"/>
                  <w:shd w:val="clear" w:color="auto" w:fill="FFFFFF"/>
                  <w:hideMark/>
                </w:tcPr>
                <w:p w:rsidR="00F02F76" w:rsidRPr="00983016" w:rsidRDefault="00F02F76" w:rsidP="00670674">
                  <w:pPr>
                    <w:ind w:firstLine="40"/>
                    <w:jc w:val="both"/>
                    <w:rPr>
                      <w:rFonts w:asciiTheme="majorBidi" w:hAnsiTheme="majorBidi" w:cstheme="majorBidi"/>
                      <w:sz w:val="18"/>
                      <w:szCs w:val="18"/>
                      <w:lang w:val="ro-RO"/>
                    </w:rPr>
                  </w:pPr>
                  <w:r w:rsidRPr="00983016">
                    <w:rPr>
                      <w:rFonts w:asciiTheme="majorBidi" w:hAnsiTheme="majorBidi" w:cstheme="majorBidi"/>
                      <w:sz w:val="18"/>
                      <w:szCs w:val="18"/>
                      <w:lang w:val="ro-RO"/>
                    </w:rPr>
                    <w:lastRenderedPageBreak/>
                    <w:t>2) valoarea actuală a creșterii estimate a venitului reglementat sau a venitului-țintă al OST asociat capacității incrementale incluse în nivelul de ofertă respectiv, astfel cum a fost aprobată de Agenție în conformitate cu pct. 21-286;</w:t>
                  </w:r>
                </w:p>
                <w:p w:rsidR="00F02F76" w:rsidRPr="00983016" w:rsidRDefault="00F02F76" w:rsidP="00670674">
                  <w:pPr>
                    <w:ind w:firstLine="40"/>
                    <w:jc w:val="both"/>
                    <w:rPr>
                      <w:rFonts w:asciiTheme="majorBidi" w:hAnsiTheme="majorBidi" w:cstheme="majorBidi"/>
                      <w:sz w:val="18"/>
                      <w:szCs w:val="18"/>
                      <w:lang w:val="ro-RO"/>
                    </w:rPr>
                  </w:pPr>
                </w:p>
              </w:tc>
            </w:tr>
            <w:tr w:rsidR="00F02F76" w:rsidRPr="00C27D66" w:rsidTr="00670674">
              <w:tc>
                <w:tcPr>
                  <w:tcW w:w="9781" w:type="dxa"/>
                  <w:shd w:val="clear" w:color="auto" w:fill="FFFFFF"/>
                  <w:hideMark/>
                </w:tcPr>
                <w:p w:rsidR="00F02F76" w:rsidRPr="00983016" w:rsidRDefault="00F02F76" w:rsidP="00670674">
                  <w:pPr>
                    <w:ind w:left="2214" w:firstLine="40"/>
                    <w:jc w:val="both"/>
                    <w:rPr>
                      <w:rFonts w:asciiTheme="majorBidi" w:eastAsiaTheme="minorEastAsia" w:hAnsiTheme="majorBidi" w:cstheme="majorBidi"/>
                      <w:sz w:val="18"/>
                      <w:szCs w:val="18"/>
                      <w:lang w:val="ro-RO"/>
                    </w:rPr>
                  </w:pPr>
                </w:p>
                <w:p w:rsidR="00F02F76" w:rsidRPr="00983016" w:rsidRDefault="00F02F76" w:rsidP="00670674">
                  <w:pPr>
                    <w:ind w:firstLine="40"/>
                    <w:jc w:val="both"/>
                    <w:rPr>
                      <w:rFonts w:asciiTheme="majorBidi" w:hAnsiTheme="majorBidi" w:cstheme="majorBidi"/>
                      <w:sz w:val="18"/>
                      <w:szCs w:val="18"/>
                      <w:lang w:val="ro-RO"/>
                    </w:rPr>
                  </w:pPr>
                  <w:r w:rsidRPr="00983016">
                    <w:rPr>
                      <w:rFonts w:asciiTheme="majorBidi" w:hAnsiTheme="majorBidi" w:cstheme="majorBidi"/>
                      <w:sz w:val="18"/>
                      <w:szCs w:val="18"/>
                      <w:lang w:val="ro-RO"/>
                    </w:rPr>
                    <w:t>3)factorul f.</w:t>
                  </w:r>
                </w:p>
                <w:p w:rsidR="00F02F76" w:rsidRPr="00983016" w:rsidRDefault="00F02F76" w:rsidP="00670674">
                  <w:pPr>
                    <w:ind w:firstLine="40"/>
                    <w:jc w:val="both"/>
                    <w:rPr>
                      <w:rFonts w:asciiTheme="majorBidi" w:hAnsiTheme="majorBidi" w:cstheme="majorBidi"/>
                      <w:sz w:val="18"/>
                      <w:szCs w:val="18"/>
                      <w:lang w:val="ro-RO"/>
                    </w:rPr>
                  </w:pPr>
                </w:p>
                <w:p w:rsidR="00F02F76" w:rsidRPr="00983016" w:rsidRDefault="00F02F76" w:rsidP="00670674">
                  <w:pPr>
                    <w:ind w:firstLine="40"/>
                    <w:jc w:val="both"/>
                    <w:rPr>
                      <w:rFonts w:asciiTheme="majorBidi" w:hAnsiTheme="majorBidi" w:cstheme="majorBidi"/>
                      <w:sz w:val="18"/>
                      <w:szCs w:val="18"/>
                      <w:lang w:val="ro-RO"/>
                    </w:rPr>
                  </w:pPr>
                </w:p>
                <w:p w:rsidR="00F02F76" w:rsidRPr="00983016" w:rsidRDefault="00F02F76" w:rsidP="00670674">
                  <w:pPr>
                    <w:ind w:firstLine="40"/>
                    <w:jc w:val="both"/>
                    <w:rPr>
                      <w:rFonts w:asciiTheme="majorBidi" w:hAnsiTheme="majorBidi" w:cstheme="majorBidi"/>
                      <w:sz w:val="18"/>
                      <w:szCs w:val="18"/>
                      <w:lang w:val="ro-RO"/>
                    </w:rPr>
                  </w:pPr>
                </w:p>
              </w:tc>
            </w:tr>
          </w:tbl>
          <w:p w:rsidR="00F02F76" w:rsidRPr="00983016" w:rsidRDefault="00F02F76" w:rsidP="00670674">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251. Rezultatul aplicării testului economic este: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983016" w:rsidTr="00670674">
              <w:tc>
                <w:tcPr>
                  <w:tcW w:w="9781" w:type="dxa"/>
                  <w:shd w:val="clear" w:color="auto" w:fill="FFFFFF"/>
                  <w:hideMark/>
                </w:tcPr>
                <w:p w:rsidR="00F02F76" w:rsidRPr="00983016" w:rsidRDefault="00F02F76" w:rsidP="00670674">
                  <w:pPr>
                    <w:tabs>
                      <w:tab w:val="left" w:pos="851"/>
                    </w:tabs>
                    <w:jc w:val="both"/>
                    <w:rPr>
                      <w:rFonts w:asciiTheme="majorBidi" w:hAnsiTheme="majorBidi" w:cstheme="majorBidi"/>
                      <w:sz w:val="18"/>
                      <w:szCs w:val="18"/>
                      <w:lang w:val="ro-RO"/>
                    </w:rPr>
                  </w:pPr>
                  <w:r w:rsidRPr="00983016">
                    <w:rPr>
                      <w:rFonts w:asciiTheme="majorBidi" w:hAnsiTheme="majorBidi" w:cstheme="majorBidi"/>
                      <w:sz w:val="18"/>
                      <w:szCs w:val="18"/>
                      <w:lang w:val="ro-RO"/>
                    </w:rPr>
                    <w:t>1) pozitiv, atunci când valoarea parametrului stabilit la pct. 250  subpunct. 1) este cel puțin egală cu cota parte (%)in parametrul stabilit la pct. 250 subpunct. 2), astfel cum este definit de factorul </w:t>
                  </w:r>
                  <w:r w:rsidRPr="00983016">
                    <w:rPr>
                      <w:rFonts w:asciiTheme="majorBidi" w:hAnsiTheme="majorBidi" w:cstheme="majorBidi"/>
                      <w:i/>
                      <w:iCs/>
                      <w:sz w:val="18"/>
                      <w:szCs w:val="18"/>
                      <w:lang w:val="ro-RO"/>
                    </w:rPr>
                    <w:t>f</w:t>
                  </w:r>
                  <w:r w:rsidRPr="00983016">
                    <w:rPr>
                      <w:rFonts w:asciiTheme="majorBidi" w:hAnsiTheme="majorBidi" w:cstheme="majorBidi"/>
                      <w:sz w:val="18"/>
                      <w:szCs w:val="18"/>
                      <w:lang w:val="ro-RO"/>
                    </w:rPr>
                    <w:t>;</w:t>
                  </w:r>
                </w:p>
              </w:tc>
            </w:tr>
          </w:tbl>
          <w:p w:rsidR="00F02F76" w:rsidRPr="00983016" w:rsidRDefault="00F02F76" w:rsidP="00670674">
            <w:pPr>
              <w:tabs>
                <w:tab w:val="left" w:pos="851"/>
              </w:tabs>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jc w:val="both"/>
                    <w:rPr>
                      <w:rFonts w:asciiTheme="majorBidi" w:hAnsiTheme="majorBidi" w:cstheme="majorBidi"/>
                      <w:sz w:val="18"/>
                      <w:szCs w:val="18"/>
                      <w:lang w:val="ro-RO"/>
                    </w:rPr>
                  </w:pPr>
                  <w:r w:rsidRPr="00983016">
                    <w:rPr>
                      <w:rFonts w:asciiTheme="majorBidi" w:hAnsiTheme="majorBidi" w:cstheme="majorBidi"/>
                      <w:sz w:val="18"/>
                      <w:szCs w:val="18"/>
                      <w:lang w:val="ro-RO"/>
                    </w:rPr>
                    <w:t>2) negativ, atunci când valoarea parametrului stabilit la pct. 250 subpunct. 1) este mai mică decât ota parte (%) din parametrul stabilit la pct. 250 subpunct. 2), astfel cum este definit de factorul </w:t>
                  </w:r>
                  <w:r w:rsidRPr="00983016">
                    <w:rPr>
                      <w:rFonts w:asciiTheme="majorBidi" w:hAnsiTheme="majorBidi" w:cstheme="majorBidi"/>
                      <w:i/>
                      <w:iCs/>
                      <w:sz w:val="18"/>
                      <w:szCs w:val="18"/>
                      <w:lang w:val="ro-RO"/>
                    </w:rPr>
                    <w:t>f</w:t>
                  </w:r>
                  <w:r w:rsidRPr="00983016">
                    <w:rPr>
                      <w:rFonts w:asciiTheme="majorBidi" w:hAnsiTheme="majorBidi" w:cstheme="majorBidi"/>
                      <w:sz w:val="18"/>
                      <w:szCs w:val="18"/>
                      <w:lang w:val="ro-RO"/>
                    </w:rPr>
                    <w:t>.</w:t>
                  </w:r>
                </w:p>
              </w:tc>
            </w:tr>
          </w:tbl>
          <w:p w:rsidR="00F02F76" w:rsidRPr="00B91C10" w:rsidRDefault="00F02F76" w:rsidP="00670674">
            <w:pPr>
              <w:tabs>
                <w:tab w:val="left" w:pos="851"/>
              </w:tabs>
              <w:jc w:val="both"/>
              <w:outlineLvl w:val="0"/>
              <w:rPr>
                <w:rFonts w:asciiTheme="majorBidi" w:hAnsiTheme="majorBidi" w:cstheme="majorBidi"/>
                <w:b/>
                <w:sz w:val="18"/>
                <w:szCs w:val="18"/>
                <w:lang w:val="it-IT"/>
              </w:rPr>
            </w:pPr>
            <w:r w:rsidRPr="00690087">
              <w:rPr>
                <w:rFonts w:asciiTheme="majorBidi" w:hAnsiTheme="majorBidi" w:cstheme="majorBidi"/>
                <w:sz w:val="18"/>
                <w:szCs w:val="18"/>
                <w:lang w:val="ro-RO"/>
              </w:rPr>
              <w:t>252. Se demarează un proiect de capacitate incrementală în cazul în care testul economic dă</w:t>
            </w:r>
            <w:r w:rsidRPr="00B91C10">
              <w:rPr>
                <w:rFonts w:asciiTheme="majorBidi" w:hAnsiTheme="majorBidi" w:cstheme="majorBidi"/>
                <w:sz w:val="18"/>
                <w:szCs w:val="18"/>
                <w:lang w:val="ro-RO"/>
              </w:rPr>
              <w:t xml:space="preserve"> un rezultat pozitiv, la ambele părți ale unui punct de interconectare pentru cel puțin un nivel de ofertă care include capacitate incrementală. În cazul în care testul economic dă rezultate pozitive pentru mai mult de un nivel de ofertă, se utilizează nivelul de ofertă cu cel mai mare volum de capacitate care a dus la un rezultat pozitiv pentru a continua proiectul de capacitate incrementală până la intrarea în funcțiune. În cazul în care nu se obțin rezultate pozitive pentru niciun nivel de ofertă, se sistează procesul de capacitate incrementală.</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b/>
                <w:bCs/>
                <w:sz w:val="18"/>
                <w:szCs w:val="18"/>
              </w:rPr>
            </w:pP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CHAPTER V</w:t>
            </w: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INCREMENTAL CAPACITY PROCESS</w:t>
            </w:r>
          </w:p>
          <w:p w:rsidR="00F02F76" w:rsidRPr="00762584" w:rsidRDefault="00F02F76" w:rsidP="00782595">
            <w:pPr>
              <w:jc w:val="center"/>
              <w:rPr>
                <w:rFonts w:asciiTheme="majorBidi" w:hAnsiTheme="majorBidi" w:cstheme="majorBidi"/>
                <w:sz w:val="18"/>
                <w:szCs w:val="18"/>
              </w:rPr>
            </w:pPr>
            <w:r w:rsidRPr="00762584">
              <w:rPr>
                <w:rFonts w:asciiTheme="majorBidi" w:hAnsiTheme="majorBidi" w:cstheme="majorBidi"/>
                <w:sz w:val="18"/>
                <w:szCs w:val="18"/>
              </w:rPr>
              <w:t>Article 22</w:t>
            </w:r>
          </w:p>
          <w:p w:rsidR="00F02F76" w:rsidRPr="00B91C10" w:rsidRDefault="00F02F76" w:rsidP="00782595">
            <w:pPr>
              <w:jc w:val="center"/>
              <w:rPr>
                <w:rFonts w:asciiTheme="majorBidi" w:hAnsiTheme="majorBidi" w:cstheme="majorBidi"/>
                <w:sz w:val="18"/>
                <w:szCs w:val="18"/>
              </w:rPr>
            </w:pPr>
            <w:r w:rsidRPr="00B91C10">
              <w:rPr>
                <w:rFonts w:asciiTheme="majorBidi" w:hAnsiTheme="majorBidi" w:cstheme="majorBidi"/>
                <w:b/>
                <w:bCs/>
                <w:sz w:val="18"/>
                <w:szCs w:val="18"/>
              </w:rPr>
              <w:t>Economic test</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The economic test set out in this Article shall be carried out by the transmission system operator(s) or by the national regulatory authority, as decided by the national regulatory authority, for each offer level of an incremental capacity project after binding commitments of network users for contracting capacity have been obtained by the involved transmission system operators and shall consist of the following parameters: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present value of binding commitments of network users for contracting capacity, which is calculated as the discounted sum of the following parameters: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(i) the sum of the respective estimated reference prices and a potential auction premium and a potential mandatory minimum premium multiplied by the amount of contracted incremental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the sum of a potential auction premium and a potential mandatory minimum premium multiplied by the amount of available capacity that was contracted in combination with the incremental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present value of the estimated increase in the allowed or target revenue of the transmission system operator associated with the incremental capacity included in the respective offer level, as approved by the relevant national regulatory authority in accordance with Article 28(2);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f-factor.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outcome of the economic test application shall be: (a) positive, where the value of the parameter set out in paragraph 1(a) is at least equal to the share of t arameter set out in paragraph 1(b) as defined by the f-factor.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An incremental capacity project shall be initiated if the economic test has a positive outcome on both sides of an interconnection point for at least one offer level that includes incremental capacity. In case more than one offer level results in a positive outcome of the economic test, the offer level with the largest amount of capacity that resulted in a positive outcome shall be used for proceeding with the incremental capacity project towards commissioning. In case no offer level results in a positive outcome, the specific incremental capacity process shall be terminated.he parameter set out in paragraph 1(b) as defined by the f-factor; (b) negative, where the value of the parameter set out in paragraph 1(a) is lower than the share of the</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lastRenderedPageBreak/>
              <w:t>Articolul 23</w:t>
            </w:r>
          </w:p>
          <w:p w:rsidR="00F02F76" w:rsidRDefault="00F02F76" w:rsidP="00670674">
            <w:pPr>
              <w:shd w:val="clear" w:color="auto" w:fill="FFFFFF"/>
              <w:jc w:val="center"/>
              <w:rPr>
                <w:rFonts w:asciiTheme="majorBidi" w:hAnsiTheme="majorBidi" w:cstheme="majorBidi"/>
                <w:b/>
                <w:bCs/>
                <w:i/>
                <w:iCs/>
                <w:sz w:val="18"/>
                <w:szCs w:val="18"/>
                <w:lang w:val="en-GB"/>
              </w:rPr>
            </w:pPr>
            <w:r w:rsidRPr="00B91C10">
              <w:rPr>
                <w:rFonts w:asciiTheme="majorBidi" w:hAnsiTheme="majorBidi" w:cstheme="majorBidi"/>
                <w:b/>
                <w:bCs/>
                <w:sz w:val="18"/>
                <w:szCs w:val="18"/>
                <w:lang w:val="en-GB"/>
              </w:rPr>
              <w:t>Factorul </w:t>
            </w:r>
            <w:r w:rsidRPr="00B91C10">
              <w:rPr>
                <w:rFonts w:asciiTheme="majorBidi" w:hAnsiTheme="majorBidi" w:cstheme="majorBidi"/>
                <w:b/>
                <w:bCs/>
                <w:i/>
                <w:iCs/>
                <w:sz w:val="18"/>
                <w:szCs w:val="18"/>
                <w:lang w:val="en-GB"/>
              </w:rPr>
              <w:t>f</w:t>
            </w:r>
          </w:p>
          <w:p w:rsidR="00F02F76" w:rsidRPr="00B91C10" w:rsidRDefault="00F02F76" w:rsidP="00670674">
            <w:pPr>
              <w:shd w:val="clear" w:color="auto" w:fill="FFFFFF"/>
              <w:jc w:val="center"/>
              <w:rPr>
                <w:rFonts w:asciiTheme="majorBidi" w:hAnsiTheme="majorBidi" w:cstheme="majorBidi"/>
                <w:b/>
                <w:bCs/>
                <w:sz w:val="18"/>
                <w:szCs w:val="18"/>
                <w:lang w:val="en-GB"/>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Atunci când aplică testul economic menționat la articolul 22, autoritatea națională de reglementare stabilește nivelul factorului </w:t>
            </w:r>
            <w:r w:rsidRPr="00B91C10">
              <w:rPr>
                <w:rFonts w:asciiTheme="majorBidi" w:hAnsiTheme="majorBidi" w:cstheme="majorBidi"/>
                <w:i/>
                <w:iCs/>
                <w:sz w:val="18"/>
                <w:szCs w:val="18"/>
                <w:lang w:val="en-GB"/>
              </w:rPr>
              <w:t>f</w:t>
            </w:r>
            <w:r w:rsidRPr="00B91C10">
              <w:rPr>
                <w:rFonts w:asciiTheme="majorBidi" w:hAnsiTheme="majorBidi" w:cstheme="majorBidi"/>
                <w:sz w:val="18"/>
                <w:szCs w:val="18"/>
                <w:lang w:val="en-GB"/>
              </w:rPr>
              <w:t>pentru un nivel de ofertă dat, ținând seama de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2"/>
              <w:gridCol w:w="4867"/>
            </w:tblGrid>
            <w:tr w:rsidR="00F02F76" w:rsidRPr="00C27D66" w:rsidTr="00670674">
              <w:tc>
                <w:tcPr>
                  <w:tcW w:w="28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7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de capacitate tehnică rezervat în conformitate cu articolul 8 alineatele (8) și (9);</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externalitățile pozitive generate de proiectul de capacitate incrementală pe piață sau în cadrul rețelei de transport, sau în cazul amândurora;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durata angajamentelor obligatorii ale utilizatorilor rețelei pentru contractarea de capacitate în raport cu durata de viață economică a activului;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măsura în care se așteaptă ca cererea de capacitate stabilită în cadrul proiectului de capacitate incrementală să continue dincolo de sfârșitului orizontului de timp utilizat în cazul testului economic.</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Dacă testul economic dă un rezultat pozitiv, costurile investițiilor asociate cu capacitatea incrementală se reflectă într-o creștere a venitului autorizat sau a venitului-țintă în conformitate cu normele naționale aplicabile.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690087" w:rsidRDefault="00F02F76" w:rsidP="00670674">
            <w:pPr>
              <w:shd w:val="clear" w:color="auto" w:fill="FFFFFF"/>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2</w:t>
            </w:r>
          </w:p>
          <w:p w:rsidR="00F02F76" w:rsidRPr="00690087" w:rsidRDefault="00F02F76" w:rsidP="00670674">
            <w:pPr>
              <w:shd w:val="clear" w:color="auto" w:fill="FFFFFF"/>
              <w:jc w:val="center"/>
              <w:rPr>
                <w:rFonts w:asciiTheme="majorBidi" w:hAnsiTheme="majorBidi" w:cstheme="majorBidi"/>
                <w:b/>
                <w:bCs/>
                <w:i/>
                <w:iCs/>
                <w:sz w:val="18"/>
                <w:szCs w:val="18"/>
                <w:lang w:val="ro-RO"/>
              </w:rPr>
            </w:pPr>
            <w:r w:rsidRPr="00690087">
              <w:rPr>
                <w:rFonts w:asciiTheme="majorBidi" w:hAnsiTheme="majorBidi" w:cstheme="majorBidi"/>
                <w:b/>
                <w:bCs/>
                <w:sz w:val="18"/>
                <w:szCs w:val="18"/>
                <w:lang w:val="ro-RO"/>
              </w:rPr>
              <w:t>Factorul </w:t>
            </w:r>
            <w:r w:rsidRPr="00690087">
              <w:rPr>
                <w:rFonts w:asciiTheme="majorBidi" w:hAnsiTheme="majorBidi" w:cstheme="majorBidi"/>
                <w:b/>
                <w:bCs/>
                <w:i/>
                <w:iCs/>
                <w:sz w:val="18"/>
                <w:szCs w:val="18"/>
                <w:lang w:val="ro-RO"/>
              </w:rPr>
              <w:t>f</w:t>
            </w:r>
          </w:p>
          <w:p w:rsidR="00F02F76" w:rsidRPr="00690087" w:rsidRDefault="00F02F76" w:rsidP="00670674">
            <w:pPr>
              <w:shd w:val="clear" w:color="auto" w:fill="FFFFFF"/>
              <w:jc w:val="center"/>
              <w:rPr>
                <w:rFonts w:asciiTheme="majorBidi" w:hAnsiTheme="majorBidi" w:cstheme="majorBidi"/>
                <w:b/>
                <w:bCs/>
                <w:i/>
                <w:iCs/>
                <w:sz w:val="18"/>
                <w:szCs w:val="18"/>
                <w:lang w:val="ro-RO"/>
              </w:rPr>
            </w:pPr>
          </w:p>
          <w:p w:rsidR="00F02F76" w:rsidRPr="00690087" w:rsidRDefault="00F02F76" w:rsidP="00670674">
            <w:pPr>
              <w:tabs>
                <w:tab w:val="left" w:pos="567"/>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253. Atunci când aplică testul economic menționat la pct. 250 – 252, Agenția stabilește nivelul factorului f-pentru un nivel de ofertă dat, ținând seama de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p>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1) volumul de capacitate tehnică rezervat în conformitate cu pct. 143 și144;</w:t>
                  </w:r>
                </w:p>
              </w:tc>
            </w:tr>
          </w:tbl>
          <w:p w:rsidR="00F02F76" w:rsidRPr="00690087" w:rsidRDefault="00F02F76" w:rsidP="00670674">
            <w:pPr>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2) externalitățile pozitive generate de proiectul de capacitate incrementală pe piață sau în cadrul rețelei de transport, sau în cazul amândurora;</w:t>
                  </w:r>
                </w:p>
              </w:tc>
            </w:tr>
          </w:tbl>
          <w:p w:rsidR="00F02F76" w:rsidRPr="00690087" w:rsidRDefault="00F02F76" w:rsidP="00670674">
            <w:pPr>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3) durata angajamentelor obligatorii ale utilizatorilor de sistem pentru contractarea de capacitate  în raport cu durata de viață economică a activului;</w:t>
                  </w:r>
                </w:p>
              </w:tc>
            </w:tr>
          </w:tbl>
          <w:p w:rsidR="00F02F76" w:rsidRPr="00690087" w:rsidRDefault="00F02F76" w:rsidP="00670674">
            <w:pPr>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4) Probabilitatea ca cererea de capacitate stabilită în cadrul proiectului de capacitate incrementală să continue dincolo de sfârșitului perioadei de timp utilizat în cazul testului economic.</w:t>
                  </w: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254.Dacă testul economic dă un rezultat pozitiv, costurile investițiilor asociate cu capacitatea incrementală se reflectă într-o creștere a venitului reglementat sau a venitului-țintă în conformitate cu normele naționale aplicabile.</w:t>
            </w:r>
          </w:p>
          <w:p w:rsidR="00F02F76" w:rsidRPr="00690087"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Compatibil</w:t>
            </w:r>
          </w:p>
        </w:tc>
        <w:tc>
          <w:tcPr>
            <w:tcW w:w="4253" w:type="dxa"/>
          </w:tcPr>
          <w:p w:rsidR="00F02F76" w:rsidRPr="00762584" w:rsidRDefault="00F02F76" w:rsidP="00782595">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23</w:t>
            </w: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The f-factor</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When applying the economic test referred to in Article 22, the national regulatory authority shall set the level of the f-factor for a given offer level, taking into account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amount of technical capacity set aside in accordance with Article 8(8) and (9);</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positive externalities of the incremental capacity project on the market or the transmission network, or both; (c) the duration of binding commitments of </w:t>
            </w:r>
            <w:r w:rsidRPr="00B91C10">
              <w:rPr>
                <w:rFonts w:asciiTheme="majorBidi" w:hAnsiTheme="majorBidi" w:cstheme="majorBidi"/>
                <w:sz w:val="18"/>
                <w:szCs w:val="18"/>
              </w:rPr>
              <w:lastRenderedPageBreak/>
              <w:t xml:space="preserve">network users for contracting capacity compared to the economic life of the asset;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the extent to which the demand for the capacity established in the incremental capacity project can be expected to continue after the end of the time horizon used in the economic test.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 If the economic test has a positive outcome then the investment costs associated with the incremental capacity shall be reflected in an increase in the allowed or target revenue in accordance with the applicable national rules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24</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Comasarea într-un test economic unic</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Pentru a facilita oferirea de produse de capacitate agregată, parametrii individuali ai testului economic utilizați de operatorii de transport și de sistem pentru un nivel de ofertă dat sunt comasați într-un test economic unic.</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Testul economic unic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valoarea actuală a angajamentelor obligatorii ale utilizatorilor rețelei pentru contractarea de capacitate agregată, care reprezintă suma valorilor calculate în conformitate cu articolul 22 alineatul (1) litera (a) de către operatorii de transport și de sistem implicați;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suma valorilor individuale actuale ale creșterii estimate în ceea ce privește venitul autorizat sau venitul-țintă al operatorilor de transport și de sistem implicați, care este atribuibilă capacității incrementale ale unui nivel de ofertă specific;</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 ce definește partea din parametru prevăzută la litera (b) care trebuie acoperită de parametrul stabilit la litera (a) și care le permite tuturor operatorilor de transport și de sistem implicați să acopere, în mod individual, părțile lor respective, definite în prealabil.</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Rezultatul aplicării testului economic unic este pozitiv dacă toate testele economice de fond duc la rezultate pozitive, astfel cum se prevede la articolul 22 alineatul (2) litera (a), ținând seama de o posibilă redistribuire a veniturilor în conformitate cu alineatele (4) și (5). În caz contrar, rezultatul aplicării testului economic este negativ.</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cazul în care o redistribuire a veniturilor ar putea duce la o scădere a nivelului de angajamente obligatorii ale utilizatorilor rețelei pentru contractarea de capacitate necesar pentru un rezultat pozitiv al testului economic unic, operatorii de transport și de sistem pot transmite autorităților naționale de reglementare relevante, în vederea unor aprobări coordonate, mecanismele de redistribuire a veniturilor provenind din capacitatea incrementală.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O redistribuire a veniturilor poate fi efectuată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5"/>
              <w:gridCol w:w="4894"/>
            </w:tblGrid>
            <w:tr w:rsidR="00F02F76" w:rsidRPr="00C27D66" w:rsidTr="00670674">
              <w:tc>
                <w:tcPr>
                  <w:tcW w:w="2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timpul procesului de comasare a parametrilor individuali ai testului economic într-un test economic unic;</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testul economic unic dă un rezultat negativ, în timp ce, simultan, nivelul angajamentului obligatoriu al utilizatorilor rețelei privind contractarea de capacitate depășește minimul necesar pentru acoperirea valorii actuale individuale a creșterii venitului autorizat sau a venitului-țintă pentru cel puțin unul dintre operatorii de transport și de sistem implicați.</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690087" w:rsidRDefault="00F02F76" w:rsidP="00670674">
            <w:pPr>
              <w:shd w:val="clear" w:color="auto" w:fill="FFFFFF"/>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3</w:t>
            </w:r>
          </w:p>
          <w:p w:rsidR="00F02F76" w:rsidRPr="00690087" w:rsidRDefault="00F02F76" w:rsidP="00670674">
            <w:pPr>
              <w:shd w:val="clear" w:color="auto" w:fill="FFFFFF"/>
              <w:jc w:val="center"/>
              <w:rPr>
                <w:rFonts w:asciiTheme="majorBidi" w:hAnsiTheme="majorBidi" w:cstheme="majorBidi"/>
                <w:b/>
                <w:bCs/>
                <w:sz w:val="18"/>
                <w:szCs w:val="18"/>
                <w:lang w:val="ro-RO"/>
              </w:rPr>
            </w:pPr>
            <w:r w:rsidRPr="00690087">
              <w:rPr>
                <w:rFonts w:asciiTheme="majorBidi" w:hAnsiTheme="majorBidi" w:cstheme="majorBidi"/>
                <w:b/>
                <w:bCs/>
                <w:sz w:val="18"/>
                <w:szCs w:val="18"/>
                <w:lang w:val="ro-RO"/>
              </w:rPr>
              <w:t>Comasarea într-un test economic unic</w:t>
            </w:r>
          </w:p>
          <w:p w:rsidR="00F02F76" w:rsidRPr="00690087" w:rsidRDefault="00F02F76" w:rsidP="00670674">
            <w:pPr>
              <w:shd w:val="clear" w:color="auto" w:fill="FFFFFF"/>
              <w:jc w:val="center"/>
              <w:rPr>
                <w:rFonts w:asciiTheme="majorBidi" w:hAnsiTheme="majorBidi" w:cstheme="majorBidi"/>
                <w:b/>
                <w:bCs/>
                <w:sz w:val="18"/>
                <w:szCs w:val="18"/>
                <w:lang w:val="ro-RO"/>
              </w:rPr>
            </w:pPr>
          </w:p>
          <w:p w:rsidR="00F02F76" w:rsidRPr="00690087" w:rsidRDefault="00F02F76" w:rsidP="00670674">
            <w:pPr>
              <w:tabs>
                <w:tab w:val="left" w:pos="567"/>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255. Pentru a facilita oferirea de produse de capacitate agregată, parametrii individuali ai testului economic utilizați de OST pentru un nivel de ofertă dat sunt comasați într-un test economic unic.</w:t>
            </w:r>
          </w:p>
          <w:p w:rsidR="00F02F76" w:rsidRPr="00690087" w:rsidRDefault="00F02F76" w:rsidP="00670674">
            <w:pPr>
              <w:tabs>
                <w:tab w:val="left" w:pos="567"/>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256.Testul economic unic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690087" w:rsidTr="00670674">
              <w:tc>
                <w:tcPr>
                  <w:tcW w:w="9781" w:type="dxa"/>
                  <w:shd w:val="clear" w:color="auto" w:fill="FFFFFF"/>
                  <w:hideMark/>
                </w:tcPr>
                <w:p w:rsidR="00F02F76" w:rsidRPr="00690087" w:rsidRDefault="00F02F76" w:rsidP="00670674">
                  <w:pPr>
                    <w:jc w:val="both"/>
                    <w:rPr>
                      <w:rFonts w:asciiTheme="majorBidi" w:hAnsiTheme="majorBidi" w:cstheme="majorBidi"/>
                      <w:sz w:val="18"/>
                      <w:szCs w:val="18"/>
                      <w:lang w:val="ro-RO"/>
                    </w:rPr>
                  </w:pPr>
                  <w:r w:rsidRPr="00690087">
                    <w:rPr>
                      <w:rFonts w:asciiTheme="majorBidi" w:hAnsiTheme="majorBidi" w:cstheme="majorBidi"/>
                      <w:sz w:val="18"/>
                      <w:szCs w:val="18"/>
                      <w:lang w:val="ro-RO"/>
                    </w:rPr>
                    <w:t>1) valoarea actuală a angajamentelor obligatorii ale utilizatorilor de sistem pentru capacitate contractarea capacității agregate, care reprezintă suma valorilor calculate în conformitate cu pct. 250 subpunct. 1) de către OST implicați;</w:t>
                  </w:r>
                </w:p>
              </w:tc>
            </w:tr>
          </w:tbl>
          <w:p w:rsidR="00F02F76" w:rsidRPr="00690087"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jc w:val="both"/>
                    <w:rPr>
                      <w:rFonts w:asciiTheme="majorBidi" w:hAnsiTheme="majorBidi" w:cstheme="majorBidi"/>
                      <w:sz w:val="18"/>
                      <w:szCs w:val="18"/>
                      <w:lang w:val="ro-RO"/>
                    </w:rPr>
                  </w:pPr>
                  <w:r w:rsidRPr="00690087">
                    <w:rPr>
                      <w:rFonts w:asciiTheme="majorBidi" w:hAnsiTheme="majorBidi" w:cstheme="majorBidi"/>
                      <w:sz w:val="18"/>
                      <w:szCs w:val="18"/>
                      <w:lang w:val="ro-RO"/>
                    </w:rPr>
                    <w:t>2) suma valorilor individuale actuale ale creșterii estimate în ceea ce privește venitul reglementat sau venitul-țintă al OST implicați, care este atribuibilă capacității incrementale ale unui nivel de ofertă specific;</w:t>
                  </w:r>
                </w:p>
              </w:tc>
            </w:tr>
          </w:tbl>
          <w:p w:rsidR="00F02F76" w:rsidRPr="00690087"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jc w:val="both"/>
                    <w:rPr>
                      <w:rFonts w:asciiTheme="majorBidi" w:hAnsiTheme="majorBidi" w:cstheme="majorBidi"/>
                      <w:sz w:val="18"/>
                      <w:szCs w:val="18"/>
                      <w:lang w:val="ro-RO"/>
                    </w:rPr>
                  </w:pPr>
                  <w:r w:rsidRPr="00690087">
                    <w:rPr>
                      <w:rFonts w:asciiTheme="majorBidi" w:hAnsiTheme="majorBidi" w:cstheme="majorBidi"/>
                      <w:sz w:val="18"/>
                      <w:szCs w:val="18"/>
                      <w:lang w:val="ro-RO"/>
                    </w:rPr>
                    <w:t>3) factorul </w:t>
                  </w:r>
                  <w:r w:rsidRPr="00690087">
                    <w:rPr>
                      <w:rFonts w:asciiTheme="majorBidi" w:hAnsiTheme="majorBidi" w:cstheme="majorBidi"/>
                      <w:i/>
                      <w:iCs/>
                      <w:sz w:val="18"/>
                      <w:szCs w:val="18"/>
                      <w:lang w:val="ro-RO"/>
                    </w:rPr>
                    <w:t>f</w:t>
                  </w:r>
                  <w:r w:rsidRPr="00690087">
                    <w:rPr>
                      <w:rFonts w:asciiTheme="majorBidi" w:hAnsiTheme="majorBidi" w:cstheme="majorBidi"/>
                      <w:sz w:val="18"/>
                      <w:szCs w:val="18"/>
                      <w:lang w:val="ro-RO"/>
                    </w:rPr>
                    <w:t>, ce definește cota parte (%) din parametru prevăzută la subpunct. 2) care trebuie acoperită de parametrul stabilit la  pct. 261  subpunct 1) și care le permite tuturor OST implicați să acopere, în mod individual, părțile lor respective, definite în prealabil.</w:t>
                  </w:r>
                </w:p>
                <w:p w:rsidR="00F02F76" w:rsidRPr="00690087" w:rsidRDefault="00F02F76" w:rsidP="00670674">
                  <w:pPr>
                    <w:jc w:val="both"/>
                    <w:rPr>
                      <w:rFonts w:asciiTheme="majorBidi" w:hAnsiTheme="majorBidi" w:cstheme="majorBidi"/>
                      <w:sz w:val="18"/>
                      <w:szCs w:val="18"/>
                      <w:lang w:val="ro-RO"/>
                    </w:rPr>
                  </w:pP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257.Rezultatul aplicării testului economic unic este pozitiv dacă toate testele economice de fond duc la rezultate pozitive, astfel cum se prevede la  pct. 251  subpunct. 1), ținând cont de o posibilă redistribuire a veniturilor în conformitate cu pct. 258 și 259. În caz contrar, rezultatul aplicării testului economic este negativ.</w:t>
            </w: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258.În cazul în care o redistribuire a veniturilor ar putea duce la o scădere a nivelului de angajamente obligatorii ale utilizatorilor de sistem pentru contractarea capacității necesare pentru un rezultat pozitiv al testului economic unic, OST pot transmite autorităților naționale de reglementare </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relevante, în vederea unor aprobări coordonate, mecanismele de redistribuire a veniturilor ce provin din capacitatea incrementală</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259.O redistribuire a veniturilor poate fi efectuată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1) în timpul procesului de comasare a parametrilor individuali ai testului economic într-un test economic unic;</w:t>
                  </w:r>
                </w:p>
              </w:tc>
            </w:tr>
          </w:tbl>
          <w:p w:rsidR="00F02F76" w:rsidRPr="00690087" w:rsidRDefault="00F02F76" w:rsidP="00670674">
            <w:pPr>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41"/>
                    <w:jc w:val="both"/>
                    <w:rPr>
                      <w:rFonts w:asciiTheme="majorBidi" w:hAnsiTheme="majorBidi" w:cstheme="majorBidi"/>
                      <w:sz w:val="18"/>
                      <w:szCs w:val="18"/>
                      <w:lang w:val="ro-RO"/>
                    </w:rPr>
                  </w:pPr>
                </w:p>
                <w:p w:rsidR="00F02F76" w:rsidRPr="00690087" w:rsidRDefault="00F02F76" w:rsidP="00670674">
                  <w:pPr>
                    <w:ind w:firstLine="41"/>
                    <w:jc w:val="both"/>
                    <w:rPr>
                      <w:rFonts w:asciiTheme="majorBidi" w:hAnsiTheme="majorBidi" w:cstheme="majorBidi"/>
                      <w:sz w:val="18"/>
                      <w:szCs w:val="18"/>
                      <w:lang w:val="ro-RO"/>
                    </w:rPr>
                  </w:pPr>
                </w:p>
                <w:p w:rsidR="00F02F76" w:rsidRPr="00690087" w:rsidRDefault="00F02F76" w:rsidP="00670674">
                  <w:pPr>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2) în cazul în care testul economic unic dă un rezultat negativ, în timp ce, simultan, nivelul angajamentului obligatoriu al utilizatorilor de sistem privind contractarea capacității depășește minimul necesar pentru acoperirea valorii actuale individuale a creșterii venitului reglementat sau a venitului-țintă pentru cel puțin unul dintre OST implicați.</w:t>
                  </w:r>
                </w:p>
                <w:p w:rsidR="00F02F76" w:rsidRPr="00690087" w:rsidRDefault="00F02F76" w:rsidP="00670674">
                  <w:pPr>
                    <w:ind w:firstLine="41"/>
                    <w:jc w:val="both"/>
                    <w:rPr>
                      <w:rFonts w:asciiTheme="majorBidi" w:hAnsiTheme="majorBidi" w:cstheme="majorBidi"/>
                      <w:sz w:val="18"/>
                      <w:szCs w:val="18"/>
                      <w:lang w:val="ro-RO"/>
                    </w:rPr>
                  </w:pPr>
                </w:p>
              </w:tc>
            </w:tr>
          </w:tbl>
          <w:p w:rsidR="00F02F76" w:rsidRPr="00690087"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 xml:space="preserve">Article 24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Combination into single economic test</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In order to facilitate the offer of bundled capacity products, individual economic test parameters of the involved transmission system operators for a given offer level shall be combined into a single economic test.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single economic test shall consist of the following parameters: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present value of binding commitments of network users for contracting bundled capacity, which is the sum of the values according to Article 22(1)(a) of the involved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sum of the individual present values of the estimated increase in the allowed or target revenue of the involved transmission system operators that is attributable to the incremental capacity of a respective offer level;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f-factor that defines the share of the parameter set out in point (b) that needs to be covered by the parameter set out in point (a) and allows all the involved transmission system operators individually to cover their upfront defined respective shares.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outcome of the single economic test application shall be positive where all underlying economic tests result in positive outcomes as set out in Article 22(2)(a) taking into account a possible redistribution of revenues according to paragraphs 4 and 5. Otherwise, the outcome of the single economic test application shall be negative. 4. In case a redistribution of revenues could potentially lead to a decrease in the level of binding commitments of network users for contracting capacity required for a positive single economic test outcome, transmission system operators may submit to the relevant national regulatory authorities for coordinated approvals the </w:t>
            </w:r>
            <w:r w:rsidRPr="00B91C10">
              <w:rPr>
                <w:rFonts w:asciiTheme="majorBidi" w:hAnsiTheme="majorBidi" w:cstheme="majorBidi"/>
                <w:sz w:val="18"/>
                <w:szCs w:val="18"/>
              </w:rPr>
              <w:lastRenderedPageBreak/>
              <w:t xml:space="preserve">mechanisms for a redistribution of revenues from incremental capacity.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5. A redistribution of revenues may be carried out as follows: (a) during the process of integrating the individual economic test parameters into a single economic test; (b) in case the single economic test has a negative outcome while at the same time the level of binding commitment of network users for contracting capacity exceeds the minimum required to cover the individual present value of the increase in the allowed or target revenue for at least one of the involved transmission system operators.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25</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Cerințele de publicare referitoare la testul economic</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cazul unui proiect de capacitate incrementală dat, operatorul (operatorii) sistemului (sistemelor) de transport prezintă autorității (autorităților) naționale de reglementare relevante, spre aprobare, următoarele informații pentru fiecare nivel de ofertă: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prețurile de referință estimate pentru orizontul de timp al ofertei inițiale de capacitate incrementală utilizate pentru calculul parametrului prevăzut la articolul 22 alineatul (1) litera (a) și la articolul 24 alineatul (2) litera (a), în cazul în care se aplică un test economic separat sau, respectiv, un test economic unic;</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parametrii prevăzuți la articolul 22 alineatul (1) literele (b)-(c) și la articolul 24 alineatul (2) literele (b)-(c), în cazul în care se aplică un test economic separat sau, respectiv, un test economic unic;</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este cazul, intervalul în care se situează nivelul primei minime obligatorii menționate la articolul 33 alineatul (4) din Regulamentul (UE) 2017/460 pentru fiecare nivel de ofertă și pentru fiecare punct de interconectare, aplicată în cadrul primei licitații și, eventual, în cadrul licitațiilor ulterioare în care se oferă capacitate incrementală în modul definit la articolul 33 alineatul (3) din Regulamentul (UE) 2017/460.</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urma aprobării de către autoritatea (autoritățile) națională(e) de reglementare relevantă(e), operatorul (operatorii) sistemului (sistemelor) de transport implicat (implicați) trebuie să publice informațiile prevăzute la alineatul (1), astfel cum se prevede la articolul 28 alineatul (3).</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4</w:t>
            </w:r>
          </w:p>
          <w:p w:rsidR="00F02F76"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Cerințele de publicare referitoare la testul economic</w:t>
            </w:r>
          </w:p>
          <w:p w:rsidR="00F02F76" w:rsidRPr="00B91C10" w:rsidRDefault="00F02F76" w:rsidP="00670674">
            <w:pPr>
              <w:shd w:val="clear" w:color="auto" w:fill="FFFFFF"/>
              <w:jc w:val="center"/>
              <w:rPr>
                <w:rFonts w:asciiTheme="majorBidi" w:hAnsiTheme="majorBidi" w:cstheme="majorBidi"/>
                <w:b/>
                <w:bCs/>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.În cazul unui anumit proiect de capacitate incrementală, OST prezintă Agenției spre </w:t>
            </w:r>
            <w:r w:rsidRPr="00690087">
              <w:rPr>
                <w:rFonts w:asciiTheme="majorBidi" w:hAnsiTheme="majorBidi" w:cstheme="majorBidi"/>
                <w:sz w:val="18"/>
                <w:szCs w:val="18"/>
                <w:lang w:val="ro-RO"/>
              </w:rPr>
              <w:t>aprobare următoarele informații pentru fiecare nivel de ofertă: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prețurile de referință estimate pentru termenul ofertei inițiale de capacitate incrementală utilizate pentru calculul parametrului prevăzut la  pct. 250  subpunct 1) și la pct. 256 subpunct 1), în cazul în care se aplică un test economic separat sau, respectiv, un test economic unic;</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parametrii prevăzuți la pct. 250 subpunct 2)-3) și la pct. 256 subpunct 2)-3), în cazul în care se aplică un test economic separat sau, respectiv, un test economic unic;</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dacă este cazul, intervalul în care se situează nivelul primei minime obligatorii menționate la pct. 421 pentru fiecare nivel de ofertă și pentru fiecare punct de interconectare, aplicată în cadrul primei licitații și, eventual, în cadrul licitațiilor ulterioare în care se oferă capacitate incrementală în modul definit la pct. 420.</w:t>
                  </w: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257. După aprobarea de către Agenție, OST implicat trebuie să publice informațiile prevăzute la pct 260, astfel cum se prevede la pct. 286.</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782595">
            <w:pPr>
              <w:jc w:val="center"/>
              <w:rPr>
                <w:rFonts w:asciiTheme="majorBidi" w:hAnsiTheme="majorBidi" w:cstheme="majorBidi"/>
                <w:sz w:val="18"/>
                <w:szCs w:val="18"/>
              </w:rPr>
            </w:pPr>
            <w:r w:rsidRPr="00762584">
              <w:rPr>
                <w:rFonts w:asciiTheme="majorBidi" w:hAnsiTheme="majorBidi" w:cstheme="majorBidi"/>
                <w:sz w:val="18"/>
                <w:szCs w:val="18"/>
              </w:rPr>
              <w:t>Article 25</w:t>
            </w: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Publication requirements relating to the economic test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For a given incremental capacity project, the transmission system operator(s) shall submit to the relevant national regulatory authority(-ies) for approval the following information for each offer level: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reference prices estimated for the time horizon of the initial offer of incremental capacity that are used for the calculation of the parameter set out in Article 22(1)(a) and 24(2)(a), respectively in case separate or a single economic test is applied;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parameters set out in Article 22(1)(b) to (c) and 24(2)(b) to (c), respectively in case separate or a single economic test is applied;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if applicable, the range of the level for the mandatory minimum premium referred to in Article 33(4) of Regulation (EU) 2017/460 for each offer level and interconnection point applied in the first auction and possibly in subsequent auctions in which the incremental capacity is offered as defined in Article 33(3) of Regulation (EU) 2017/460.</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2. Following the approval by the relevant national regulatory authority(-ies), the information set out in paragraph 1 shall be published by the involved transmission system operator(s) as set out in Article 28(3).</w:t>
            </w:r>
          </w:p>
        </w:tc>
      </w:tr>
      <w:tr w:rsidR="00F02F76" w:rsidRPr="00B91C10" w:rsidTr="00670674">
        <w:trPr>
          <w:trHeight w:val="3116"/>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26</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Evaluarea cererii de pe piață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Imediat după începerea licitației anuale a capacității anuale cel puțin în fiecare an impar, operatorii de transport și de sistem cooperează în cadrul proceselor de evaluare a cererii de pe piață de capacitate incrementală și efectuează studii tehnice pentru proiectele de capacitate incrementală pentru punctele lor comune de interconectare. Prima evaluare a cererii va fi efectuată în 2017, începând cu intrarea în vigoare a prezentului regulament.</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termen de cel mult opt săptămâni de la începerea licitației anuale a capacității anuale, cel puțin în fiecare an impar, operatorii de transport și de sistem în cauză aflați de fiecare parte a graniței unui sistem de intrare/ieșire elaborează rapoarte comune de evaluare a cererii de pe piață, fiecare dintre acestea acoperind toate punctele de interconectare aflate la cel puțin una dintre granițele unui sistem de intrare/ieșire. Raportul de evaluare a pieței evaluează cererea estimată de capacitate incrementală de la nivelul tuturor utilizatorilor rețelei, în conformitate cu alineatul (8), și precizează dacă se inițiază un proiect de capacitate incrementală.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Raportul de evaluare a cererii de pe piață se publică în una sau mai multe limbi oficiale ale statului membru și, în măsura posibilului, în engleză, pe site-urile web ale operatorilor de transport și de sistem în cauză, în termen de cel mult 16 săptămâni de la începerea licitației anuale a capacității anuale, cel puțin în fiecare an impar.</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ENTSOG coordonează și sprijină realizarea rapoartelor de evaluare a cererii, inclusiv prin furnizarea unui model standard și prin publicarea rapoartelor pe site-ul web al ENTSOG.</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cazul în care utilizatorii rețelei își depun cererea de capacitate în termen de cel mult 8 săptămâni de la începerea licitației anuale a capacității anuale în anii cu număr par, operatorii de transport și de sistem în cauză pot conveni să efectueze o evaluare a cererii de pe piață și într-un an par,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procesul prevăzut la articolele 26-30 să poată fi încheiat înainte de începutul următorului ciclu de evaluare a cererii menționat la alineatul (1);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4745"/>
            </w:tblGrid>
            <w:tr w:rsidR="00F02F76" w:rsidRPr="00C27D66" w:rsidTr="00670674">
              <w:tc>
                <w:tcPr>
                  <w:tcW w:w="51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42"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 respectivul calendar al licitației să fie respectat.</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Operatorii de transport și de sistem examinează indiciile neobligatorii privind cererea depuse în termen de cel mult 8 săptămâni de la începerea licitației anuale în cadrul evaluării în curs a cererii de pe piață.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(7)   Operatorii de transport și de sistem pot lua în considerare indiciile neobligatorii privind cererea depuse după termenul stabilit la alineatul (6) în cadrul evaluării în curs a cererii de pe piață sau pot să le introducă în următoarea evaluare a cererii de pe piață.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Indiciile neobligatorii privind cererea menționate la alineatele (6) și (7) trebuie să conțină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cele două sau mai multe sisteme de intrare/ieșire adiacente pentru care s-a formulat cererea de capacitate incrementală – la una sau la ambele părți ale unui punct de interconectare – precum și direcția solicitată;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843"/>
            </w:tblGrid>
            <w:tr w:rsidR="00F02F76" w:rsidRPr="00B91C10" w:rsidTr="00670674">
              <w:tc>
                <w:tcPr>
                  <w:tcW w:w="3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2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anul (anii) gazier(i) pentru care s-a formulat cererea de capacitate incrementală;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2"/>
              <w:gridCol w:w="4837"/>
            </w:tblGrid>
            <w:tr w:rsidR="00F02F76" w:rsidRPr="00C27D66" w:rsidTr="00670674">
              <w:tc>
                <w:tcPr>
                  <w:tcW w:w="34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1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de capacitate solicitat între sistemele de intrare/ieșire respective;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referitoare la indiciile neobligatorii privind cererea care au fost sau care vor fi prezentate altor operatori de transport și de sistem, în cazul în care aceste indicii sunt legate între ele, cum ar fi cererea de capacități în mai multe puncte de interconectare asociate.</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782595" w:rsidRDefault="00782595"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Pr>
                <w:rFonts w:asciiTheme="majorBidi" w:hAnsiTheme="majorBidi" w:cstheme="majorBidi"/>
                <w:sz w:val="18"/>
                <w:szCs w:val="18"/>
                <w:lang w:val="it-IT"/>
              </w:rPr>
              <w:t>(9)</w:t>
            </w:r>
            <w:r w:rsidRPr="00B91C10">
              <w:rPr>
                <w:rFonts w:asciiTheme="majorBidi" w:hAnsiTheme="majorBidi" w:cstheme="majorBidi"/>
                <w:sz w:val="18"/>
                <w:szCs w:val="18"/>
                <w:lang w:val="it-IT"/>
              </w:rPr>
              <w:t> Utilizatorii rețelei indică dacă cererea lor face obiectul unor condiții în legătură cu alineatul (8) literele (a)-(d).</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lang w:val="it-IT"/>
              </w:rPr>
              <w:t xml:space="preserve">(10)   Operatorii de transport și de sistem răspund indiciilor neobligatorii privind cererea în termen de 16 săptămâni de la începerea licitațiilor anuale sau în termen de opt săptămâni de la primirea indiciilor privind cererea în conformitate cu alineatul (7). </w:t>
            </w:r>
            <w:r w:rsidRPr="00B91C10">
              <w:rPr>
                <w:rFonts w:asciiTheme="majorBidi" w:hAnsiTheme="majorBidi" w:cstheme="majorBidi"/>
                <w:sz w:val="18"/>
                <w:szCs w:val="18"/>
              </w:rPr>
              <w:t>Răspunsul trebuie să includă cel puțin următoarele elemente:</w:t>
            </w:r>
          </w:p>
          <w:p w:rsidR="00F02F76" w:rsidRPr="00B91C10" w:rsidRDefault="00F02F76" w:rsidP="00670674">
            <w:pPr>
              <w:shd w:val="clear" w:color="auto" w:fill="FFFFFF"/>
              <w:jc w:val="both"/>
              <w:rPr>
                <w:rFonts w:asciiTheme="majorBidi" w:hAnsiTheme="majorBidi" w:cstheme="majorBidi"/>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4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cererea indicată poate fi luată în considerare de operatorul de transport și de sistem în cadrul procesului în curs; sau</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în cazul unor indicii privind cererea în conformitate cu alineatul (7), acestea sunt insuficiente pentru a se lua în considerare inițierea unui proces de capacitate incrementală în conformitate cu alineatul (5); sau</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în cadrul cărui raport de evaluare a cererii de pe piață, în conformitate cu alineatul (3), va fi evaluată cererea, cu condiția ca cererea indicată să nu poate fi luată în considerare în conformitate cu litera (a) sau (b), fapt care trebuie justificat.</w:t>
                  </w:r>
                </w:p>
                <w:p w:rsidR="00F02F76" w:rsidRPr="00B91C10" w:rsidRDefault="00F02F76" w:rsidP="00670674">
                  <w:pPr>
                    <w:jc w:val="both"/>
                    <w:rPr>
                      <w:rFonts w:asciiTheme="majorBidi" w:hAnsiTheme="majorBidi" w:cstheme="majorBidi"/>
                      <w:sz w:val="18"/>
                      <w:szCs w:val="18"/>
                      <w:lang w:val="en-GB"/>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en-GB"/>
              </w:rPr>
              <w:t xml:space="preserve">(11)   Un operator de transport și de sistem poate percepe taxe pentru activitățile care decurg din depunerea indiciilor neobligatorii privind cererea. </w:t>
            </w:r>
            <w:r w:rsidRPr="00B91C10">
              <w:rPr>
                <w:rFonts w:asciiTheme="majorBidi" w:hAnsiTheme="majorBidi" w:cstheme="majorBidi"/>
                <w:sz w:val="18"/>
                <w:szCs w:val="18"/>
                <w:lang w:val="it-IT"/>
              </w:rPr>
              <w:t xml:space="preserve">Aceste taxe reflectă costurile administrative pentru depunerea cererii, fac obiectul aprobării de către autoritatea națională de </w:t>
            </w:r>
            <w:r w:rsidRPr="00B91C10">
              <w:rPr>
                <w:rFonts w:asciiTheme="majorBidi" w:hAnsiTheme="majorBidi" w:cstheme="majorBidi"/>
                <w:sz w:val="18"/>
                <w:szCs w:val="18"/>
                <w:lang w:val="it-IT"/>
              </w:rPr>
              <w:lastRenderedPageBreak/>
              <w:t>reglementare și sunt publicate pe site-ul web al operatorului de transport și de sistem. Aceste taxe sunt rambursate respectivului utilizator al rețelei în cazul în care testul economic pentru cel puțin un nivel de ofertă care include capacitatea incrementală în fiecare punct de interconectare dă rezultate pozitive.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(12)   Raportul de evaluare a cererii de pe piață ia în considerare toate criteriile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planul de dezvoltare a rețelei pe 10 ani la nivelul Uniunii identifică o diferență de capacitate fizică prin care o anumită regiune este subalimentată într-un scenariu de vârf rezonabil și atunci când oferirea de capacitate incrementală în punctul de interconectare în cauză ar putea reduce decalajul; sau dacă un plan național de dezvoltare a rețelei identifică o cerință de transport fizic concretă și durabilă;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nu este disponibil niciun produs standard de capacitate anuală care să lege două sisteme de intrare/ieșire adiacente în cadrul licitației anuale a capacității anuale pentru anul în care s-ar putea oferi pentru prima dată capacitate incrementală și în cei trei ani care urmează, deoarece toată capacitatea a fost contractată;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utilizatorii rețelei au prezentat indicii neobligatorii privind cererea prin care solicită capacitate incrementală pentru un număr consecutiv de ani și dacă toate celelalte mijloace eficiente din punct de vedere economic pentru maximizarea disponibilității capacității existente au fost epuizate.</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(13)   Raportul de evaluare a cererii de pe piață trebuie să includă cel puțin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3"/>
              <w:gridCol w:w="4866"/>
            </w:tblGrid>
            <w:tr w:rsidR="00F02F76" w:rsidRPr="00C27D66" w:rsidTr="00670674">
              <w:tc>
                <w:tcPr>
                  <w:tcW w:w="28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concluzie referitoare la oportunitatea de a iniția un proiect de capacitate incrementală;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indiciile neobligatorii agregate privind cererea primite nu mai târziu de opt săptămâni de la începerea licitației anuale a capacității anuale în anul de publicare a raportului respectiv de evaluare a cererii;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indiciile neobligatorii agregate privind cererea depuse după termenul-limită menționat la alineatul (6) în timpul procesului de capacitate incrementală anterior, în cazul în care aceste indicii privind cererea nu au fost luate în considerare în evaluarea anterioară a cererii;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indiciile neobligatorii agregate privind cererea depuse în conformitate cu alineatul (7), în cazul în care operatorii de transport și de sistem au decis să le ia în considerare în cadrul evaluării în curs a cererii de pe piață;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evaluare a volumului preconizat, a direcției și a duratei cererii pentru capacitate incrementală în punctele de interconectare cu fiecare sistem de intrare/ieșire adiacent sau cu conductele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concluzie în legătură cu intenția de a desfășura studii tehnice pentru proiectele de capacitate incrementală, precizând punctele de interconectare și nivelul preconizat al cererii;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eșalonările provizorii ale proiectului de capacitate incrementală, studiile tehnice și consultarea menționată la articolul 27 alineatul (3);</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3"/>
              <w:gridCol w:w="4886"/>
            </w:tblGrid>
            <w:tr w:rsidR="00F02F76" w:rsidRPr="00C27D66" w:rsidTr="00670674">
              <w:tc>
                <w:tcPr>
                  <w:tcW w:w="25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(h)</w:t>
                  </w:r>
                </w:p>
              </w:tc>
              <w:tc>
                <w:tcPr>
                  <w:tcW w:w="910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concluzie privind tipurile de taxe care vor fi introduse, dacă este cazul, în conformitate cu alineatul (10);</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C27D66"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8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tipurile și, în cazul în care este disponibilă, amploarea agregată a indiciilor privind cererea condiționată în conformitate cu alineatul (9);</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C27D66"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(j)</w:t>
                  </w:r>
                </w:p>
              </w:tc>
              <w:tc>
                <w:tcPr>
                  <w:tcW w:w="918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modul în care operatorii de transport și de sistem intenționează să aplice articolul 11 alineatul (3) în ceea ce privește limitarea numărului de ani oferiți în cadrul licitațiilor anuale ale capacității anuale în procesul de capacitate incrementală.</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(14)   Operatorii de transport și de sistem și autoritățile naționale de reglementare competente publică punctele de contact aferente proiectelor de capacitate incrementală inițiate odată cu publicarea raportului de evaluare a cererii de pe piață și actualizează aceste informații în mod regulat pe întreaga durată a proiectului.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lastRenderedPageBreak/>
              <w:t xml:space="preserve"> </w:t>
            </w:r>
            <w:r w:rsidRPr="00B91C10">
              <w:rPr>
                <w:rFonts w:asciiTheme="majorBidi" w:hAnsiTheme="majorBidi" w:cstheme="majorBidi"/>
                <w:b/>
                <w:iCs/>
                <w:sz w:val="18"/>
                <w:szCs w:val="18"/>
                <w:lang w:val="ro-RO"/>
              </w:rPr>
              <w:t>Secțiunea 5</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Evaluarea cererii de pe piață</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2</w:t>
            </w:r>
            <w:r w:rsidRPr="00B91C10">
              <w:rPr>
                <w:rFonts w:asciiTheme="majorBidi" w:hAnsiTheme="majorBidi" w:cstheme="majorBidi"/>
                <w:sz w:val="18"/>
                <w:szCs w:val="18"/>
                <w:lang w:val="ro-RO"/>
              </w:rPr>
              <w:t>.Imediat după începerea licitației anuale pentru capacitatea anuală cel puțin în fiecare an impar, OST cooperează în cadrul proceselor de evaluare a cererii de capacitate incrementală de pe piața și efectuează studii tehnice pentru proiectele de capacitate incrementală pentru punctele lor comune de interconectare.</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.În termen de cel mult 8 săptămâni de la începerea licitației anuale a capacității anuale, cel puțin în fiecare an impar, OST în cauză aflați de fiecare parte a graniței unui sistem de intrare/ieșire elaborează rapoarte comune de evaluare a cererii de pe piață, fiecare dintre acestea acoperind toate punctele de interconectare aflate la cel puțin una dintre granițele unui sistem de intrare/ieșire. Raportul de evaluare </w:t>
            </w:r>
            <w:r w:rsidRPr="00782595">
              <w:rPr>
                <w:rFonts w:asciiTheme="majorBidi" w:hAnsiTheme="majorBidi" w:cstheme="majorBidi"/>
                <w:sz w:val="18"/>
                <w:szCs w:val="18"/>
                <w:lang w:val="ro-RO"/>
              </w:rPr>
              <w:t>a pieței va determina cererea estimată de capacitate incrementală de la nivelul tuturor utilizatorilor de sistem, în conformitate cu pct. 269, și va preciza dacă este necesară  inițierea unui proiect de</w:t>
            </w:r>
            <w:r w:rsidRPr="00B91C10">
              <w:rPr>
                <w:rFonts w:asciiTheme="majorBidi" w:hAnsiTheme="majorBidi" w:cstheme="majorBidi"/>
                <w:sz w:val="18"/>
                <w:szCs w:val="18"/>
                <w:lang w:val="ro-RO"/>
              </w:rPr>
              <w:t xml:space="preserve"> capacitate incrementală.</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4</w:t>
            </w:r>
            <w:r w:rsidRPr="00B91C10">
              <w:rPr>
                <w:rFonts w:asciiTheme="majorBidi" w:hAnsiTheme="majorBidi" w:cstheme="majorBidi"/>
                <w:sz w:val="18"/>
                <w:szCs w:val="18"/>
                <w:lang w:val="ro-RO"/>
              </w:rPr>
              <w:t>.Raportul de evaluare a cererii de pe piață se publică în una sau mai multe limbi oficiale a Părții Contractante și, în măsura posibilului, în engleză, pe site-urile web ale OST în cauză, în termen de cel mult 16 săptămâni de la începerea licitației anuale a capacității anuale, cel puțin în fiecare an impar.</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65</w:t>
            </w:r>
            <w:r w:rsidRPr="00B91C10">
              <w:rPr>
                <w:rFonts w:asciiTheme="majorBidi" w:hAnsiTheme="majorBidi" w:cstheme="majorBidi"/>
                <w:sz w:val="18"/>
                <w:szCs w:val="18"/>
                <w:lang w:val="ro-RO"/>
              </w:rPr>
              <w:t>.OST realizează rapoartele de evaluare a cererii, bazat pe un model standard elaborat de ENTSO-G și publică rapoartele pe pagina</w:t>
            </w:r>
            <w:r w:rsidRPr="00C33F84">
              <w:rPr>
                <w:sz w:val="18"/>
                <w:szCs w:val="18"/>
                <w:lang w:val="ro-RO"/>
              </w:rPr>
              <w:t xml:space="preserve"> sa electronică</w:t>
            </w:r>
            <w:r w:rsidRPr="00B91C10">
              <w:rPr>
                <w:rFonts w:asciiTheme="majorBidi" w:hAnsiTheme="majorBidi" w:cstheme="majorBidi"/>
                <w:sz w:val="18"/>
                <w:szCs w:val="18"/>
                <w:lang w:val="ro-RO"/>
              </w:rPr>
              <w:t>.</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66</w:t>
            </w:r>
            <w:r w:rsidRPr="00B91C10">
              <w:rPr>
                <w:rFonts w:asciiTheme="majorBidi" w:hAnsiTheme="majorBidi" w:cstheme="majorBidi"/>
                <w:sz w:val="18"/>
                <w:szCs w:val="18"/>
                <w:lang w:val="ro-RO"/>
              </w:rPr>
              <w:t xml:space="preserve">.În cazul în care utilizatorii de sistem își depun cererile de capacitate în termen de </w:t>
            </w:r>
            <w:r w:rsidRPr="00690087">
              <w:rPr>
                <w:rFonts w:asciiTheme="majorBidi" w:hAnsiTheme="majorBidi" w:cstheme="majorBidi"/>
                <w:sz w:val="18"/>
                <w:szCs w:val="18"/>
                <w:lang w:val="ro-RO"/>
              </w:rPr>
              <w:t>cel mult 8 săptămâni de la începerea licitației anuale a capacității anuale în anii cu număr par, OST în cauză pot conveni să efectueze o evaluare a cererii de pe piață și într-un an par,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procesul prevăzut la pct. 262 – 296 să poată fi încheiat înainte de începutul următorului ciclu de evaluare a cererii menționat la pct. 262; și</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ca respectivul calendar al licitației să fie respectat.</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267.OST examinează indiciile neobligatorii privind cererea depusă în termen de cel mult 8 săptămâni de la începerea licitației anuale în cadrul evaluării în curs a cererii de pe piață.</w:t>
            </w:r>
          </w:p>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p>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268.OST pot lua în considerare indiciile neobligatorii privind cererea depusă după termenul stabilit la pct. 267 în cadrul evaluării în curs a cererii de pe piață sau le pot include în următoarea evaluare a cererii de pe piață.</w:t>
            </w:r>
          </w:p>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269.Indiciile neobligatorii privind cererea menționată la pct. 267 și 268 trebuie să conțină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cele 2 sau mai multe sisteme de intrare/ieșire adiacente pentru care s-a formulat cererea de capacitate incrementală – la una sau la ambele părți ale unui punct de interconectare – precum și direcția solicitată;</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690087"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anul (anii) gazier(i) pentru care s-a formulat cererea de capacitate incrementală;</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capacitatea solicitată între sistemele de intrare/ieșire respective;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4) informațiile referitoare la indiciile neobligatorii privind cererea care au fost sau care vor fi prezentate altor OST, în cazul în care aceste indicii sunt legate între ele, cum ar fi cererea de capacități în mai multe puncte de interconectare asociate.</w:t>
                  </w: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p>
          <w:p w:rsidR="00782595" w:rsidRPr="00690087" w:rsidRDefault="00782595"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270.Utilizatorii de sistem indică dacă cererea lor face obiectul unor condiții în legătură cu pct. 279 subpunct. 1)-4).</w:t>
            </w: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1</w:t>
            </w:r>
            <w:r w:rsidRPr="00B91C10">
              <w:rPr>
                <w:rFonts w:asciiTheme="majorBidi" w:hAnsiTheme="majorBidi" w:cstheme="majorBidi"/>
                <w:sz w:val="18"/>
                <w:szCs w:val="18"/>
                <w:lang w:val="ro-RO"/>
              </w:rPr>
              <w:t>.OST răspund indiciilor neobligatorii privind cererea în termen de 16 săptămâni de la începerea licitațiilor anuale sau în termen de 8 săptămâni de la primirea indiciilor privind cererea în conformitate cu pct. 26</w:t>
            </w:r>
            <w:r>
              <w:rPr>
                <w:rFonts w:asciiTheme="majorBidi" w:hAnsiTheme="majorBidi" w:cstheme="majorBidi"/>
                <w:sz w:val="18"/>
                <w:szCs w:val="18"/>
                <w:lang w:val="ro-RO"/>
              </w:rPr>
              <w:t>2</w:t>
            </w:r>
            <w:r w:rsidRPr="00B91C10">
              <w:rPr>
                <w:rFonts w:asciiTheme="majorBidi" w:hAnsiTheme="majorBidi" w:cstheme="majorBidi"/>
                <w:sz w:val="18"/>
                <w:szCs w:val="18"/>
                <w:lang w:val="ro-RO"/>
              </w:rPr>
              <w:t>. Răspunsul trebuie să includă cel puțin următoarele elemente:</w:t>
            </w:r>
          </w:p>
          <w:p w:rsidR="00F02F76" w:rsidRPr="00B91C10" w:rsidRDefault="00F02F76" w:rsidP="00670674">
            <w:pPr>
              <w:tabs>
                <w:tab w:val="left" w:pos="851"/>
              </w:tabs>
              <w:jc w:val="both"/>
              <w:outlineLvl w:val="0"/>
              <w:rPr>
                <w:rFonts w:asciiTheme="majorBidi" w:hAnsiTheme="majorBidi" w:cstheme="majorBidi"/>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284"/>
                    <w:jc w:val="both"/>
                    <w:rPr>
                      <w:rFonts w:asciiTheme="majorBidi" w:hAnsiTheme="majorBidi" w:cstheme="majorBidi"/>
                      <w:sz w:val="18"/>
                      <w:szCs w:val="18"/>
                      <w:lang w:val="ro-RO"/>
                    </w:rPr>
                  </w:pPr>
                  <w:r w:rsidRPr="00B91C10">
                    <w:rPr>
                      <w:rFonts w:asciiTheme="majorBidi" w:hAnsiTheme="majorBidi" w:cstheme="majorBidi"/>
                      <w:sz w:val="18"/>
                      <w:szCs w:val="18"/>
                      <w:lang w:val="ro-RO"/>
                    </w:rPr>
                    <w:t>1) dacă cererea indicată poate fi luată în considerare de OST în cadrul procesului în curs; sau</w:t>
                  </w:r>
                </w:p>
              </w:tc>
            </w:tr>
          </w:tbl>
          <w:p w:rsidR="00F02F76" w:rsidRPr="00B91C10" w:rsidRDefault="00F02F76" w:rsidP="00670674">
            <w:pPr>
              <w:tabs>
                <w:tab w:val="left" w:pos="851"/>
              </w:tabs>
              <w:ind w:firstLine="28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997596" w:rsidTr="00670674">
              <w:tc>
                <w:tcPr>
                  <w:tcW w:w="9781" w:type="dxa"/>
                  <w:shd w:val="clear" w:color="auto" w:fill="FFFFFF"/>
                  <w:hideMark/>
                </w:tcPr>
                <w:p w:rsidR="00F02F76" w:rsidRPr="00997596" w:rsidRDefault="00F02F76" w:rsidP="00670674">
                  <w:pPr>
                    <w:tabs>
                      <w:tab w:val="left" w:pos="851"/>
                    </w:tabs>
                    <w:ind w:firstLine="284"/>
                    <w:jc w:val="both"/>
                    <w:rPr>
                      <w:rFonts w:asciiTheme="majorBidi" w:hAnsiTheme="majorBidi" w:cstheme="majorBidi"/>
                      <w:sz w:val="18"/>
                      <w:szCs w:val="18"/>
                      <w:lang w:val="ro-RO"/>
                    </w:rPr>
                  </w:pPr>
                  <w:r w:rsidRPr="00997596">
                    <w:rPr>
                      <w:rFonts w:asciiTheme="majorBidi" w:hAnsiTheme="majorBidi" w:cstheme="majorBidi"/>
                      <w:sz w:val="18"/>
                      <w:szCs w:val="18"/>
                      <w:lang w:val="ro-RO"/>
                    </w:rPr>
                    <w:t>2) dacă, în cazul unor indicii privind cererea în conformitate cu pct. 268, acestea sunt insuficiente pentru a se lua în considerare inițierea unui proces de capacitate incrementală în conformitate cu pct. 266; sau</w:t>
                  </w:r>
                </w:p>
              </w:tc>
            </w:tr>
          </w:tbl>
          <w:p w:rsidR="00F02F76" w:rsidRPr="00997596" w:rsidRDefault="00F02F76" w:rsidP="00670674">
            <w:pPr>
              <w:tabs>
                <w:tab w:val="left" w:pos="851"/>
              </w:tabs>
              <w:ind w:firstLine="28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B91C10" w:rsidTr="00670674">
              <w:tc>
                <w:tcPr>
                  <w:tcW w:w="9781" w:type="dxa"/>
                  <w:shd w:val="clear" w:color="auto" w:fill="FFFFFF"/>
                  <w:hideMark/>
                </w:tcPr>
                <w:p w:rsidR="00F02F76" w:rsidRDefault="00F02F76" w:rsidP="00670674">
                  <w:pPr>
                    <w:tabs>
                      <w:tab w:val="left" w:pos="851"/>
                    </w:tabs>
                    <w:ind w:firstLine="284"/>
                    <w:jc w:val="both"/>
                    <w:rPr>
                      <w:rFonts w:asciiTheme="majorBidi" w:hAnsiTheme="majorBidi" w:cstheme="majorBidi"/>
                      <w:sz w:val="18"/>
                      <w:szCs w:val="18"/>
                      <w:lang w:val="ro-RO"/>
                    </w:rPr>
                  </w:pPr>
                  <w:r w:rsidRPr="00997596">
                    <w:rPr>
                      <w:rFonts w:asciiTheme="majorBidi" w:hAnsiTheme="majorBidi" w:cstheme="majorBidi"/>
                      <w:sz w:val="18"/>
                      <w:szCs w:val="18"/>
                      <w:lang w:val="ro-RO"/>
                    </w:rPr>
                    <w:t>3) în cadrul cărui raport de evaluare a cererii de pe piață, în conformitate cu pct. 264, va fi evaluată cererea, cu condiția ca cererea indicată să nu poată fi luată în considerare în conformitate cu pct. 271 subpunct. 1) sau 2), fapt care trebuie justificat.</w:t>
                  </w:r>
                </w:p>
                <w:p w:rsidR="00F02F76" w:rsidRPr="00B91C10" w:rsidRDefault="00F02F76" w:rsidP="00670674">
                  <w:pPr>
                    <w:tabs>
                      <w:tab w:val="left" w:pos="851"/>
                    </w:tabs>
                    <w:ind w:firstLine="284"/>
                    <w:jc w:val="both"/>
                    <w:rPr>
                      <w:rFonts w:asciiTheme="majorBidi" w:hAnsiTheme="majorBidi" w:cstheme="majorBidi"/>
                      <w:sz w:val="18"/>
                      <w:szCs w:val="18"/>
                      <w:lang w:val="ro-RO"/>
                    </w:rPr>
                  </w:pPr>
                </w:p>
              </w:tc>
            </w:tr>
          </w:tbl>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.Un OST poate percepe taxe pentru activitățile care decurg din depunerea indiciilor neobligatorii privind cererea. Aceste taxe reflectă costurile administrative pentru depunerea cererii, fac obiectul aprobării de către autoritatea națională de </w:t>
            </w:r>
            <w:r w:rsidRPr="00B91C10">
              <w:rPr>
                <w:rFonts w:asciiTheme="majorBidi" w:hAnsiTheme="majorBidi" w:cstheme="majorBidi"/>
                <w:sz w:val="18"/>
                <w:szCs w:val="18"/>
                <w:lang w:val="ro-RO"/>
              </w:rPr>
              <w:lastRenderedPageBreak/>
              <w:t>reglementare și sunt publicate pe site-ul web al operatorului de transport și de sistem. Aceste taxe sunt rambursate respectivului utilizator de sistem în cazul în care testul economic pentru cel puțin un nivel de ofertă care include capacitatea incrementală în fiecare punct de interconectare dă rezultate pozitive.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0"/>
                <w:tab w:val="left" w:pos="1035"/>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3</w:t>
            </w:r>
            <w:r w:rsidRPr="00B91C10">
              <w:rPr>
                <w:rFonts w:asciiTheme="majorBidi" w:hAnsiTheme="majorBidi" w:cstheme="majorBidi"/>
                <w:sz w:val="18"/>
                <w:szCs w:val="18"/>
                <w:lang w:val="ro-RO"/>
              </w:rPr>
              <w:t>.Raportul de evaluare a cererii de pe piață ia în considerare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1) dacă planul de dezvoltare a </w:t>
                  </w:r>
                  <w:r w:rsidRPr="00B91C10">
                    <w:rPr>
                      <w:rFonts w:asciiTheme="majorBidi" w:hAnsiTheme="majorBidi" w:cstheme="majorBidi"/>
                      <w:sz w:val="18"/>
                      <w:szCs w:val="18"/>
                      <w:lang w:val="ro-RO" w:eastAsia="ro-RO"/>
                    </w:rPr>
                    <w:t xml:space="preserve">reţelelor de transport pentru </w:t>
                  </w:r>
                  <w:r w:rsidRPr="00B91C10">
                    <w:rPr>
                      <w:rFonts w:asciiTheme="majorBidi" w:hAnsiTheme="majorBidi" w:cstheme="majorBidi"/>
                      <w:sz w:val="18"/>
                      <w:szCs w:val="18"/>
                      <w:lang w:val="ro-RO"/>
                    </w:rPr>
                    <w:t>10 ani acolo unde este cazul, identifică o decalaj de capacitate fizică prin care o anumită regiune este subalimentată într-un scenariu de vârf rezonabil și atunci când oferirea de capacitate incrementală în punctul de interconectare în cauză ar putea reduce decalajul; sau dacă un plan național de dezvoltare a rețelei identifică o cerință de transport fizic concretă și durabilă;</w:t>
                  </w:r>
                </w:p>
              </w:tc>
            </w:tr>
          </w:tbl>
          <w:p w:rsidR="00F02F76" w:rsidRPr="00B91C10"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rPr>
                <w:trHeight w:val="822"/>
              </w:trPr>
              <w:tc>
                <w:tcPr>
                  <w:tcW w:w="9781" w:type="dxa"/>
                  <w:shd w:val="clear" w:color="auto" w:fill="FFFFFF"/>
                  <w:hideMark/>
                </w:tcPr>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2) dacă nu este disponibil niciun PSC anuală care să lege </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sisteme de intrare/ieșire adiacente în cadrul licitației anuale a capacității anuale pentru anul în care s-ar putea oferi pentru prima dată capacitate incrementală și în cei 3 ani care urmează, deoarece toată capacitatea a fost contractată;</w:t>
                  </w:r>
                </w:p>
              </w:tc>
            </w:tr>
          </w:tbl>
          <w:p w:rsidR="00F02F76" w:rsidRPr="00B91C10"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3) dacă utilizatorii de sistem au prezentat indicii neobligatorii privind cererea prin care solicită capacitate incrementală pentru un număr consecutiv de ani și dacă toate celelalte mijloace eficiente din punct de vedere economic pentru maximizarea disponibilității capacității existente au fost epuizate.</w:t>
                  </w:r>
                </w:p>
                <w:p w:rsidR="00F02F76" w:rsidRDefault="00F02F76" w:rsidP="00670674">
                  <w:pPr>
                    <w:tabs>
                      <w:tab w:val="left" w:pos="0"/>
                      <w:tab w:val="left" w:pos="1035"/>
                    </w:tabs>
                    <w:ind w:firstLine="55"/>
                    <w:jc w:val="both"/>
                    <w:rPr>
                      <w:rFonts w:asciiTheme="majorBidi" w:hAnsiTheme="majorBidi" w:cstheme="majorBidi"/>
                      <w:sz w:val="18"/>
                      <w:szCs w:val="18"/>
                      <w:lang w:val="ro-RO"/>
                    </w:rPr>
                  </w:pPr>
                </w:p>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p>
              </w:tc>
            </w:tr>
          </w:tbl>
          <w:p w:rsidR="00F02F76" w:rsidRPr="00B91C10" w:rsidRDefault="00F02F76" w:rsidP="00670674">
            <w:pPr>
              <w:tabs>
                <w:tab w:val="left" w:pos="0"/>
                <w:tab w:val="left" w:pos="1035"/>
                <w:tab w:val="left" w:pos="1276"/>
              </w:tabs>
              <w:ind w:firstLine="55"/>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4</w:t>
            </w:r>
            <w:r w:rsidRPr="00B91C10">
              <w:rPr>
                <w:rFonts w:asciiTheme="majorBidi" w:hAnsiTheme="majorBidi" w:cstheme="majorBidi"/>
                <w:sz w:val="18"/>
                <w:szCs w:val="18"/>
                <w:lang w:val="ro-RO"/>
              </w:rPr>
              <w:t>.Raportul de evaluare a cererii de pe piață trebuie să includă cel puțin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4604" w:type="dxa"/>
                  <w:shd w:val="clear" w:color="auto" w:fill="FFFFFF"/>
                  <w:hideMark/>
                </w:tcPr>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1) o concluzie referitoare la oportunitatea de a iniția un proiect de capacitate incrementală;</w:t>
                  </w:r>
                </w:p>
              </w:tc>
            </w:tr>
          </w:tbl>
          <w:p w:rsidR="00F02F76" w:rsidRPr="00B91C10"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tabs>
                      <w:tab w:val="left" w:pos="0"/>
                      <w:tab w:val="left" w:pos="1035"/>
                    </w:tabs>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2) indiciile neobligatorii agregate privind cererea primită nu mai târziu de 8 săptămâni de la începerea licitației anuale a capacității anuale în anul de publicare a raportului respectiv de evaluare a cererii;</w:t>
                  </w:r>
                </w:p>
              </w:tc>
            </w:tr>
          </w:tbl>
          <w:p w:rsidR="00F02F76" w:rsidRPr="00782595"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tabs>
                      <w:tab w:val="left" w:pos="0"/>
                      <w:tab w:val="left" w:pos="1035"/>
                    </w:tabs>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3) indiciile neobligatorii agregate privind cererea depuse după termenul-limită menționat la pct. 267-268 în timpul procesului de capacitate incrementală anterior, în cazul în care aceste indicii privind cererea nu au fost luate în considerare în evaluarea anterioară a cererii;</w:t>
                  </w:r>
                </w:p>
              </w:tc>
            </w:tr>
          </w:tbl>
          <w:p w:rsidR="00F02F76" w:rsidRPr="00782595"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tabs>
                      <w:tab w:val="left" w:pos="0"/>
                      <w:tab w:val="left" w:pos="1035"/>
                    </w:tabs>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4) indiciile neobligatorii agregate privind cererea depuse în conformitate cu pct. 268, în cazul în care OST au decis să le ia în considerare în cadrul evaluării în curs a cererii de pe piață;</w:t>
                  </w:r>
                </w:p>
              </w:tc>
            </w:tr>
          </w:tbl>
          <w:p w:rsidR="00F02F76" w:rsidRPr="00782595" w:rsidRDefault="00F02F76" w:rsidP="00670674">
            <w:pPr>
              <w:ind w:firstLine="85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jc w:val="both"/>
                    <w:rPr>
                      <w:rFonts w:asciiTheme="majorBidi" w:hAnsiTheme="majorBidi" w:cstheme="majorBidi"/>
                      <w:sz w:val="18"/>
                      <w:szCs w:val="18"/>
                      <w:lang w:val="ro-RO"/>
                    </w:rPr>
                  </w:pPr>
                  <w:r w:rsidRPr="00782595">
                    <w:rPr>
                      <w:rFonts w:asciiTheme="majorBidi" w:hAnsiTheme="majorBidi" w:cstheme="majorBidi"/>
                      <w:sz w:val="18"/>
                      <w:szCs w:val="18"/>
                      <w:lang w:val="ro-RO"/>
                    </w:rPr>
                    <w:t>5) o evaluare a volumului preconizat, a direcției și a duratei cererii pentru capacitate incrementală în punctele de interconectare cu fiecare sistem de intrare/ieșire adiacent sau cu conductele de interconectare;</w:t>
                  </w:r>
                </w:p>
              </w:tc>
            </w:tr>
          </w:tbl>
          <w:p w:rsidR="00F02F76" w:rsidRPr="00782595" w:rsidRDefault="00F02F76" w:rsidP="00670674">
            <w:pPr>
              <w:ind w:firstLine="85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p>
                <w:p w:rsidR="00F02F76" w:rsidRPr="00782595" w:rsidRDefault="00F02F76" w:rsidP="00670674">
                  <w:pPr>
                    <w:ind w:firstLine="55"/>
                    <w:jc w:val="both"/>
                    <w:rPr>
                      <w:rFonts w:asciiTheme="majorBidi" w:hAnsiTheme="majorBidi" w:cstheme="majorBidi"/>
                      <w:sz w:val="18"/>
                      <w:szCs w:val="18"/>
                      <w:lang w:val="ro-RO"/>
                    </w:rPr>
                  </w:pPr>
                </w:p>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6) o dacă vor fi sau nu desfășurate studii tehnice pentru proiectele de capacitate incrementală, precizând punctele de interconectare și nivelul preconizat al cererii;</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7) termenii de timp ale proiectului de capacitate incrementală, studiile tehnice și consultarea menționată la  pct. 278 și 279;</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8) o concluzie privind tipurile de taxe care vor fi introduse, dacă este cazul, în conformitate cu pct. 272;</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9) tipurile și, în cazul în care este disponibilă, totalitatea agregată a indiciilor privind cererea condiționată în conformitate cu pct. 270;</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10) modul în care OST intenționează să aplice pct. 155 în privințalimitării numărului de ani oferiți în cadrul licitațiilor anuale ale capacității anuale în procesul de capacitate incrementală.</w:t>
                  </w:r>
                </w:p>
              </w:tc>
            </w:tr>
          </w:tbl>
          <w:p w:rsidR="00F02F76" w:rsidRPr="00B91C10" w:rsidRDefault="00F02F76" w:rsidP="00670674">
            <w:pPr>
              <w:tabs>
                <w:tab w:val="left" w:pos="567"/>
              </w:tabs>
              <w:jc w:val="both"/>
              <w:outlineLvl w:val="0"/>
              <w:rPr>
                <w:rFonts w:asciiTheme="majorBidi" w:hAnsiTheme="majorBidi" w:cstheme="majorBidi"/>
                <w:sz w:val="18"/>
                <w:szCs w:val="18"/>
                <w:lang w:val="ro-RO"/>
              </w:rPr>
            </w:pPr>
          </w:p>
          <w:p w:rsidR="00F02F76" w:rsidRPr="00B91C10" w:rsidRDefault="00F02F76" w:rsidP="00670674">
            <w:pPr>
              <w:tabs>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75</w:t>
            </w:r>
            <w:r w:rsidRPr="00B91C10">
              <w:rPr>
                <w:rFonts w:asciiTheme="majorBidi" w:hAnsiTheme="majorBidi" w:cstheme="majorBidi"/>
                <w:sz w:val="18"/>
                <w:szCs w:val="18"/>
                <w:lang w:val="ro-RO"/>
              </w:rPr>
              <w:t xml:space="preserve">. OST și </w:t>
            </w:r>
            <w:r w:rsidRPr="00C33F84">
              <w:rPr>
                <w:sz w:val="18"/>
                <w:szCs w:val="18"/>
                <w:lang w:val="ro-RO"/>
              </w:rPr>
              <w:t xml:space="preserve">autorităţile naţionale de reglementare </w:t>
            </w:r>
            <w:r w:rsidRPr="00B91C10">
              <w:rPr>
                <w:rFonts w:asciiTheme="majorBidi" w:hAnsiTheme="majorBidi" w:cstheme="majorBidi"/>
                <w:sz w:val="18"/>
                <w:szCs w:val="18"/>
                <w:lang w:val="ro-RO"/>
              </w:rPr>
              <w:t>publică punctele de contact aferente proiectelor de capacitate incrementală inițiate odată cu publicarea raportului de evaluare a cererii de pe piață și actualizează aceste informații în mod regulat pe întreaga durată a proiectului.</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690087" w:rsidRPr="00B91C10" w:rsidRDefault="00690087"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1B67E4" w:rsidRPr="00B91C10" w:rsidRDefault="001B67E4"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0D130F" w:rsidRDefault="000D130F"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1B67E4">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26</w:t>
            </w:r>
          </w:p>
          <w:p w:rsidR="00F02F76" w:rsidRPr="00B91C10" w:rsidRDefault="00F02F76" w:rsidP="001B67E4">
            <w:pPr>
              <w:jc w:val="center"/>
              <w:rPr>
                <w:rFonts w:asciiTheme="majorBidi" w:hAnsiTheme="majorBidi" w:cstheme="majorBidi"/>
                <w:b/>
                <w:bCs/>
                <w:sz w:val="18"/>
                <w:szCs w:val="18"/>
              </w:rPr>
            </w:pPr>
            <w:r w:rsidRPr="00B91C10">
              <w:rPr>
                <w:rFonts w:asciiTheme="majorBidi" w:hAnsiTheme="majorBidi" w:cstheme="majorBidi"/>
                <w:b/>
                <w:bCs/>
                <w:sz w:val="18"/>
                <w:szCs w:val="18"/>
              </w:rPr>
              <w:t>Market demand assessment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Immediately after the start of the annual yearly capacity auction at least in each odd-numbered year, transmission system operators shall cooperate in the processes of assessing market demand for incremental capacity and of conducting technical studies for incremental capacity projects for their joint interconnection points. The first demand assessment shall be conducted in 2021.</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No later than 8 weeks after the start of the annual yearly capacity auction at least in each odd-numbered year, the concerned transmission system operators on each side of an entry-exit system border shall produce common market demand assessment reports, each covering all interconnection points of at least one entry-exit system border. The market assessment report shall evaluate the prospective demand for incremental capacity of all network users pursuant to paragraph 8 and shall state whether an incremental capacity project is initiated.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market demand assessment report shall be published in one or more official languages of the Contracting Party and to the extent possible in English on the websites of the concerned transmission system operators no later than 16 weeks after the start of the annual yearly capacity auction at least in each odd-numbered year.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Transmission system operators, shall complete the demand assessment reports based on the standard template developed by ENTSOG and publish the reports on their website.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If demand for incremental capacity is expressed by network users no later than 8 weeks after the start of the annual yearly auction in even-numbered years, the concerned transmission system operators may agree to conduct a market demand assessment also in an even-numbered year, provided that: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process set out in Articles 26-30 can be concluded before the start of the next demand assessment cycle referred to in paragraph 1;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auction calendar is respected.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6. Transmission system operators shall consider non-binding demand indications submitted no later than 8 weeks after the start of the annual yearly auction in the ongoing market demand assessment.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7. Transmission system operators may consider non-binding demand indications submitted after the deadline set out in paragraph 6 in the ongoing market demand assessment, or introduce them into the next market demand assessment.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The non-binding demand indications referred to in paragraphs 6 and 7 shall contain at least the following information: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two or more adjacent entry-exit systems between which demand for incremental capacity — on one or both sides of an interconnection point — is expressed and the requested direction;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gas year(s) for which a demand for incremental capacity is expressed;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the amount of capacity demanded between the respective entry-exit systems;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(d) information on non-binding demand indications which were or will be submitted to other transmission system operators, in case such indications are linked to each other, such as demand for capacities at several related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Network users shall indicate whether their demand is subject to any conditions in relation to points (a) to (d) of paragraph 8.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10. Transmission system operators shall respond to non-binding demand indications within 16 weeks after the start of the annual yearly auctions, or within 8 weeks of receipt of demand indications in accordance with paragraph 7. The response shall provide at least the following: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whether the demand indicated can be considered by the transmission system operator in the ongoing process; 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whether, in the case of demand indications in accordance with paragraph 7, they are sufficient to consider the initiation of an incremental capacity process according to paragraph 5; 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in which market demand assessment report, according to paragraph 3, the indicated demand will be assessed, provided that the demand indicated cannot be considered under points (a) or (b), which is to be justified.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11. A transmission system operator may charge fees for activities resulting from the submission of non-binding demand indications. Such fees shall reflect the administrative costs for submitting demand indications, and shall be subject to approval by the relevant national </w:t>
            </w:r>
            <w:r w:rsidRPr="00B91C10">
              <w:rPr>
                <w:rFonts w:asciiTheme="majorBidi" w:hAnsiTheme="majorBidi" w:cstheme="majorBidi"/>
                <w:sz w:val="18"/>
                <w:szCs w:val="18"/>
              </w:rPr>
              <w:lastRenderedPageBreak/>
              <w:t xml:space="preserve">regulatory authority and published on the transmission system operator’s website. Such fees shall be reimbursed to the respective network user if the economic test for at least one offer level that includes incremental capacity at the respective interconnection point is positive.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12. The market demand assessment report shall take into account all of the following criteria: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whether the 10-year network development plan, where applicable, identifies a physical capacity gap whereby a specific region is undersupplied in a reasonable peak scenario and where offering incremental capacity at the interconnection point in question could close the gap; or a national network development plan identifies a concrete and sustained physical transport requirement;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whether no yearly standard capacity product linking two adjacent entry-exit systems is available in the annual yearly capacity auction for the year in which incremental capacity could be offered for the first time and in the 3 subsequent years, because all the capacity has been contracted;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whether network users submitted non-binding demand indications requesting incremental capacity for a sustained number of years and all other economically efficient means for maximising the availability of existing capacity are exhausted.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13. The market demand assessment report shall include at least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a conclusion on whether to initiate an incremental capacity project;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aggregated non-binding demand indications received no later than 8 weeks after the start of the annual yearly capacity auction in the year of the publication of the respective demand assessment report;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aggregated non-binding demand indications submitted after the deadline referred to in paragraph 6 during the previous incremental capacity process in case these demand indications were not considered for the previous demand assessment;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(d) the aggregated non-binding demand indications submitted in accordance with paragraph 7 where the transmission system operators has decide to consider them in the ongoing market demand assessment;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an assessment of the expected amount, direction and duration of demand for incremental capacity at the interconnection points with each adjacent entry-exit system or interconnectors;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(f) a conclusion on whether technical studies for incremental capacity projects will be conducted, specifying for which interconnection points and for which expected demand level;</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(g) provisional timelines for the incremental capacity project, technical studies and the consultation referred to in Article 27(3);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(h) a conclusion on what fees, if any, will be introduced, according to paragraph 10; (i) the types and, where available the aggregated size of conditional demand indications according to point paragraph 9; (j) how transmission system operators intend to apply Article 11(3) with regards to limitation of the number of years being offered in the annual yearly capacity auctions during the incremental process.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14. Transmission system operators and the relevant national regulatory authorities shall publish respective points of contact for incremental capacity projects initiated at the publication of the market demand assessment report and update this information on a regular basis throughout the project.</w:t>
            </w:r>
          </w:p>
        </w:tc>
      </w:tr>
      <w:tr w:rsidR="00F02F76" w:rsidRPr="00B91C10" w:rsidTr="00FC3840">
        <w:trPr>
          <w:trHeight w:val="125"/>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27</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Etapa de proiectare</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Ziua următoare datei publicării raportului de evaluare a cererii de pe piață începe în etapa de proiectare, în cazul în care raportul de evaluare a cererii de pe piață identifică o cerere de proiecte de capacitate incrementală.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care își desfășoară activitatea la punctul de interconectare respectiv efectuează studii tehnice vizând proiectele de capacitate incrementală în vederea conceperii proiectului de capacitate incrementală și a proiectării nivelurilor de ofertă coordonate pe baza fezabilității tehnice și a rapoartelor de evaluare a cererii de pe piață.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termen de cel mult 12 săptămâni de la începutul etapei de proiectare, operatorii de transport și de sistem în cauză efectuează o consultare publică comună privind proiectul de propunere de proiect, în una sau mai multe limbi oficiale ale statului membru și, în măsura posibilului, în limba engleză, pe o perioadă de cel puțin o lună și de cel mult două luni. Acești operatori iau toate măsurile rezonabile pentru a asigura coordonarea transfrontalieră.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Consultarea trebuie să cuprindă cel puțin la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9"/>
              <w:gridCol w:w="4860"/>
            </w:tblGrid>
            <w:tr w:rsidR="00F02F76" w:rsidRPr="00C27D66" w:rsidTr="00670674">
              <w:tc>
                <w:tcPr>
                  <w:tcW w:w="29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5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proiectului de capacitate incrementală, inclusiv o estimare a costurilor;</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9"/>
              <w:gridCol w:w="4860"/>
            </w:tblGrid>
            <w:tr w:rsidR="00F02F76" w:rsidRPr="00C27D66" w:rsidTr="00670674">
              <w:tc>
                <w:tcPr>
                  <w:tcW w:w="29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(b)</w:t>
                  </w:r>
                </w:p>
              </w:tc>
              <w:tc>
                <w:tcPr>
                  <w:tcW w:w="905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nivelurile de ofertă pentru produsele de capacitate agregată în punctul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este cazul, pe baza indiciilor privind cererea condiționată, mecanismul alternativ de alocare propus al operatorilor de transport și de sistem, inclusiv justificarea acestuia;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27"/>
              <w:gridCol w:w="4802"/>
            </w:tblGrid>
            <w:tr w:rsidR="00F02F76" w:rsidRPr="00C27D66" w:rsidTr="00670674">
              <w:tc>
                <w:tcPr>
                  <w:tcW w:w="40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94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eșalonările provizorii ale proiectului de capacitate incrementală;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și condițiile generale pe care utilizatorii rețelei trebuie să le accepte pentru a participa și a avea acces la capacitate în cadrul etapei obligatorii de alocare a capacității a procesului de capacitate incrementală, inclusiv orice garanții care urmează să fie furnizate de utilizatorii rețelei și modul în care posibilele întârzieri înregistrate în furnizarea de capacitate sau în cazul unei perturbări a proiectului sunt abordate din punct de vedere contractual;</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pentru proiectul de capacitate incrementală este urmată o abordare privind un preț fix, elementele IND și RP descrise la articolul 24 litera (b) din Regulamentul (UE) 2017/460;</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nivelul angajamentelor utilizatorului, exprimate ca o estimare a factorului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 astfel cum este aplicată în conformitate cu articolul 23, care, după consultarea cu operatorii de transport și de sistem, este propus și aprobat ulterior de autoritățile naționale de reglementare în cauză;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868"/>
            </w:tblGrid>
            <w:tr w:rsidR="00F02F76" w:rsidRPr="00C27D66" w:rsidTr="00670674">
              <w:tc>
                <w:tcPr>
                  <w:tcW w:w="2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(h)</w:t>
                  </w:r>
                </w:p>
              </w:tc>
              <w:tc>
                <w:tcPr>
                  <w:tcW w:w="907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orice indicii suplimentare privind cererea primite în conformitate cu articolul 26 alineatul (7);</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C27D66"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8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respectiva capacitate incrementală ar putea avea ca rezultat o scădere susținută și semnificativă în ceea ce privește utilizarea altor infrastructuri de gaze neamortizate în cadrul aceluiași sistem de intrare/ieșire sau al unor sisteme de intrare/ieșire adiacente sau de-a lungul aceleiași rute de transport de gaze.</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(4)   În procesul de proiectare a nivelurilor de ofertă coordonate, operatorii de transport și de sistem cooperează îndeaproape cu autoritățile naționale de reglementare și asigură coordonarea transfrontalieră, cu scopul de a permite depunerea unor oferte de capacitate incrementală ca produse agregate. Propunerea de proiect și conceperea de niveluri de ofertă coordonate ține seama de rezultatele consultării menționate la alineatul (3).</w:t>
            </w:r>
          </w:p>
        </w:tc>
        <w:tc>
          <w:tcPr>
            <w:tcW w:w="4820" w:type="dxa"/>
          </w:tcPr>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lastRenderedPageBreak/>
              <w:t>Secțiunea 6</w:t>
            </w:r>
          </w:p>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t>Etapa de proiectare</w:t>
            </w:r>
          </w:p>
          <w:p w:rsidR="00F02F76" w:rsidRPr="00B91C10" w:rsidRDefault="00F02F76" w:rsidP="00670674">
            <w:pPr>
              <w:shd w:val="clear" w:color="auto" w:fill="FFFFFF"/>
              <w:jc w:val="center"/>
              <w:rPr>
                <w:rFonts w:asciiTheme="majorBidi" w:hAnsiTheme="majorBidi" w:cstheme="majorBidi"/>
                <w:b/>
                <w:bCs/>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76</w:t>
            </w:r>
            <w:r w:rsidRPr="00B91C10">
              <w:rPr>
                <w:rFonts w:asciiTheme="majorBidi" w:hAnsiTheme="majorBidi" w:cstheme="majorBidi"/>
                <w:sz w:val="18"/>
                <w:szCs w:val="18"/>
                <w:lang w:val="ro-RO"/>
              </w:rPr>
              <w:t>.Ziua următoare datei publicării raportului de evaluare a cererii de pe piață începe în etapa de proiectare, în cazul în care raportul de evaluare a cererii de pe piață identifică o cerere de proiecte de capacitate incrementală.</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77</w:t>
            </w:r>
            <w:r w:rsidRPr="00B91C10">
              <w:rPr>
                <w:rFonts w:asciiTheme="majorBidi" w:hAnsiTheme="majorBidi" w:cstheme="majorBidi"/>
                <w:sz w:val="18"/>
                <w:szCs w:val="18"/>
                <w:lang w:val="ro-RO"/>
              </w:rPr>
              <w:t>.OST care își desfășoară activitatea la punctul de interconectare respectiv efectuează studii tehnice vizând proiectele de capacitate incrementală în vederea conceperii proiectului de capacitate incrementală și a proiectării nivelurilor de ofertă coordonate pe baza fezabilității tehnice și a rapoartelor de evaluare a cererii de pe piață.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78</w:t>
            </w:r>
            <w:r w:rsidRPr="00B91C10">
              <w:rPr>
                <w:rFonts w:asciiTheme="majorBidi" w:hAnsiTheme="majorBidi" w:cstheme="majorBidi"/>
                <w:sz w:val="18"/>
                <w:szCs w:val="18"/>
                <w:lang w:val="ro-RO"/>
              </w:rPr>
              <w:t xml:space="preserve">.În termen de cel mult 12 săptămâni de la începutul etapei de proiectare, OST în cauză efectuează o consultare publică comună privind proiectul de propunere de proiect, </w:t>
            </w:r>
            <w:r w:rsidRPr="00C33F84">
              <w:rPr>
                <w:sz w:val="18"/>
                <w:szCs w:val="18"/>
                <w:lang w:val="ro-RO"/>
              </w:rPr>
              <w:t xml:space="preserve">în limba română şi, în măsura posibilului, în limba engleză, pe o perioadă de cel puţin o lună şi de cel mult 2 luni. </w:t>
            </w:r>
            <w:r w:rsidRPr="00C33F84">
              <w:rPr>
                <w:sz w:val="18"/>
                <w:szCs w:val="18"/>
                <w:lang w:val="it-IT"/>
              </w:rPr>
              <w:t>Aceşti OST iau toate măsurile rezonabile pentru a asigura coordonarea transfrontalieră</w:t>
            </w:r>
            <w:r w:rsidRPr="00A06546">
              <w:rPr>
                <w:sz w:val="24"/>
                <w:szCs w:val="24"/>
                <w:lang w:val="it-IT"/>
              </w:rPr>
              <w:t>.</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284.Consultarea trebuie să cuprindă cel puțin la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 o descriere a proiectului de capacitate incrementală, inclusiv o estimare a costurilor;</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t>2) nivelurile de ofertă pentru produsele de capacitate agregată în punctul de interconectare;</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t>3) dacă este cazul, pe baza indiciilor privind cererea condiționată, mecanismul alternativ de alocare propus al operatorilor de transport și de sistem, inclusiv justificarea acestuia;</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4) </w:t>
                  </w:r>
                  <w:r w:rsidRPr="00C33F84">
                    <w:rPr>
                      <w:rFonts w:asciiTheme="majorBidi" w:hAnsiTheme="majorBidi" w:cstheme="majorBidi"/>
                      <w:sz w:val="18"/>
                      <w:szCs w:val="18"/>
                      <w:lang w:val="ro-RO"/>
                    </w:rPr>
                    <w:t>eșalonările provizorii</w:t>
                  </w:r>
                  <w:r w:rsidRPr="00B91C10">
                    <w:rPr>
                      <w:rFonts w:asciiTheme="majorBidi" w:hAnsiTheme="majorBidi" w:cstheme="majorBidi"/>
                      <w:sz w:val="18"/>
                      <w:szCs w:val="18"/>
                      <w:lang w:val="ro-RO"/>
                    </w:rPr>
                    <w:t xml:space="preserve"> ale proiectului de capacitate incrementală;</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5) normele și condițiile generale pe care utilizatorii de sistem trebuie să le accepte pentru a participa și a avea acces la capacitate în cadrul etapei obligatorii de alocare a capacității a procesului de capacitate incrementală, inclusiv orice garanții care urmează să fie furnizate de utilizatorii de sistem și modul în care posibilele întârzieri înregistrate în furnizarea de capacitate sau în cazul unei perturbări a proiectului sunt abordate  în contract;</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6) în cazul în care pentru proiectul de capacitate incrementală este urmată o abordare privind un preț fix, elementele IND și RP descrise la pct. 391 subpunct 2);</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7) nivelul angajamentelor utilizatorului, exprimate ca o estimare a factorului </w:t>
                  </w:r>
                  <w:r w:rsidRPr="00690087">
                    <w:rPr>
                      <w:rFonts w:asciiTheme="majorBidi" w:hAnsiTheme="majorBidi" w:cstheme="majorBidi"/>
                      <w:i/>
                      <w:iCs/>
                      <w:sz w:val="18"/>
                      <w:szCs w:val="18"/>
                      <w:lang w:val="ro-RO"/>
                    </w:rPr>
                    <w:t>f</w:t>
                  </w:r>
                  <w:r w:rsidRPr="00690087">
                    <w:rPr>
                      <w:rFonts w:asciiTheme="majorBidi" w:hAnsiTheme="majorBidi" w:cstheme="majorBidi"/>
                      <w:sz w:val="18"/>
                      <w:szCs w:val="18"/>
                      <w:lang w:val="ro-RO"/>
                    </w:rPr>
                    <w:t>, astfel cum este aplicată în conformitate cu pct.253 și 254, care, după consultarea cu OST, este propus și aprobat ulterior de Agenție;</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8) orice indicii suplimentare privind cererea primite în conformitate cu pct. 268;</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9) dacă  capacitatea incrementală ar putea avea ca rezultat o scădere semnificativă în ceea ce privește utilizarea altor infrastructuri de gaze naturale neamortizate în cadrul aceluiași sistem de intrare/ieșire sau al unor sisteme de intrare/ieșire adiacente sau de-a lungul aceleiași rute de transport de gaze naturale.</w:t>
                  </w:r>
                </w:p>
              </w:tc>
            </w:tr>
          </w:tbl>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ro-RO"/>
              </w:rPr>
              <w:t>28</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.În procesul de proiectare a nivelurilor de ofertă coordonate, OST cooperează îndeaproape cu Agenția și asigură coordonarea transfrontalieră, cu scopul de a permite depunerea unor oferte de capacitate incrementală ca produse agregate. Propunerea de proiect și conceperea de niveluri de ofertă coordonate țin cont de rezultatele consultării </w:t>
            </w:r>
            <w:r w:rsidRPr="001B67E4">
              <w:rPr>
                <w:rFonts w:asciiTheme="majorBidi" w:hAnsiTheme="majorBidi" w:cstheme="majorBidi"/>
                <w:sz w:val="18"/>
                <w:szCs w:val="18"/>
                <w:lang w:val="ro-RO"/>
              </w:rPr>
              <w:t>menționate la pct. 279.</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1B67E4" w:rsidRDefault="001B67E4" w:rsidP="00670674">
            <w:pPr>
              <w:jc w:val="both"/>
              <w:rPr>
                <w:rFonts w:asciiTheme="majorBidi" w:hAnsiTheme="majorBidi" w:cstheme="majorBidi"/>
                <w:sz w:val="18"/>
                <w:szCs w:val="18"/>
              </w:rPr>
            </w:pPr>
          </w:p>
          <w:p w:rsidR="001B67E4" w:rsidRPr="00B91C10" w:rsidRDefault="001B67E4"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lastRenderedPageBreak/>
              <w:t xml:space="preserve">Article 27 </w:t>
            </w:r>
          </w:p>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t xml:space="preserve">Design phase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day after the publication of the market demand assessment report, the design phase shall start, if the demand assessment report identifies demand for incremental capacity projects.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Transmission system operators active at the respective interconnection point shall conduct technical studies for incremental capacity projects in order to design the incremental capacity project and coordinated offer levels based on technical feasibility and the market demand assessment reports.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No later than 12 weeks after the start of the design phase, the concerned transmission system operators shall conduct a joint public consultation on the draft project proposal in one or more official languages of the Contracting Party and to the extent possible in English for a minimum of 1 month and no longer than 2 months. These operators shall take all reasonable steps to ensure cross-border coordination. The consultation shall cover at least the following elements: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(a) a description of the incremental capacity project, including a cost estimate;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offer levels for bundled capacity products at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where relevant, based on conditional demand indications received, the transmission system operators’ proposed alternative allocation mechanism including its justification;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provisional timelines of the incremental capacity project;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general rules and conditions that a network  users must accept to participate and access capacity in the binding capacity allocation phase of the incremental capacity process, including any collateral to be provided by network users and how possible delays in the provision of capacity or the event of a disruption to the project are dealt with contractually;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where a fixed price approach is followed for the incremental capacity project, the elements IND and RP described in Article 24(b) of Regulation (EU) 2017/460. (g) the level of user commitments, expressed as an estimate of the f-factor as applied in accordance with Article 23, which, after having consulted with the transmission system operators, is proposed and subsequently approved by the concerned national regulatory authorities;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(h) any additional demand indications received in accordance with Article 26(7);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whether the incremental capacity is likely to result in a sustained, significant decrease in the utilisation of other non-depreciated gas infrastructure in the same and adjacent entry-exit systems or along the same gas transport route.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4. In the process of designing coordinated offer levels, the transmission system operators shall closely cooperate with the involved national regulatory authorities and coordinate across borders in order to enable offers of incremental capacity as bundled products. The project proposal and design of coor- dinated offer levels shall take into account the results of the consultation provided for in paragraph 3.</w:t>
            </w:r>
          </w:p>
        </w:tc>
      </w:tr>
      <w:tr w:rsidR="00F02F76" w:rsidRPr="00B91C10" w:rsidTr="00670674">
        <w:trPr>
          <w:trHeight w:val="1131"/>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28</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Aprobarea și publicarea</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urma consultării și finalizării etapei de proiectare pentru un proiect de capacitate incrementală în conformitate cu articolul 27, operatorii de transport și de sistem implicați transmit propunerea de proiect pentru un proiect de capacitate incrementală autorităților naționale de reglementare relevante, în vederea unor aprobări coordonate. Propunerea de proiect este publicată, de asemenea, de operatorii de transport și de sistem implicați în una sau mai multe limbi oficiale ale statului membru și, în măsura posibilului, în limba engleză și cuprinde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toate nivelurile de ofertă, reflectând gama de cerere preconizată de capacitate incrementală în punctele de interconectare relevante, ca urmare a proceselor prevăzute la articolul 27 alineatul (3) și la articolul 26;</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și condițiile generale pe care un utilizator al rețelei trebuie să le accepte pentru a participa și a avea acces la capacitate în cadrul etapei obligatorii de alocare a capacității a procesului de capacitate incrementală, inclusiv orice garanții reale care urmează să fie furnizate de utilizatorii rețelei și modul în care posibilele întârzieri în furnizarea de capacitate sau în cazul unei perturbări a proiectului sunt abordate la nivel contractual;</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eșalonarea proiectului de capacitate incrementală, inclusiv modificările care au survenit ca urmare a consultării descrise la articolul 27 alineatul (3), precum și măsurile de prevenire a întârzierilor și de reducere la minimum a impactului întârzierilor;</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8"/>
              <w:gridCol w:w="4721"/>
            </w:tblGrid>
            <w:tr w:rsidR="00F02F76" w:rsidRPr="00C27D66" w:rsidTr="00670674">
              <w:tc>
                <w:tcPr>
                  <w:tcW w:w="55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79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parametrii definiți la articolul 22 alineatul (1);</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ar fi necesar un orizont de timp extins în condiții excepționale pentru contractarea de capacitate pentru o perioadă suplimentară de până la cinci ani în plus față de alocarea de până la 15 ani de după începutul utilizării operaționale, în conformitate cu articolul 30;</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este cazul, mecanismul alternativ de alocare propus, inclusiv justificarea acestuia în conformitate cu articolul 30 alineatul (2), precum și condițiile aprobate de operatorul de transport și de sistem pentru etapa obligatorie în conformitate cu articolul 30 alineatul (3);</w:t>
                  </w:r>
                </w:p>
              </w:tc>
            </w:tr>
          </w:tbl>
          <w:p w:rsidR="00F02F76" w:rsidRPr="00B91C10" w:rsidRDefault="00F02F76" w:rsidP="00670674">
            <w:pPr>
              <w:rPr>
                <w:rFonts w:asciiTheme="majorBidi" w:hAnsiTheme="majorBidi" w:cstheme="majorBidi"/>
                <w:vanish/>
                <w:sz w:val="18"/>
                <w:szCs w:val="18"/>
              </w:rPr>
            </w:pPr>
          </w:p>
          <w:tbl>
            <w:tblPr>
              <w:tblW w:w="4970" w:type="pct"/>
              <w:tblInd w:w="30" w:type="dxa"/>
              <w:shd w:val="clear" w:color="auto" w:fill="FFFFFF"/>
              <w:tblLayout w:type="fixed"/>
              <w:tblCellMar>
                <w:left w:w="0" w:type="dxa"/>
                <w:right w:w="0" w:type="dxa"/>
              </w:tblCellMar>
              <w:tblLook w:val="04A0" w:firstRow="1" w:lastRow="0" w:firstColumn="1" w:lastColumn="0" w:noHBand="0" w:noVBand="1"/>
            </w:tblPr>
            <w:tblGrid>
              <w:gridCol w:w="92"/>
              <w:gridCol w:w="4907"/>
            </w:tblGrid>
            <w:tr w:rsidR="00F02F76" w:rsidRPr="00C27D66" w:rsidTr="00670674">
              <w:tc>
                <w:tcPr>
                  <w:tcW w:w="9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4907"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pentru proiectul de capacitate incrementală este urmată o abordare privind un preț fix, elementele descrise la articolul 24 litera (b) din Regulamentul (UE) 2017/460.</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(2)   În termen de șase luni de la primirea propunerii complete de proiect de către ultima dintre autoritățile naționale de reglementare competente, respectivele autorități naționale de reglementare publică decizii coordonate privind propunerea de proiect definită la alineatul (1), în una sau mai multe limbi oficiale ale statului membru și, în măsura posibilului, în limba engleză. Aceste decizii trebuie să includă </w:t>
            </w:r>
            <w:r w:rsidRPr="00B91C10">
              <w:rPr>
                <w:rFonts w:asciiTheme="majorBidi" w:hAnsiTheme="majorBidi" w:cstheme="majorBidi"/>
                <w:sz w:val="18"/>
                <w:szCs w:val="18"/>
                <w:lang w:val="it-IT"/>
              </w:rPr>
              <w:lastRenderedPageBreak/>
              <w:t>justificări. Autoritățile naționale de reglementare se informează reciproc în legătură cu primirea propunerii de proiect și cu integralitatea ei, pentru a determina începutul perioadei de șase luni.</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Atunci când pregătește decizia autorității naționale de reglementare, fiecare autoritate națională de reglementare ia în considerare punctele de vedere ale celorlalte autorități naționale de reglementare implicate. În orice caz, autoritățile naționale de reglementare iau în considerare orice efecte dăunătoare asupra concurenței sau asupra funcționării eficiente a pieței interne a gazelor asociată cu proiectele de capacitate incrementală în cauză.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o autoritate națională de reglementare relevantă aduce obiecții în legătură cu propunerea de proiect depusă, ea informează, cât mai curând posibil, celelalte autorități naționale de reglementare implicate. Într-o astfel de situație, toate autoritățile naționale de reglementare implicate trebuie să ia toate măsurile rezonabile pentru a colabora și pentru a ajunge la un acord comun.</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autoritățile naționale de reglementare relevante nu reușesc să ajungă la un acord privind mecanismul alternativ de alocare propus în termenul de șase luni prevăzut la primul paragraf, Agenția decide cu privire la mecanismul alternativ de alocare care urmează să fie pus în aplicare, urmând procesul prevăzut la articolul 8 alineatul (1) din Regulamentul (CE) nr. 713/2009.</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Odată cu publicarea deciziilor luate de autoritățile naționale de reglementare relevante în conformitate cu alineatul (2) și nu mai târziu de două luni înainte de oferta de capacitate incrementală din cadrul licitației anuale a capacității anuale, operatorii de transport și de sistem publică un anunț comun în una sau mai multe limbi oficiale ale statului membru și, în măsura posibilului, în limba engleză, incluzând următoarele informații minime: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8"/>
              <w:gridCol w:w="4891"/>
            </w:tblGrid>
            <w:tr w:rsidR="00F02F76" w:rsidRPr="00C27D66" w:rsidTr="00670674">
              <w:tc>
                <w:tcPr>
                  <w:tcW w:w="24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1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definite la alineatul (1), astfel cum au fost aprobate de autoritățile naționale de reglementare;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0"/>
              <w:gridCol w:w="4749"/>
            </w:tblGrid>
            <w:tr w:rsidR="00F02F76" w:rsidRPr="00C27D66" w:rsidTr="00670674">
              <w:tc>
                <w:tcPr>
                  <w:tcW w:w="50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5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 model de contract(e) privind capacitatea oferită.</w:t>
                  </w:r>
                </w:p>
              </w:tc>
            </w:tr>
          </w:tbl>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690087" w:rsidRDefault="00F02F76" w:rsidP="00670674">
            <w:pPr>
              <w:shd w:val="clear" w:color="auto" w:fill="FFFFFF"/>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7</w:t>
            </w:r>
          </w:p>
          <w:p w:rsidR="00F02F76" w:rsidRPr="00690087" w:rsidRDefault="00F02F76" w:rsidP="00670674">
            <w:pPr>
              <w:shd w:val="clear" w:color="auto" w:fill="FFFFFF"/>
              <w:jc w:val="center"/>
              <w:rPr>
                <w:rFonts w:asciiTheme="majorBidi" w:hAnsiTheme="majorBidi" w:cstheme="majorBidi"/>
                <w:b/>
                <w:bCs/>
                <w:sz w:val="18"/>
                <w:szCs w:val="18"/>
                <w:lang w:val="ro-RO"/>
              </w:rPr>
            </w:pPr>
            <w:r w:rsidRPr="00690087">
              <w:rPr>
                <w:rFonts w:asciiTheme="majorBidi" w:hAnsiTheme="majorBidi" w:cstheme="majorBidi"/>
                <w:b/>
                <w:bCs/>
                <w:sz w:val="18"/>
                <w:szCs w:val="18"/>
                <w:lang w:val="ro-RO"/>
              </w:rPr>
              <w:t>Aprobarea și publicarea</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281.În urma consultării și finalizării etapei de proiectare pentru un proiect de capacitate incrementală în conformitate cu pct. 276 - 280, OST implicați transmit </w:t>
            </w:r>
            <w:r w:rsidRPr="00690087">
              <w:rPr>
                <w:sz w:val="18"/>
                <w:szCs w:val="18"/>
                <w:lang w:val="it-IT"/>
              </w:rPr>
              <w:t>autorităţilor naţionale de reglementare</w:t>
            </w:r>
            <w:r w:rsidRPr="00690087">
              <w:rPr>
                <w:rFonts w:asciiTheme="majorBidi" w:hAnsiTheme="majorBidi" w:cstheme="majorBidi"/>
                <w:sz w:val="18"/>
                <w:szCs w:val="18"/>
                <w:lang w:val="ro-RO"/>
              </w:rPr>
              <w:t xml:space="preserve"> propunerea de proiect pentru proiectul de capacitate incrementală, în vederea obținerii unor aprobări coordonate. Propunerea de proiect este publicată,  de OST implicați</w:t>
            </w:r>
            <w:r w:rsidRPr="00690087">
              <w:rPr>
                <w:sz w:val="18"/>
                <w:szCs w:val="18"/>
                <w:lang w:val="ro-RO"/>
              </w:rPr>
              <w:t xml:space="preserve"> în limba română şi, în măsura posibilului, în limba engleză cuprinzând</w:t>
            </w:r>
            <w:r w:rsidRPr="00690087">
              <w:rPr>
                <w:rFonts w:asciiTheme="majorBidi" w:hAnsiTheme="majorBidi" w:cstheme="majorBidi"/>
                <w:sz w:val="18"/>
                <w:szCs w:val="18"/>
                <w:lang w:val="ro-RO"/>
              </w:rPr>
              <w:t xml:space="preserve">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p>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toate nivelurile de ofertă, reflectând gama de cerere preconizată de capacitate incrementală în punctele de interconectare relevante, ca urmare a proceselor prevăzute la pct. 278 și pct. 262 - 275;</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p>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normele și condițiile generale pe care un utilizator de sistem trebuie să le accepte pentru a participa și a avea acces la capacitate în cadrul etapei obligatorii de alocare a capacității a procesului de capacitate incrementală, inclusiv orice garanții reale care urmează să fie furnizate de utilizatorii de sistem și modul în care posibilele întârzieri în furnizarea de capacitate sau în cazul unei perturbări a proiectului sunt abordate la nivel contractual;</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p>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eșalonarea proiectului de capacitate incrementală, inclusiv modificările care au survenit ca urmare a consultării descrise la pct. 273, precum și măsurile de prevenire a întârzierilor și de reducere la minimum a impactului întârzierilor;</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690087"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4) parametrii definiți la pct. 250;</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5) dacă ar fi necesar un orizont de timp extins în condiții excepționale pentru contractarea capacității pentru o perioadă suplimentară de până la 5 ani în plus față de alocarea de până la 15 ani de după începutul utilizării operaționale, în conformitate cu pct. 291 - 296;</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6) dacă este cazul, mecanismul alternativ de alocare propus, inclusiv justificarea acestuia în conformitate cu articolul pct. 292, precum și condițiile aprobate de OST pentru etapa obligatorie în conformitate cu pct. 293;</w:t>
                  </w:r>
                </w:p>
              </w:tc>
            </w:tr>
          </w:tbl>
          <w:p w:rsidR="00F02F76" w:rsidRPr="00690087" w:rsidRDefault="00F02F76" w:rsidP="00670674">
            <w:pPr>
              <w:tabs>
                <w:tab w:val="left" w:pos="851"/>
              </w:tabs>
              <w:ind w:firstLine="85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Default="00F02F76" w:rsidP="00670674">
                  <w:pPr>
                    <w:tabs>
                      <w:tab w:val="left" w:pos="851"/>
                    </w:tabs>
                    <w:ind w:firstLine="40"/>
                    <w:jc w:val="both"/>
                    <w:rPr>
                      <w:rFonts w:asciiTheme="majorBidi" w:hAnsiTheme="majorBidi" w:cstheme="majorBidi"/>
                      <w:sz w:val="18"/>
                      <w:szCs w:val="18"/>
                      <w:lang w:val="ro-RO"/>
                    </w:rPr>
                  </w:pPr>
                  <w:r w:rsidRPr="00690087">
                    <w:rPr>
                      <w:rFonts w:asciiTheme="majorBidi" w:hAnsiTheme="majorBidi" w:cstheme="majorBidi"/>
                      <w:sz w:val="18"/>
                      <w:szCs w:val="18"/>
                      <w:lang w:val="ro-RO"/>
                    </w:rPr>
                    <w:t>7) în cazul în care pentru proiectul de capacitate incrementală este urmată o abordare privind un preț fix, elementele descrise la pct. 291subpunct. 2).</w:t>
                  </w:r>
                </w:p>
                <w:p w:rsidR="001B67E4" w:rsidRPr="00690087" w:rsidRDefault="001B67E4" w:rsidP="00670674">
                  <w:pPr>
                    <w:tabs>
                      <w:tab w:val="left" w:pos="851"/>
                    </w:tabs>
                    <w:ind w:firstLine="40"/>
                    <w:jc w:val="both"/>
                    <w:rPr>
                      <w:rFonts w:asciiTheme="majorBidi" w:hAnsiTheme="majorBidi" w:cstheme="majorBidi"/>
                      <w:sz w:val="18"/>
                      <w:szCs w:val="18"/>
                      <w:lang w:val="ro-RO"/>
                    </w:rPr>
                  </w:pP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282.În termen de 6 luni de la primirea propunerii complete de proiect de către ultima dintre autoritățile naționale de reglementare competente, respectivele autorități naționale de reglementare publică decizii coordonate privind propunerea de </w:t>
            </w:r>
            <w:r w:rsidRPr="00690087">
              <w:rPr>
                <w:rFonts w:asciiTheme="majorBidi" w:hAnsiTheme="majorBidi" w:cstheme="majorBidi"/>
                <w:sz w:val="18"/>
                <w:szCs w:val="18"/>
                <w:lang w:val="ro-RO"/>
              </w:rPr>
              <w:lastRenderedPageBreak/>
              <w:t>proiect definită la pct. 281, în una sau mai multe limbi oficiale ale Părții Contractante și, în măsura posibilului, în limba engleză. Aceste decizii trebuie să includă justificări. Autoritățile naționale de reglementare se informează reciproc în legătură cu primirea propunerii de proiect și cu integralitatea ei, pentru a determina începutul perioadei de 6 luni.</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283.Atunci când pregătește decizia fiecare autoritate națională de reglementare ia în considerare punctele de vedere ale celorlalte autorități naționale de reglementare implicate. Autoritățile naționale de reglementare iau în considerare orice efecte dăunătoare asupra concurenței sau asupra funcționării eficiente a pieței interne a gazelor naturale  asociată cu proiectele de capacitate incrementală.</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284.În cazul în care o autoritate națională de reglementare relevantă aduce obiecții în legătură cu propunerea de proiect depusă, ea informează, cât mai curând posibil, celelalte autorități naționale de reglementare implicate. Într-o astfel de situație, toate autoritățile naționale de reglementare implicate trebuie să ia toate măsurile rezonabile pentru a colabora și pentru a ajunge la un acord comun.</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285.În cazul în care autoritățile naționale de reglementare relevante nu reușesc să ajungă la un acord privind mecanismul alternativ de alocare propus în termenul de 6 luni prevăzut la pct.282, Comitetului de reglementare al C E decide cu privire la mecanismul alternativ de alocare care urmează să fie pus în aplicare, urmând procesul prevăzut la pct. 128.</w:t>
            </w: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286.Odată cu publicarea deciziilor luate de autoritățile naționale de reglementare relevante în conformitate cu pct. 282 și nu mai târziu de 2 luni înainte de oferta de capacitate incrementală din cadrul licitației anuale a capacității anuale, OST publică un anunț comun în limba romnă și, după caz, în limba engleză, incluzând următoarele informații minime: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informațiile prevăzutela pct. 281, astfel cum au fost aprobate de Agenție;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un model de contract(e) privind capacitatea oferită.</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Article 28</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Approval and publication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Following the consultation and finalisation of the design phase for an incremental capacity project in accordance with Article 27, the involved transmission system operators shall submit the project proposal for an incremental capacity project to the relevant national regulatory authorities for coordinated approvals. The project proposal shall also be published by the involved transmission system operators in one or more official languages of the Contracting Party and to the extent possible in English and shall include at least the following information: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all offer levels, reflecting the range of expected demand for incremental capacity at the relevant interconnection points as a result of the processes provided for in paragraph 3 of Article 27 and Article 26;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general rules and conditions that a network user must accept to participate and access capacity in the binding capacity allocation phase of the incremental capacity process, including any collaterals to be provided by network users and how possible delays in the provision of capacity or the event of a disruption to the project are dealt with contractually;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timelines of the incremental capacity project, including any changes since the consultation described in paragraph 3 of Article 27, and measures to prevent delays and minimise the impact of delays;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the parameters defined in Article 22(1);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whether an exceptionally extended time horizon for contracting capacity for an additional period of up to 5 years beyond the allocation of up to 15 years after the start of the operational use may be required, in accordance with Article 30;</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where applicable, the proposed alternative allocation mechanism including its justification pursuant to Article 30(2) as well as the conditions approved by the transmission system operator for the binding phase pursuant to Article 30(3);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(g) where a fixed price approach is followed for the incremental capacity project, the elements described in Article 24(b) of Regulation (EU) 2017/460 .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Within 6 months of receipt of the complete project proposal by the last of the relevant regulatory authorities, those national regulatory authorities shall publish coordinated decisions on the project proposal defined in </w:t>
            </w:r>
            <w:r w:rsidRPr="00B91C10">
              <w:rPr>
                <w:rFonts w:asciiTheme="majorBidi" w:hAnsiTheme="majorBidi" w:cstheme="majorBidi"/>
                <w:sz w:val="18"/>
                <w:szCs w:val="18"/>
              </w:rPr>
              <w:lastRenderedPageBreak/>
              <w:t>paragraph 1 in one or more official languages of the Contracting Party and to the extent possible in English. The decisions shall include justifications. National regulatory authorities shall inform each other of the receipt of the project proposal and its completeness in order to determine the start of the 6 months period.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When preparing the national regulatory authority’s decision, each national regulatory authority shall consider the views of the other national regulatory authorities involved. In any case national regulatory authorities shall take into account any detrimental effects on competition or the effective functioning of the internal gas market associated with the incremental capacity projects concerned.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If a relevant national regulatory authority objects to the submitted project proposal, it shall inform the other involved national regulatory authorities as soon as possible. In such a situation, all the national regulatory authorities involved shall take all reasonable steps to work together and reach a common agreement.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the relevant national regulatory authorities cannot reach an agreement on the proposed alternative allocation mechanism within the 6 months period referred to in the first subparagraph, the Energy Community Regulatory Board shall decide on the alternative allocation mechanism to be implemented, following the process set out in Article 6(2a) of this Regulation.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Upon the publication of the decisions of the relevant national regulatory authorities pursuant to paragraph 2 and no later than 2 months before the offer of incremental capacity in the annual yearly capacity auction, the transmission system operators shall publish jointly a notice in one or more official languages of the Contracting Party and to the extent possible in English including the following minimum information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 information defined in paragraph 1 as approved by the national regulatory authorities;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(b) a template of the contract(s) related to the capacity offered.</w:t>
            </w:r>
          </w:p>
        </w:tc>
      </w:tr>
      <w:tr w:rsidR="00F02F76" w:rsidRPr="00B91C10" w:rsidTr="00670674">
        <w:trPr>
          <w:trHeight w:val="423"/>
        </w:trPr>
        <w:tc>
          <w:tcPr>
            <w:tcW w:w="5245" w:type="dxa"/>
          </w:tcPr>
          <w:p w:rsidR="00F02F76" w:rsidRPr="004D5270" w:rsidRDefault="00F02F76" w:rsidP="00670674">
            <w:pPr>
              <w:shd w:val="clear" w:color="auto" w:fill="FFFFFF"/>
              <w:jc w:val="center"/>
              <w:rPr>
                <w:rFonts w:asciiTheme="majorBidi" w:hAnsiTheme="majorBidi" w:cstheme="majorBidi"/>
                <w:i/>
                <w:iCs/>
                <w:sz w:val="18"/>
                <w:szCs w:val="18"/>
              </w:rPr>
            </w:pPr>
            <w:r w:rsidRPr="004D5270">
              <w:rPr>
                <w:rFonts w:asciiTheme="majorBidi" w:hAnsiTheme="majorBidi" w:cstheme="majorBidi"/>
                <w:i/>
                <w:iCs/>
                <w:sz w:val="18"/>
                <w:szCs w:val="18"/>
              </w:rPr>
              <w:lastRenderedPageBreak/>
              <w:t>Articolul 29</w:t>
            </w:r>
          </w:p>
          <w:p w:rsidR="00F02F76" w:rsidRPr="004D5270" w:rsidRDefault="00F02F76" w:rsidP="00670674">
            <w:pPr>
              <w:shd w:val="clear" w:color="auto" w:fill="FFFFFF"/>
              <w:jc w:val="center"/>
              <w:rPr>
                <w:rFonts w:asciiTheme="majorBidi" w:hAnsiTheme="majorBidi" w:cstheme="majorBidi"/>
                <w:b/>
                <w:bCs/>
                <w:sz w:val="18"/>
                <w:szCs w:val="18"/>
              </w:rPr>
            </w:pPr>
            <w:r w:rsidRPr="004D5270">
              <w:rPr>
                <w:rFonts w:asciiTheme="majorBidi" w:hAnsiTheme="majorBidi" w:cstheme="majorBidi"/>
                <w:b/>
                <w:bCs/>
                <w:sz w:val="18"/>
                <w:szCs w:val="18"/>
              </w:rPr>
              <w:t>Licitarea capacității incrementale</w:t>
            </w:r>
          </w:p>
          <w:p w:rsidR="00F02F76" w:rsidRDefault="00F02F76" w:rsidP="00670674">
            <w:pPr>
              <w:shd w:val="clear" w:color="auto" w:fill="FFFFFF"/>
              <w:jc w:val="both"/>
              <w:rPr>
                <w:rFonts w:asciiTheme="majorBidi" w:hAnsiTheme="majorBidi" w:cstheme="majorBidi"/>
                <w:sz w:val="18"/>
                <w:szCs w:val="18"/>
              </w:rPr>
            </w:pPr>
            <w:r w:rsidRPr="004D5270">
              <w:rPr>
                <w:rFonts w:asciiTheme="majorBidi" w:hAnsiTheme="majorBidi" w:cstheme="majorBidi"/>
                <w:sz w:val="18"/>
                <w:szCs w:val="18"/>
              </w:rPr>
              <w:t xml:space="preserve">(1)   Sub rezerva finalizării etapelor prevăzute la articolul 27, operatorii de transport și de sistem implicați oferă capacitatea incrementală împreună cu capacitatea disponibilă corespunzătoare în cadrul licitației anuale a capacității anuale ca produse agregate standard în cadrul licitațiilor cu preț crescător în conformitate cu </w:t>
            </w:r>
            <w:r w:rsidRPr="004D5270">
              <w:rPr>
                <w:rFonts w:asciiTheme="majorBidi" w:hAnsiTheme="majorBidi" w:cstheme="majorBidi"/>
                <w:sz w:val="18"/>
                <w:szCs w:val="18"/>
              </w:rPr>
              <w:lastRenderedPageBreak/>
              <w:t>articolul 17, în mod implicit, și în conformitate cu articolul 8 alineatele (8) și (9) și cu articolul 19.</w:t>
            </w:r>
          </w:p>
          <w:p w:rsidR="00F02F76" w:rsidRPr="004D5270" w:rsidRDefault="00F02F76" w:rsidP="00670674">
            <w:pPr>
              <w:shd w:val="clear" w:color="auto" w:fill="FFFFFF"/>
              <w:jc w:val="both"/>
              <w:rPr>
                <w:rFonts w:asciiTheme="majorBidi" w:hAnsiTheme="majorBidi" w:cstheme="majorBidi"/>
                <w:sz w:val="18"/>
                <w:szCs w:val="18"/>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Licitațiile pentru nivelurile de ofertă respective se desfășoară în paralel și în mod independent unele de altele, în conformitate cu articolul 17 și sub rezerva dispozițiilor articolului 8 alineatul (2). Se licitează doar nivelurile de ofertă coordonate.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Pentru a reduce la minimum primele de licitație potențiale și pentru a obține rezultate pozitive în urma testului economic pentru cel mai ridicat nivel de ofertă posibil, poate fi inițiată o nouă licitație o singură dată și numai în cazul în care: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au existat cel puțin două niveluri de ofertă stabilite de operatorii de transport și de sistem înainte de începerea licitațiilor descrise la alineatul (2);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6"/>
              <w:gridCol w:w="4903"/>
            </w:tblGrid>
            <w:tr w:rsidR="00F02F76" w:rsidRPr="00C27D66" w:rsidTr="00670674">
              <w:tc>
                <w:tcPr>
                  <w:tcW w:w="2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3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cel puțin un nivel de ofertă a fost necâștigător și dacă el a înregistrat un rezultat negativ în urma testului economic;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următorul nivel de ofertă mai mic al celui mai mic nivel de ofertă necâștigător a înregistrat rezultate pozitive în urma testului economic și a fost adjudecat cu o primă de licitație pentru cel puțin un produs standard de capacitate anuală.</w:t>
                  </w:r>
                </w:p>
              </w:tc>
            </w:tr>
          </w:tbl>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În cazul în care aceste condiții sunt îndeplinite, noua licitație poate fi inițiată pentru cel mai mic nivel de ofertă necâștigător menționat la litera (b).</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sz w:val="18"/>
                <w:szCs w:val="18"/>
                <w:lang w:val="it-IT"/>
              </w:rPr>
              <w:t>(4)   În cazul în care noua licitație nu înregistrează un rezultat pozitiv în urma testului economic, rezultatele privind alocarea ale licitației inițiale menționate la litera (c) prevalează în conformitate cu articolul 17 alineatele (20) și (21).</w:t>
            </w:r>
          </w:p>
        </w:tc>
        <w:tc>
          <w:tcPr>
            <w:tcW w:w="4820" w:type="dxa"/>
          </w:tcPr>
          <w:p w:rsidR="00F02F76"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lastRenderedPageBreak/>
              <w:t>Secțiunea 8</w:t>
            </w:r>
          </w:p>
          <w:p w:rsidR="00F02F76" w:rsidRPr="00690087"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Licitarea </w:t>
            </w:r>
            <w:r w:rsidRPr="00690087">
              <w:rPr>
                <w:rFonts w:asciiTheme="majorBidi" w:hAnsiTheme="majorBidi" w:cstheme="majorBidi"/>
                <w:b/>
                <w:bCs/>
                <w:sz w:val="18"/>
                <w:szCs w:val="18"/>
                <w:lang w:val="ro-RO"/>
              </w:rPr>
              <w:t>capacității incrementale</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287.Sub rezerva finalizării etapelor prevăzute la pct.276-280, OST implicați oferă capacitatea incrementală împreună cu capacitatea disponibilă în cadrul licitației anuale a capacității anuale ca produse agregate standard în cadrul licitațiilor cu preț </w:t>
            </w:r>
            <w:r w:rsidRPr="00690087">
              <w:rPr>
                <w:rFonts w:asciiTheme="majorBidi" w:hAnsiTheme="majorBidi" w:cstheme="majorBidi"/>
                <w:sz w:val="18"/>
                <w:szCs w:val="18"/>
                <w:lang w:val="ro-RO"/>
              </w:rPr>
              <w:lastRenderedPageBreak/>
              <w:t>crescător în conformitate cu pct. 209-230, în mod implicit, și în conformitate cu pct. 144, 144, 242 și 243.</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288.Licitațiile pentru nivelurile de ofertă respective se desfășoară în paralel și în mod independent unele de altele, în conformitate cu pct. 209 și 230 și sub rezerva dispozițiilor pct. 137. Se licitează doar nivelurile de ofertă coordonate.</w:t>
            </w:r>
          </w:p>
          <w:p w:rsidR="00F02F76" w:rsidRPr="00690087" w:rsidRDefault="00F02F76" w:rsidP="00670674">
            <w:pPr>
              <w:tabs>
                <w:tab w:val="left" w:pos="466"/>
                <w:tab w:val="left" w:pos="567"/>
                <w:tab w:val="left" w:pos="608"/>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289.Pentru a reduce la minimum posibelele prime de licitație și pentru a obține rezultate pozitive în urma testului economic pentru cel mai ridicat nivel de ofertă posibil, poate fi inițiată o nouă licitație o singură dată și numai în cazul în care: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466"/>
                      <w:tab w:val="left" w:pos="608"/>
                      <w:tab w:val="left" w:pos="1276"/>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1) au existat cel puțin 2 niveluri de ofertă stabilite de OST înainte de începerea licitațiilor descrise la pct. 289; și</w:t>
                  </w:r>
                </w:p>
              </w:tc>
            </w:tr>
          </w:tbl>
          <w:p w:rsidR="00F02F76" w:rsidRPr="00690087" w:rsidRDefault="00F02F76" w:rsidP="00670674">
            <w:pPr>
              <w:tabs>
                <w:tab w:val="left" w:pos="466"/>
                <w:tab w:val="left" w:pos="608"/>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466"/>
                      <w:tab w:val="left" w:pos="608"/>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2) cel puțin un nivel de ofertă a fost necâștigător și dacă el a înregistrat un rezultat negativ în urma testului economic; și</w:t>
                  </w:r>
                </w:p>
              </w:tc>
            </w:tr>
          </w:tbl>
          <w:p w:rsidR="00F02F76" w:rsidRPr="00690087" w:rsidRDefault="00F02F76" w:rsidP="00670674">
            <w:pPr>
              <w:tabs>
                <w:tab w:val="left" w:pos="466"/>
                <w:tab w:val="left" w:pos="608"/>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466"/>
                      <w:tab w:val="left" w:pos="608"/>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3) următorul nivel de ofertă mai mic al celui mai mic nivel de ofertă necâștigător a înregistrat rezultate pozitive în urma testului economic și a fost adjudecat cu o primă de licitație pentru cel puțin un PSC anuală.</w:t>
                  </w:r>
                </w:p>
              </w:tc>
            </w:tr>
          </w:tbl>
          <w:p w:rsidR="00F02F76" w:rsidRPr="00690087" w:rsidRDefault="00F02F76" w:rsidP="00670674">
            <w:pPr>
              <w:shd w:val="clear" w:color="auto" w:fill="FFFFFF"/>
              <w:tabs>
                <w:tab w:val="left" w:pos="466"/>
                <w:tab w:val="left" w:pos="608"/>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În cazul în care aceste condiții sunt îndeplinite, noua licitație poate fi inițiată pentru cel mai mic nivel de ofertă necâștigător menționat subpunct  2).</w:t>
            </w:r>
          </w:p>
          <w:p w:rsidR="00F02F76" w:rsidRPr="00690087" w:rsidRDefault="00F02F76" w:rsidP="00670674">
            <w:pPr>
              <w:shd w:val="clear" w:color="auto" w:fill="FFFFFF"/>
              <w:tabs>
                <w:tab w:val="left" w:pos="466"/>
                <w:tab w:val="left" w:pos="608"/>
              </w:tabs>
              <w:ind w:firstLine="41"/>
              <w:jc w:val="both"/>
              <w:rPr>
                <w:rFonts w:asciiTheme="majorBidi" w:hAnsiTheme="majorBidi" w:cstheme="majorBidi"/>
                <w:sz w:val="18"/>
                <w:szCs w:val="18"/>
                <w:lang w:val="ro-RO"/>
              </w:rPr>
            </w:pPr>
          </w:p>
          <w:p w:rsidR="00F02F76" w:rsidRPr="00690087" w:rsidRDefault="00F02F76" w:rsidP="00670674">
            <w:pPr>
              <w:shd w:val="clear" w:color="auto" w:fill="FFFFFF"/>
              <w:tabs>
                <w:tab w:val="left" w:pos="466"/>
                <w:tab w:val="left" w:pos="608"/>
              </w:tabs>
              <w:ind w:firstLine="41"/>
              <w:jc w:val="both"/>
              <w:rPr>
                <w:rFonts w:asciiTheme="majorBidi" w:hAnsiTheme="majorBidi" w:cstheme="majorBidi"/>
                <w:sz w:val="18"/>
                <w:szCs w:val="18"/>
                <w:lang w:val="ro-RO"/>
              </w:rPr>
            </w:pPr>
          </w:p>
          <w:p w:rsidR="00F02F76" w:rsidRPr="00B91C10" w:rsidRDefault="00F02F76" w:rsidP="00670674">
            <w:pPr>
              <w:tabs>
                <w:tab w:val="left" w:pos="466"/>
                <w:tab w:val="left" w:pos="567"/>
                <w:tab w:val="left" w:pos="608"/>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290.În cazul în care noua licitație nu înregistrează un rezultat pozitiv în urma testului economic, rezultatele privind alocarea ale licitației inițiale menționate la pct. 289 subpunct 3) prevalează în conformitate cu pct. 228 și 229.</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1B67E4" w:rsidRDefault="00F02F76" w:rsidP="001B67E4">
            <w:pPr>
              <w:jc w:val="center"/>
              <w:rPr>
                <w:rFonts w:asciiTheme="majorBidi" w:hAnsiTheme="majorBidi" w:cstheme="majorBidi"/>
                <w:b/>
                <w:sz w:val="18"/>
                <w:szCs w:val="18"/>
              </w:rPr>
            </w:pPr>
            <w:r w:rsidRPr="001B67E4">
              <w:rPr>
                <w:rFonts w:asciiTheme="majorBidi" w:hAnsiTheme="majorBidi" w:cstheme="majorBidi"/>
                <w:b/>
                <w:sz w:val="18"/>
                <w:szCs w:val="18"/>
              </w:rPr>
              <w:lastRenderedPageBreak/>
              <w:t>Article 29</w:t>
            </w:r>
          </w:p>
          <w:p w:rsidR="00F02F76" w:rsidRPr="00B91C10" w:rsidRDefault="00F02F76" w:rsidP="001B67E4">
            <w:pPr>
              <w:jc w:val="center"/>
              <w:rPr>
                <w:rFonts w:asciiTheme="majorBidi" w:hAnsiTheme="majorBidi" w:cstheme="majorBidi"/>
                <w:b/>
                <w:bCs/>
                <w:sz w:val="18"/>
                <w:szCs w:val="18"/>
              </w:rPr>
            </w:pPr>
            <w:r w:rsidRPr="00B91C10">
              <w:rPr>
                <w:rFonts w:asciiTheme="majorBidi" w:hAnsiTheme="majorBidi" w:cstheme="majorBidi"/>
                <w:b/>
                <w:bCs/>
                <w:sz w:val="18"/>
                <w:szCs w:val="18"/>
              </w:rPr>
              <w:t>Auctioning of incremental capacity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Subject to the completion of the steps provided for in Article 27, the involved transmission system operators shall offer the incremental capacity together with the respective available capacity in the annual yearly capacity auction as standard bundled products in </w:t>
            </w:r>
            <w:r w:rsidRPr="00B91C10">
              <w:rPr>
                <w:rFonts w:asciiTheme="majorBidi" w:hAnsiTheme="majorBidi" w:cstheme="majorBidi"/>
                <w:sz w:val="18"/>
                <w:szCs w:val="18"/>
              </w:rPr>
              <w:lastRenderedPageBreak/>
              <w:t>ascending clock auctions according to Article 17 as a default and in accordance with Article 8(8) and (9) and Article 19.</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The auctions for the respective offer levels shall be conducted in parallel and independently from each other in accordance with Article 17 and subject to Article 8(2). Only coordinated offer levels shall be auctioned.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In order to minimise potential auction premia and to achieve a positive economic test outcome for the highest possible offer level, a new auction may be initiated once and only if:</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there were at least two offer levels set by the transmission system operators before the start of the auctions described in paragraph 2;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at least one offer level was unsuccessful and resulted in a negative economic test; and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next smaller offer level of the lowest unsuccessful offer level resulted in a positive economic test, and cleared with an auction premium for at least one yearly standard capacity product. If these conditions are met, the new auction may be initiated for the lowest unsuccessful offer level referred in point (b).</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4. If the new auction does not result in a positive economic test outcome, the allocation results of the original auction referred to in point (c) shall prevail in accordance with Articles 17(20) and (21).</w:t>
            </w:r>
          </w:p>
        </w:tc>
      </w:tr>
      <w:tr w:rsidR="00F02F76" w:rsidRPr="00B91C10" w:rsidTr="00782595">
        <w:trPr>
          <w:trHeight w:val="706"/>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30</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Principiile mecanismelor alternative de alocare</w:t>
            </w:r>
          </w:p>
          <w:p w:rsidR="00F02F76" w:rsidRPr="00307153" w:rsidRDefault="00F02F76" w:rsidP="001B67E4">
            <w:pPr>
              <w:pStyle w:val="ListParagraph"/>
              <w:numPr>
                <w:ilvl w:val="0"/>
                <w:numId w:val="53"/>
              </w:numPr>
              <w:shd w:val="clear" w:color="auto" w:fill="FFFFFF"/>
              <w:tabs>
                <w:tab w:val="left" w:pos="319"/>
              </w:tabs>
              <w:ind w:left="38" w:hanging="38"/>
              <w:jc w:val="both"/>
              <w:rPr>
                <w:rFonts w:asciiTheme="majorBidi" w:hAnsiTheme="majorBidi" w:cstheme="majorBidi"/>
                <w:sz w:val="18"/>
                <w:szCs w:val="18"/>
                <w:lang w:val="it-IT"/>
              </w:rPr>
            </w:pPr>
            <w:r w:rsidRPr="00307153">
              <w:rPr>
                <w:rFonts w:asciiTheme="majorBidi" w:hAnsiTheme="majorBidi" w:cstheme="majorBidi"/>
                <w:sz w:val="18"/>
                <w:szCs w:val="18"/>
                <w:lang w:val="it-IT"/>
              </w:rPr>
              <w:t>Un mecanism alternativ de alocare acoperă o perioadă de maximum 15 ani de la începerea utilizării operaționale. În cazul în care testul economic nu duce la rezultate pozitive pe baza rezervărilor pe 15 ani, autoritățile naționale de reglementare pot să extindă în mod excepțional orizontul de timp cu până la încă cinci ani.</w:t>
            </w:r>
          </w:p>
          <w:p w:rsidR="00F02F76" w:rsidRDefault="00F02F76" w:rsidP="00670674">
            <w:pPr>
              <w:shd w:val="clear" w:color="auto" w:fill="FFFFFF"/>
              <w:jc w:val="both"/>
              <w:rPr>
                <w:rFonts w:asciiTheme="majorBidi" w:hAnsiTheme="majorBidi" w:cstheme="majorBidi"/>
                <w:sz w:val="18"/>
                <w:szCs w:val="18"/>
                <w:lang w:val="it-IT"/>
              </w:rPr>
            </w:pPr>
          </w:p>
          <w:p w:rsidR="00F02F76" w:rsidRPr="00307153"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Sub rezerva aprobării autorităților naționale de reglementare, poate fi folosit un mecanism alternativ de alocare a capacității în cazul în care este rezonabil să se concluzioneze, în urma evaluării cererii de pe piață efectuate în temeiul articolului 26 sau în urma consultării definite la articolul 27 alineatul (3), că licitația cu preț crescător nu este adecvată și că proiectul de capacitate incrementală îndeplinește următoarele două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implică mai mult de două sisteme de intrare/ieșire, iar ofertele sunt solicitate pentru mai multe puncte de interconectare în cadrul procedurii de alocare;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7"/>
              <w:gridCol w:w="4752"/>
            </w:tblGrid>
            <w:tr w:rsidR="00F02F76" w:rsidRPr="00C27D66" w:rsidTr="00670674">
              <w:tc>
                <w:tcPr>
                  <w:tcW w:w="49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56"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sunt solicitate oferte cu o durată mai mare de un an.</w:t>
                  </w:r>
                </w:p>
                <w:p w:rsidR="001B67E4" w:rsidRPr="00B91C10" w:rsidRDefault="001B67E4"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cadrul unui mecanism alternativ de alocare, utilizatorii rețelei pot prezenta oferte condiționate obligatorii pentru contractarea de capacitate, sub rezerva îndeplinirii uneia sau mai multora dintre următoarele condiții specificate de operatorii de transport și de sistem în propunerea de proiect aprobată în conformitate cu articolul 28 alineatul (1):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5"/>
              <w:gridCol w:w="4854"/>
            </w:tblGrid>
            <w:tr w:rsidR="00F02F76" w:rsidRPr="00C27D66" w:rsidTr="00670674">
              <w:tc>
                <w:tcPr>
                  <w:tcW w:w="30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4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angajamente care includ sau exclud angajamente în alte puncte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3"/>
              <w:gridCol w:w="4876"/>
            </w:tblGrid>
            <w:tr w:rsidR="00F02F76" w:rsidRPr="00C27D66" w:rsidTr="00670674">
              <w:tc>
                <w:tcPr>
                  <w:tcW w:w="26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8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angajamente între mai multe produse standard de capacitate anuală într-un punct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1"/>
              <w:gridCol w:w="4858"/>
            </w:tblGrid>
            <w:tr w:rsidR="00F02F76" w:rsidRPr="00C27D66" w:rsidTr="00670674">
              <w:tc>
                <w:tcPr>
                  <w:tcW w:w="30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53"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angajamente condiționate de alocarea unui volum specific sau minim de capacitate.</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Mecanismul alternativ de alocare face obiectul aprobărilor de către autoritățile naționale de reglementare în cauză, în conformitate cu articolul 28 alineatul (2). Mecanismul trebuie să fie transparent și nediscriminatoriu, dar el poate permite prioritizarea duratei de rezervare sau a ofertelor pentru volume mai mari de capacitate pentru un produs standard de capacitate anuală.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(5)   În cazul în care se acordă prioritate duratei de rezervare sau ofertelor pentru volume mai mari de capacitate, autoritățile naționale de reglementare decid să rezerve un volum de cel puțin 10 % și de până la 20 % din capacitatea tehnică în fiecare punct de interconectare atunci când aplică articolul 8 alineatul (8). Capacitatea rezervată în acest mod este oferită în conformitate cu articolul 8 alineatul (7).</w:t>
            </w:r>
          </w:p>
        </w:tc>
        <w:tc>
          <w:tcPr>
            <w:tcW w:w="4820" w:type="dxa"/>
          </w:tcPr>
          <w:p w:rsidR="00F02F76" w:rsidRPr="00690087" w:rsidRDefault="00F02F76" w:rsidP="00670674">
            <w:pPr>
              <w:shd w:val="clear" w:color="auto" w:fill="FFFFFF"/>
              <w:spacing w:line="312" w:lineRule="atLeast"/>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9</w:t>
            </w:r>
          </w:p>
          <w:p w:rsidR="00F02F76" w:rsidRPr="00690087" w:rsidRDefault="00F02F76" w:rsidP="00670674">
            <w:pPr>
              <w:shd w:val="clear" w:color="auto" w:fill="FFFFFF"/>
              <w:spacing w:line="312" w:lineRule="atLeast"/>
              <w:jc w:val="center"/>
              <w:rPr>
                <w:rFonts w:asciiTheme="majorBidi" w:hAnsiTheme="majorBidi" w:cstheme="majorBidi"/>
                <w:b/>
                <w:bCs/>
                <w:sz w:val="18"/>
                <w:szCs w:val="18"/>
                <w:lang w:val="ro-RO"/>
              </w:rPr>
            </w:pPr>
            <w:r w:rsidRPr="00690087">
              <w:rPr>
                <w:rFonts w:asciiTheme="majorBidi" w:hAnsiTheme="majorBidi" w:cstheme="majorBidi"/>
                <w:b/>
                <w:bCs/>
                <w:sz w:val="18"/>
                <w:szCs w:val="18"/>
                <w:lang w:val="ro-RO"/>
              </w:rPr>
              <w:t>Principiile mecanismelor alternative de alocare a capacității</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291.Un mecanism alternativ de alocare a capacității poate prevedea o perioadă de maximum 15 ani de la începerea utilizării operaționale. În cazul în care testul economic nu duce la rezultate pozitive pe baza rezervărilor pe 15 ani, Agenția poate să extindă în mod excepțional termenul cu până la încă 5 ani.</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292.Un mecanism alternativ de alocare a capacității poate fi utilizat sub rezerva aprobării Agenției, în cazul în care este rezonabil să se concluzioneze, în urma evaluării cererii de pe piață efectuate în temeiul pct. 262-275 sau în urma consultării definite la pct. 278, potrivit căreia, licitația cu preț crescător nu este potrivită și că proiectul de capacitate incrementală îndeplinește următoarele 2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1) implică mai mult de 2 sisteme de intrare/ieșire, iar ofertele sunt solicitate pentru mai multe puncte de interconectare în cadrul procedurii de alocare;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40"/>
                    <w:jc w:val="both"/>
                    <w:rPr>
                      <w:rFonts w:asciiTheme="majorBidi" w:hAnsiTheme="majorBidi" w:cstheme="majorBidi"/>
                      <w:sz w:val="18"/>
                      <w:szCs w:val="18"/>
                      <w:lang w:val="ro-RO"/>
                    </w:rPr>
                  </w:pPr>
                  <w:r w:rsidRPr="00690087">
                    <w:rPr>
                      <w:rFonts w:asciiTheme="majorBidi" w:hAnsiTheme="majorBidi" w:cstheme="majorBidi"/>
                      <w:sz w:val="18"/>
                      <w:szCs w:val="18"/>
                      <w:lang w:val="ro-RO"/>
                    </w:rPr>
                    <w:t>2)se solicită oferte cu o durată mai mare de un an.</w:t>
                  </w:r>
                </w:p>
                <w:p w:rsidR="00F02F76" w:rsidRPr="00690087" w:rsidRDefault="00F02F76" w:rsidP="00670674">
                  <w:pPr>
                    <w:tabs>
                      <w:tab w:val="left" w:pos="851"/>
                    </w:tabs>
                    <w:ind w:left="1080"/>
                    <w:jc w:val="both"/>
                    <w:rPr>
                      <w:rFonts w:asciiTheme="majorBidi" w:hAnsiTheme="majorBidi" w:cstheme="majorBidi"/>
                      <w:sz w:val="18"/>
                      <w:szCs w:val="18"/>
                      <w:lang w:val="ro-RO"/>
                    </w:rPr>
                  </w:pPr>
                </w:p>
              </w:tc>
            </w:tr>
          </w:tbl>
          <w:p w:rsidR="00F02F76" w:rsidRPr="00690087" w:rsidRDefault="00F02F76" w:rsidP="00670674">
            <w:pPr>
              <w:tabs>
                <w:tab w:val="left" w:pos="567"/>
                <w:tab w:val="left" w:pos="851"/>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293.În cadrul unui mecanism alternativ de alocare, utilizatorii de sistem pot prezenta oferte condiționate obligatorii pentru contractarea capacității, sub rezerva îndeplinirii uneia sau mai multora dintre următoarele condiții specificate de OST în propunerea de proiect aprobată în conformitate cu pct. 281: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angajamente care includ sau exclud angajamente în alte puncte de interconectare;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angajamente între mai multe PSC anuală într-un punct de interconectare;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angajamente condiționate de capacitatea alocată  capacității.</w:t>
                  </w:r>
                </w:p>
              </w:tc>
            </w:tr>
          </w:tbl>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294.Mecanismul alternativ de alocare face obiectul aprobărilor de către Agenție, în conformitate cu pct. 287. Mecanismul trebuie să fie transparent și nediscriminatoriu, dar el poate permite prioritizarea duratei de rezervare sau a ofertelor de capacitate pentru un PSC anuală.</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jc w:val="both"/>
              <w:rPr>
                <w:rFonts w:asciiTheme="majorBidi" w:hAnsiTheme="majorBidi" w:cstheme="majorBidi"/>
                <w:b/>
                <w:sz w:val="18"/>
                <w:szCs w:val="18"/>
                <w:lang w:val="it-IT"/>
              </w:rPr>
            </w:pPr>
            <w:r w:rsidRPr="00690087">
              <w:rPr>
                <w:rFonts w:asciiTheme="majorBidi" w:hAnsiTheme="majorBidi" w:cstheme="majorBidi"/>
                <w:sz w:val="18"/>
                <w:szCs w:val="18"/>
                <w:lang w:val="ro-RO"/>
              </w:rPr>
              <w:t>95.În cazul în care se acordă prioritate termenului (periodei) de rezervare sau ofertelor mai mari  de capacitate, autoritățile naționale de reglementare decid să rezerve cel puțin 10 % din capacitatea tehnică  și până la 20 % din capacitatea tehnică pentru fiecare punct de interconectare atunci când aplică pct. 143. Capacitatea rezervată în acest mod este oferită în conformitate cu pct. 142.</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 xml:space="preserve">Article 30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Principles for alternative allocation mechanisms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An alternative allocation mechanism covers a maximum of 15 years after the start of operational use.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If the economic test could not be passed based on the 15 years’ bookings, national regulatory authorities may exceptionally extend the time horizon by up to 5 additional years.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An alternative capacity allocation mechanism can be used, subject to national regulatory authorities’ approval, where it is reasonable to conclude from the market demand assessment pursuant to Article 26 or the consultation defined in Article 27(3) that the ascending clock auction is not suitable and that the incremental capacity project fulfils both of the following conditions: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(a) it involves more than two entry-exit systems and bids are requested along several interconnection points during the allocation procedure;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bids with a duration of more than 1 year are requested.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In an alternative allocation mechanism network users may submit binding conditional bids for contracting capacity subject to one or more of the following conditions specified by the transmission system operators in the approved project proposal pursuant to Article 28(1):</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commitments linking or excluding commitments at other interconnection points;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commitments across a number of different yearly standard capacity products at an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commitments conditional on the allocation of a specific or minimum amount of capacity.</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The alternative allocation mechanism is subject to approvals by the concerned national regulatory authorities according to Article 28(2). The mechanism shall be transparent and non-discriminatory but may allow for the prioritisation of booking duration or bids for higher amounts of capacity for a yearly standard capacity product.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5. If either booking duration or bids for higher amounts of capacity are prioritised, national regulatory authorities shall decide on setting aside an amount of at least 10 % and up to 20 % of the technical capacity at each interconnection point when applying Article 8(8). Capacity set aside in this manner shall be offered in accordance with Article 8(7).</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lastRenderedPageBreak/>
              <w:t>Articolul 31</w:t>
            </w:r>
          </w:p>
          <w:p w:rsidR="00F02F76" w:rsidRPr="00B91C10"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Dispozițiile tranzitorii</w:t>
            </w:r>
          </w:p>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sz w:val="18"/>
                <w:szCs w:val="18"/>
              </w:rPr>
              <w:t>În cazul proiectelor de capacitate incrementală inițiate înainte de intrarea în vigoare a prezentului regulament, se aplică articolele 26-30, cu excepția cazului în care aceste proiecte au primit aprobările</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 xml:space="preserve">Secțiunea </w:t>
            </w:r>
            <w:r>
              <w:rPr>
                <w:rFonts w:asciiTheme="majorBidi" w:hAnsiTheme="majorBidi" w:cstheme="majorBidi"/>
                <w:b/>
                <w:iCs/>
                <w:sz w:val="18"/>
                <w:szCs w:val="18"/>
                <w:lang w:val="ro-RO"/>
              </w:rPr>
              <w:t>9</w:t>
            </w:r>
          </w:p>
          <w:p w:rsidR="00F02F76" w:rsidRPr="00B91C10" w:rsidRDefault="00F02F76" w:rsidP="00670674">
            <w:pPr>
              <w:tabs>
                <w:tab w:val="left" w:pos="851"/>
              </w:tabs>
              <w:jc w:val="both"/>
              <w:outlineLvl w:val="0"/>
              <w:rPr>
                <w:rFonts w:asciiTheme="majorBidi" w:hAnsiTheme="majorBidi" w:cstheme="majorBidi"/>
                <w:b/>
                <w:sz w:val="18"/>
                <w:szCs w:val="18"/>
                <w:lang w:val="it-IT"/>
              </w:rPr>
            </w:pPr>
            <w:r>
              <w:rPr>
                <w:rFonts w:asciiTheme="majorBidi" w:hAnsiTheme="majorBidi" w:cstheme="majorBidi"/>
                <w:sz w:val="18"/>
                <w:szCs w:val="18"/>
                <w:lang w:val="ro-RO"/>
              </w:rPr>
              <w:t>296</w:t>
            </w:r>
            <w:r w:rsidRPr="00B91C10">
              <w:rPr>
                <w:rFonts w:asciiTheme="majorBidi" w:hAnsiTheme="majorBidi" w:cstheme="majorBidi"/>
                <w:sz w:val="18"/>
                <w:szCs w:val="18"/>
                <w:lang w:val="ro-RO"/>
              </w:rPr>
              <w:t xml:space="preserve">.În cazul proiectelor de capacitate incrementală inițiate înainte de data intrării în vigoare  a prezentului Cod, se aplică </w:t>
            </w:r>
            <w:r w:rsidRPr="00B91C10">
              <w:rPr>
                <w:rFonts w:asciiTheme="majorBidi" w:hAnsiTheme="majorBidi" w:cstheme="majorBidi"/>
                <w:sz w:val="18"/>
                <w:szCs w:val="18"/>
                <w:highlight w:val="lightGray"/>
                <w:lang w:val="ro-RO"/>
              </w:rPr>
              <w:t>pct. 26</w:t>
            </w:r>
            <w:r>
              <w:rPr>
                <w:rFonts w:asciiTheme="majorBidi" w:hAnsiTheme="majorBidi" w:cstheme="majorBidi"/>
                <w:sz w:val="18"/>
                <w:szCs w:val="18"/>
                <w:highlight w:val="lightGray"/>
                <w:lang w:val="ro-RO"/>
              </w:rPr>
              <w:t>2</w:t>
            </w:r>
            <w:r w:rsidRPr="00B91C10">
              <w:rPr>
                <w:rFonts w:asciiTheme="majorBidi" w:hAnsiTheme="majorBidi" w:cstheme="majorBidi"/>
                <w:sz w:val="18"/>
                <w:szCs w:val="18"/>
                <w:highlight w:val="lightGray"/>
                <w:lang w:val="ro-RO"/>
              </w:rPr>
              <w:t>-</w:t>
            </w:r>
            <w:r>
              <w:rPr>
                <w:rFonts w:asciiTheme="majorBidi" w:hAnsiTheme="majorBidi" w:cstheme="majorBidi"/>
                <w:sz w:val="18"/>
                <w:szCs w:val="18"/>
                <w:lang w:val="ro-RO"/>
              </w:rPr>
              <w:t>295</w:t>
            </w:r>
            <w:r w:rsidRPr="00B91C10">
              <w:rPr>
                <w:rFonts w:asciiTheme="majorBidi" w:hAnsiTheme="majorBidi" w:cstheme="majorBidi"/>
                <w:sz w:val="18"/>
                <w:szCs w:val="18"/>
                <w:lang w:val="ro-RO"/>
              </w:rPr>
              <w:t>, cu excepția cazului în care aceste proiecte au primit aprobările aplicabile pentru alocarea capacității din partea autorităților naționale de reglementare competente înainte de expirarea a 4 luni de la data întrării în vigoare a prezentului Cod.</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Article 31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Transitional arrangements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In the case of incremental capacity projects initiated before the expiry of the deadline for transposition of this Regulation in the Energy Community, Articles 26 to 30 shall apply unless such projects have been granted the applicable approvals for capacity allocation by the respective national regulatory authorities before 4 month after expiry of the deadline for transposition of this Regulation in the Energy Community</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CAPITOLUL VI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CAPACITATE ÎNTRERUPTIBILĂ</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32</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Alocarea de servicii întreruptibile</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(1)   Începând cu 1 ianuarie 2018, operatorii de transport și de sistem pot oferi numai produse standard de capacitate pentru capacitate întreruptibilă cu o durată mai mare de o zi, dacă produsul standard de capacitate lunară, trimestrială sau anuală pentru capacitate fermă aferent a fost vândut cu o primă de licitație, dacă a fost epuizat sau dacă nua fost oferit.</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oferă un produs de capacitate zilnică pentru capacitatea întreruptibilă în ambele direcții în punctele de interconectare în care respectivul produs standard de capacitate pentru capacitate fermă a fost epuizat pentru ziua următoare sau nu a fost oferit. În punctele de interconectare unidirecționale în care capacitatea fermă este oferită doar într-o singură direcție, operatorii de transport și de sistem oferă cel puțin un produs zilnic pentru capacitate întreruptibilă în direcția opusă.</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cazul în care se oferă capacitate întreruptibilă, acest fapt nu afectează oferta de capacitate fermă. operatorii de transport și de sistem nu rezervă capacitate care poate fi oferită drept capacitate fermă pentru a o oferi drept capacitate întreruptibilă.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măsura în care se oferă produse de capacitate întreruptibilă, altele decât produse zilnice, aceleași produse standard de capacitate pentru capacitatea fermă se aplică și pentru capacitatea întreruptibilă, în ceea ce privește durata produselor.</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măsura în care se oferă capacitate întreruptibilă, aceasta se alocă prin intermediul unui proces de licitație, cu excepția capacității întreruptibile intra-zilnice.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Capacitatea întreruptibilă intra-zilnică se alocă prin intermediul unei proceduri de supranominalizare.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Capacitatea întreruptibilă intra-zilnică se alocă numai atunci când capacitatea fermă, indiferent dacă este vorba despre capacitate tehnică sau capacitate suplimentară, este epuizată.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În cazul în care se organizează licitații pentru produse întreruptibile cu o durată mai mare decât cea intra-zilnică, operatorii de transport și de sistem publică volumele de capacitate întreruptibilă oferite, în cazul în care acestea sunt cunoscute, înainte de începerea procesului de licitație.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Dacă se oferă capacitate întreruptibilă, aceasta se alocă prin intermediul unei licitații separate după ce a fost alocată o capacitate fermă cu o durată echivalentă, dar înainte să înceapă licitația pentru capacitatea fermă cu o durată mai mică, cu excepția capacității întreruptibile intra-zilnice.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(10)   Dacă se oferă posibilitatea unor licitații de capacitate întreruptibilă, acestea se desfășoară în conformitate cu aceleași principii de proiectare și cu aceeași frecvență ca și cele aplicate în cazul capacității ferme. Datele exacte ale licitațiilor care vor fi utilizate în cazul licitațiilor capacității întreruptibile sunt prezentate în detaliu în calendarul licitației, cu excepția capacității întreruptibile intra-zilnice. Pentru licitațiile anuale ale capacității anuale, pentru toate licitațiile anuale ale capacității trimestriale și pentru toate licitațiile periodice ale capacității lunare, operatorii de transport și de sistem informează utilizatorii rețelei cu privire la volumul de capacitate întreruptibilă care urmează să fie oferit cu o săptămână înainte de începerea licitației. În cazul în care o licitație de capacitate fermă nu s-a închis în ziua de începere stabilită pentru licitațiile întreruptibile, licitațiile de capacitate întreruptibilă se deschid cel târziu în următoarea zi lucrătoare după închiderea licitațiilor de capacitate fermă respective. În astfel de cazuri, orice modificare a volumelor oferite este notificată cu cel puțin 12 ore înainte de începerea licitației de capacitate întreruptibilă respectivă.</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VI</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CAPACITATE ÎNTRERUPTIBILĂ</w:t>
            </w:r>
          </w:p>
          <w:p w:rsidR="00F02F76" w:rsidRPr="00B91C10"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Alocarea serviciilor întreruptibile</w:t>
            </w:r>
          </w:p>
          <w:p w:rsidR="00690087" w:rsidRDefault="00690087" w:rsidP="00670674">
            <w:pPr>
              <w:tabs>
                <w:tab w:val="left" w:pos="567"/>
                <w:tab w:val="left" w:pos="851"/>
              </w:tabs>
              <w:jc w:val="both"/>
              <w:outlineLvl w:val="0"/>
              <w:rPr>
                <w:rFonts w:asciiTheme="majorBidi" w:hAnsiTheme="majorBidi" w:cstheme="majorBidi"/>
                <w:sz w:val="18"/>
                <w:szCs w:val="18"/>
                <w:lang w:val="ro-RO"/>
              </w:rPr>
            </w:pPr>
          </w:p>
          <w:p w:rsidR="00BE32BE" w:rsidRPr="00997596" w:rsidRDefault="00BE32BE" w:rsidP="00BE32BE">
            <w:pPr>
              <w:shd w:val="clear" w:color="auto" w:fill="FFFFFF"/>
              <w:jc w:val="both"/>
              <w:rPr>
                <w:rFonts w:asciiTheme="majorBidi" w:hAnsiTheme="majorBidi" w:cstheme="majorBidi"/>
                <w:b/>
                <w:sz w:val="18"/>
                <w:szCs w:val="18"/>
                <w:lang w:val="ro-RO"/>
              </w:rPr>
            </w:pPr>
            <w:r w:rsidRPr="00997596">
              <w:rPr>
                <w:rFonts w:asciiTheme="majorBidi" w:hAnsiTheme="majorBidi" w:cstheme="majorBidi"/>
                <w:b/>
                <w:sz w:val="18"/>
                <w:szCs w:val="18"/>
                <w:lang w:val="ro-RO"/>
              </w:rPr>
              <w:lastRenderedPageBreak/>
              <w:t>297</w:t>
            </w:r>
            <w:r w:rsidRPr="00997596">
              <w:rPr>
                <w:rFonts w:asciiTheme="majorBidi" w:hAnsiTheme="majorBidi" w:cstheme="majorBidi"/>
                <w:b/>
                <w:sz w:val="18"/>
                <w:szCs w:val="18"/>
                <w:vertAlign w:val="superscript"/>
                <w:lang w:val="ro-RO"/>
              </w:rPr>
              <w:t>1</w:t>
            </w:r>
            <w:r w:rsidRPr="00997596">
              <w:rPr>
                <w:rFonts w:asciiTheme="majorBidi" w:hAnsiTheme="majorBidi" w:cstheme="majorBidi"/>
                <w:b/>
                <w:sz w:val="18"/>
                <w:szCs w:val="18"/>
                <w:lang w:val="ro-RO"/>
              </w:rPr>
              <w:t xml:space="preserve"> </w:t>
            </w:r>
            <w:r w:rsidR="00CF455C" w:rsidRPr="00997596">
              <w:rPr>
                <w:rFonts w:asciiTheme="majorBidi" w:hAnsiTheme="majorBidi" w:cstheme="majorBidi"/>
                <w:b/>
                <w:sz w:val="18"/>
                <w:szCs w:val="18"/>
                <w:lang w:val="ro-RO"/>
              </w:rPr>
              <w:t xml:space="preserve">OST pot oferi </w:t>
            </w:r>
            <w:r w:rsidRPr="00997596">
              <w:rPr>
                <w:rFonts w:asciiTheme="majorBidi" w:hAnsiTheme="majorBidi" w:cstheme="majorBidi"/>
                <w:b/>
                <w:sz w:val="18"/>
                <w:szCs w:val="18"/>
                <w:lang w:val="ro-RO"/>
              </w:rPr>
              <w:t>numai PCS pentru capacitate întreruptibilă cu o durată mai mare de o zi, dacă produsul standard de capacitate lunară, trimestrială sau anuală pentru capacitate fermă aferent a fost vândut cu o primă de licitație, dacă a fost epuizat sau dacă nua fost oferit.</w:t>
            </w:r>
          </w:p>
          <w:p w:rsidR="00782595" w:rsidRPr="00997596" w:rsidRDefault="00BE32BE" w:rsidP="00670674">
            <w:pPr>
              <w:tabs>
                <w:tab w:val="left" w:pos="567"/>
                <w:tab w:val="left" w:pos="851"/>
              </w:tabs>
              <w:jc w:val="both"/>
              <w:outlineLvl w:val="0"/>
              <w:rPr>
                <w:rFonts w:asciiTheme="majorBidi" w:hAnsiTheme="majorBidi" w:cstheme="majorBidi"/>
                <w:b/>
                <w:sz w:val="18"/>
                <w:szCs w:val="18"/>
                <w:lang w:val="ro-RO"/>
              </w:rPr>
            </w:pPr>
            <w:r w:rsidRPr="00997596">
              <w:rPr>
                <w:rFonts w:asciiTheme="majorBidi" w:hAnsiTheme="majorBidi" w:cstheme="majorBidi"/>
                <w:b/>
                <w:sz w:val="18"/>
                <w:szCs w:val="18"/>
                <w:lang w:val="ro-RO"/>
              </w:rPr>
              <w:t xml:space="preserve"> </w:t>
            </w:r>
          </w:p>
          <w:p w:rsidR="00782595" w:rsidRDefault="00782595"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297</w:t>
            </w:r>
            <w:r w:rsidRPr="00B91C10">
              <w:rPr>
                <w:rFonts w:asciiTheme="majorBidi" w:hAnsiTheme="majorBidi" w:cstheme="majorBidi"/>
                <w:sz w:val="18"/>
                <w:szCs w:val="18"/>
                <w:lang w:val="ro-RO"/>
              </w:rPr>
              <w:t xml:space="preserve">.OST oferă un produs de capacitate zilnică pentru capacitatea întreruptibilă acolo unde este posibil în ambele direcții în punctele de interconectare în care respectivul PSC pentru capacitate fermă a fost epuizat pentru ziua următoare sau nu a fost oferit. În punctele de interconectare unidirecționale în care capacitatea fermă este oferită doar într-o singură direcție, OST oferă cel puțin un produs zilnic pentru capacitate întreruptibilă în direcția opusă. </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690087" w:rsidRDefault="00690087"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298</w:t>
            </w:r>
            <w:r w:rsidRPr="00B91C10">
              <w:rPr>
                <w:rFonts w:asciiTheme="majorBidi" w:hAnsiTheme="majorBidi" w:cstheme="majorBidi"/>
                <w:sz w:val="18"/>
                <w:szCs w:val="18"/>
                <w:lang w:val="ro-RO"/>
              </w:rPr>
              <w:t>.În cazul în care se oferă capacitate întreruptibilă, acest fapt nu trebuie să afecteze oferta de capacitate fermă. OST nu rezervă capacitate care poate fi oferită drept capacitate fermă pentru a o oferi în calitate de capacitate întreruptibilă.</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299</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În măsura în care se oferă produse de capacitate întreruptibilă, altele decât produse zilnice, aceleași PSC pentru capacitatea fermă se aplică și pentru capacitatea întreruptibilă, în ceea ce privește durata produselor.</w:t>
            </w:r>
          </w:p>
          <w:p w:rsidR="00690087" w:rsidRDefault="00690087" w:rsidP="00670674">
            <w:pPr>
              <w:tabs>
                <w:tab w:val="left" w:pos="567"/>
                <w:tab w:val="left" w:pos="851"/>
              </w:tabs>
              <w:jc w:val="both"/>
              <w:outlineLvl w:val="0"/>
              <w:rPr>
                <w:rFonts w:asciiTheme="majorBidi" w:hAnsiTheme="majorBidi" w:cstheme="majorBidi"/>
                <w:sz w:val="18"/>
                <w:szCs w:val="18"/>
                <w:lang w:val="ro-RO"/>
              </w:rPr>
            </w:pPr>
          </w:p>
          <w:p w:rsidR="00690087" w:rsidRPr="00B91C10" w:rsidRDefault="00690087"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0</w:t>
            </w:r>
            <w:r w:rsidRPr="00B91C10">
              <w:rPr>
                <w:rFonts w:asciiTheme="majorBidi" w:hAnsiTheme="majorBidi" w:cstheme="majorBidi"/>
                <w:sz w:val="18"/>
                <w:szCs w:val="18"/>
                <w:lang w:val="ro-RO"/>
              </w:rPr>
              <w:t>.În măsura în care se oferă capacitate întreruptibilă, aceasta se alocă prin intermediul unui proces de licitație, cu excepția capacității întreruptibile intra-zilnice.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1</w:t>
            </w:r>
            <w:r w:rsidRPr="00B91C10">
              <w:rPr>
                <w:rFonts w:asciiTheme="majorBidi" w:hAnsiTheme="majorBidi" w:cstheme="majorBidi"/>
                <w:sz w:val="18"/>
                <w:szCs w:val="18"/>
                <w:lang w:val="ro-RO"/>
              </w:rPr>
              <w:t>.Capacitatea întreruptibilă intra-zilnică se alocă prin intermediul unei proceduri de supranominalizare.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2</w:t>
            </w:r>
            <w:r w:rsidRPr="00B91C10">
              <w:rPr>
                <w:rFonts w:asciiTheme="majorBidi" w:hAnsiTheme="majorBidi" w:cstheme="majorBidi"/>
                <w:sz w:val="18"/>
                <w:szCs w:val="18"/>
                <w:lang w:val="ro-RO"/>
              </w:rPr>
              <w:t>.Capacitatea întreruptibilă intra-zilnică se alocă numai atunci când capacitatea fermă, indiferent dacă este vorba despre capacitate tehnică sau capacitate suplimentară, este epuizată.</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3</w:t>
            </w:r>
            <w:r w:rsidRPr="00B91C10">
              <w:rPr>
                <w:rFonts w:asciiTheme="majorBidi" w:hAnsiTheme="majorBidi" w:cstheme="majorBidi"/>
                <w:sz w:val="18"/>
                <w:szCs w:val="18"/>
                <w:lang w:val="ro-RO"/>
              </w:rPr>
              <w:t>.În cazul în care se organizează licitații pentru produse întreruptibile cu o durată mai mare decât cea intra-zilnică, OST publică volumele de capacitate întreruptibilă oferite, în cazul în care acestea sunt cunoscute, înainte de începerea procesului de licitație.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4</w:t>
            </w:r>
            <w:r w:rsidRPr="00B91C10">
              <w:rPr>
                <w:rFonts w:asciiTheme="majorBidi" w:hAnsiTheme="majorBidi" w:cstheme="majorBidi"/>
                <w:sz w:val="18"/>
                <w:szCs w:val="18"/>
                <w:lang w:val="ro-RO"/>
              </w:rPr>
              <w:t>.Dacă se oferă capacitate întreruptibilă, aceasta se alocă prin intermediul unei licitații separate după ce a fost alocată o capacitate fermă cu o durată echivalentă, dar înainte să înceapă licitația pentru capacitatea fermă cu o durată mai mică, cu excepția capacității întreruptibile intra-zilnice.</w:t>
            </w:r>
          </w:p>
          <w:p w:rsidR="00F02F76" w:rsidRPr="000D130F" w:rsidRDefault="00F02F76" w:rsidP="000D130F">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3</w:t>
            </w:r>
            <w:r>
              <w:rPr>
                <w:rFonts w:asciiTheme="majorBidi" w:hAnsiTheme="majorBidi" w:cstheme="majorBidi"/>
                <w:sz w:val="18"/>
                <w:szCs w:val="18"/>
                <w:lang w:val="ro-RO"/>
              </w:rPr>
              <w:t>05</w:t>
            </w:r>
            <w:r w:rsidRPr="00B91C10">
              <w:rPr>
                <w:rFonts w:asciiTheme="majorBidi" w:hAnsiTheme="majorBidi" w:cstheme="majorBidi"/>
                <w:sz w:val="18"/>
                <w:szCs w:val="18"/>
                <w:lang w:val="ro-RO"/>
              </w:rPr>
              <w:t>.Dacă se oferă posibilitatea de derulare a unor licitații de capacitate întreruptibilă, acestea se desfășoară în conformitate cu aceleași principii de proiectare și cu aceeași frecvență ca și cele aplicate în cazul capacității ferme. Dățile exacte pentru desfășurarea licitațiilor care vor fi utilizate în cazul licitațiilor capacității întreruptibile sunt prezentate în detaliu în calendarul licitației, cu excepția capacității întreruptibile intra-zilnice. Pentru licitațiile anuale ale capacității anuale, pentru toate licitațiile anuale ale capacității trimestriale și pentru toate licitațiile periodice ale capacității lunare, OST informează utilizatorii de sistem cu privire la capacitate întreruptibilă care urmează să fie oferit cu o săptămână înainte de începerea licitației. În cazul în care o licitație de capacitate fermă nu s-a închis în ziua de începere stabilită pentru licitațiile întreruptibile, licitațiile de capacitate întreruptibilă se deschid cel târziu în următoarea zi lucrătoare după închiderea licitațiilor de capacitate fermă respective. În astfel de cazuri, orice modificare a volumelor oferite se notifică cu cel puțin 12 ore înainte de începerea licitației de capacitate întreruptibilă .</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0D130F" w:rsidRPr="00B91C10" w:rsidRDefault="000D130F" w:rsidP="000D130F">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4D5270" w:rsidRDefault="00F02F76" w:rsidP="00670674">
            <w:pPr>
              <w:jc w:val="both"/>
              <w:rPr>
                <w:rFonts w:asciiTheme="majorBidi" w:hAnsiTheme="majorBidi" w:cstheme="majorBidi"/>
                <w:b/>
                <w:bCs/>
                <w:sz w:val="18"/>
                <w:szCs w:val="18"/>
              </w:rPr>
            </w:pPr>
          </w:p>
          <w:p w:rsidR="00F02F76" w:rsidRPr="00B91C10" w:rsidRDefault="00F02F76" w:rsidP="00CF455C">
            <w:pPr>
              <w:jc w:val="center"/>
              <w:rPr>
                <w:rFonts w:asciiTheme="majorBidi" w:hAnsiTheme="majorBidi" w:cstheme="majorBidi"/>
                <w:b/>
                <w:bCs/>
                <w:sz w:val="18"/>
                <w:szCs w:val="18"/>
              </w:rPr>
            </w:pPr>
            <w:r w:rsidRPr="00B91C10">
              <w:rPr>
                <w:rFonts w:asciiTheme="majorBidi" w:hAnsiTheme="majorBidi" w:cstheme="majorBidi"/>
                <w:b/>
                <w:bCs/>
                <w:sz w:val="18"/>
                <w:szCs w:val="18"/>
              </w:rPr>
              <w:t>CHAPTER VI</w:t>
            </w:r>
          </w:p>
          <w:p w:rsidR="00F02F76" w:rsidRPr="00B91C10" w:rsidRDefault="00F02F76" w:rsidP="00CF455C">
            <w:pPr>
              <w:jc w:val="center"/>
              <w:rPr>
                <w:rFonts w:asciiTheme="majorBidi" w:hAnsiTheme="majorBidi" w:cstheme="majorBidi"/>
                <w:b/>
                <w:bCs/>
                <w:sz w:val="18"/>
                <w:szCs w:val="18"/>
              </w:rPr>
            </w:pPr>
            <w:r w:rsidRPr="00B91C10">
              <w:rPr>
                <w:rFonts w:asciiTheme="majorBidi" w:hAnsiTheme="majorBidi" w:cstheme="majorBidi"/>
                <w:b/>
                <w:bCs/>
                <w:sz w:val="18"/>
                <w:szCs w:val="18"/>
              </w:rPr>
              <w:t>INTERRUPTIBLE CAPACITY</w:t>
            </w:r>
          </w:p>
          <w:p w:rsidR="00F02F76" w:rsidRPr="00B91C10" w:rsidRDefault="00F02F76" w:rsidP="00CF455C">
            <w:pPr>
              <w:jc w:val="center"/>
              <w:rPr>
                <w:rFonts w:asciiTheme="majorBidi" w:hAnsiTheme="majorBidi" w:cstheme="majorBidi"/>
                <w:sz w:val="18"/>
                <w:szCs w:val="18"/>
              </w:rPr>
            </w:pPr>
            <w:r w:rsidRPr="00B91C10">
              <w:rPr>
                <w:rFonts w:asciiTheme="majorBidi" w:hAnsiTheme="majorBidi" w:cstheme="majorBidi"/>
                <w:sz w:val="18"/>
                <w:szCs w:val="18"/>
              </w:rPr>
              <w:t>Article 32</w:t>
            </w:r>
          </w:p>
          <w:p w:rsidR="00F02F76" w:rsidRPr="00B91C10" w:rsidRDefault="00F02F76" w:rsidP="00CF455C">
            <w:pPr>
              <w:jc w:val="center"/>
              <w:rPr>
                <w:rFonts w:asciiTheme="majorBidi" w:hAnsiTheme="majorBidi" w:cstheme="majorBidi"/>
                <w:b/>
                <w:bCs/>
                <w:sz w:val="18"/>
                <w:szCs w:val="18"/>
              </w:rPr>
            </w:pPr>
            <w:r w:rsidRPr="00B91C10">
              <w:rPr>
                <w:rFonts w:asciiTheme="majorBidi" w:hAnsiTheme="majorBidi" w:cstheme="majorBidi"/>
                <w:b/>
                <w:bCs/>
                <w:sz w:val="18"/>
                <w:szCs w:val="18"/>
              </w:rPr>
              <w:t>Allocation of interruptible services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1. As from 9 months after the expiry of the deadline for </w:t>
            </w:r>
            <w:r w:rsidRPr="000D130F">
              <w:rPr>
                <w:rFonts w:asciiTheme="majorBidi" w:hAnsiTheme="majorBidi" w:cstheme="majorBidi"/>
                <w:sz w:val="18"/>
                <w:szCs w:val="18"/>
              </w:rPr>
              <w:t>transposition of this Regulation in the Energy Community, transmission system operators may only offer standard capacity products for interruptible capacity of a duration longer than one day if the corresponding monthly, quarterly or yearly standard capacity product for firm capacity was sold at an auction premium, was sold out, or was not offered.</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Transmission system operators shall offer a daily capacity product for interruptible capacity in both directions at interconnection points where the respective standard capacity product for firm capacity was sold out day-ahead or was not offered. At unidirectional interconnection points where firm capacity is offered only in one direction, transmission system operators shall offer at least a daily product for interruptible capacity in the other direction.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If interruptible capacity is offered, this shall not be detrimental to the amount of firm capacity on offer. Transmission system operators shall not set aside capacity that can be offered as firm capacity in order to offer it as interruptible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To the extent interruptible capacity products other than daily products are offered, the same standard capacity products for firm capacity shall also apply for interruptible capacity, in terms of duration of the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To the extent interruptible capacity is offered, it shall be allocated via an auction process with the exception of within-day interruptible capacity.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Within-day interruptible capacity shall be allocated by means of an over-nomination procedure.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Within-day interruptible capacity shall only be allocated when firm capacity, whether technical capacity or additional capacity, is sold out. </w:t>
            </w:r>
          </w:p>
          <w:p w:rsidR="000D130F" w:rsidRPr="00B91C10" w:rsidRDefault="000D130F"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 Where auctions are held for any interruptible products longer than within-day transmission system operators shall, if known, publish the amounts of interruptible capacity on offer before the start of the auction process.</w:t>
            </w:r>
          </w:p>
          <w:p w:rsidR="000D130F" w:rsidRDefault="000D130F"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9. If offered, interruptible capacity shall be allocated by means of a separate auction after firm capacity of equal duration has been allocated, but before the auction of firm capacity with a shorter duration starts, with the exception of within-day interruptible capacity.</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lastRenderedPageBreak/>
              <w:t xml:space="preserve"> 10. If offered, interruptible capacity auctions shall be conducted in accordance with the same design principles and timescales as applied for firm capacity. The exact auction dates to be used for the interruptible capacity auctions shall be detailed within the auction calendar with the exception of within-day interruptible capacity. For the annual yearly, all annual quarterly and all rolling monthly capacity auctions, the transmission system operators shall notify network users about the amount of interruptible capacity to be offered one week before the auction starts. Where an auction of firm capacity has not closed on the scheduled start day for the interruptible auctions, the interruptible auctions shall open no later than the next business day after the closing of the respective auctions of firm capacity. In such cases, any change in the offered amounts shall be notified at least 12 hours before the start of the respective interruptible capacity auction.</w:t>
            </w:r>
          </w:p>
        </w:tc>
      </w:tr>
      <w:tr w:rsidR="00F02F76" w:rsidRPr="00B91C10" w:rsidTr="00670674">
        <w:trPr>
          <w:trHeight w:val="53"/>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33</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Duratele minime ale întreruperilor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Capacitățile întreruptibile trebuie să aibă durate minime ale întreruperilor, care trebuie stabilite de comun acord de operatorii de transport și de sistem adiacenți.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Durata minimă implicită a întreruperii pentru o oră gazieră dată este de 45 de minute după inițierea ciclului de renominalizare pentru respectiva oră gazieră. În cazul în care doi operatori de transport și de sistem doresc să reducă durata întreruperilor, orice acord pe care operatorii de transport și de sistem îl încheie în acest sens face obiectul aprobării din partea autorității naționale de reglementare competente.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Secțiunea 2</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Duratele minime ale întreruperilor</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06</w:t>
            </w:r>
            <w:r w:rsidRPr="00B91C10">
              <w:rPr>
                <w:rFonts w:asciiTheme="majorBidi" w:hAnsiTheme="majorBidi" w:cstheme="majorBidi"/>
                <w:sz w:val="18"/>
                <w:szCs w:val="18"/>
                <w:lang w:val="ro-RO"/>
              </w:rPr>
              <w:t>.Capacitățile întreruptibile trebuie să aibă durate minime ale întreruperilor, care trebuie stabilite de comun acord de OST adiacenți.</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Durata minimă a întreruperii pentru o oră gazieră dată este de 45 de minute după inițierea ciclului de renominalizare pentru respectiva oră gazieră. În cazul în care </w:t>
            </w:r>
            <w:r>
              <w:rPr>
                <w:rFonts w:asciiTheme="majorBidi" w:hAnsiTheme="majorBidi" w:cstheme="majorBidi"/>
                <w:sz w:val="18"/>
                <w:szCs w:val="18"/>
                <w:lang w:val="ro-RO"/>
              </w:rPr>
              <w:t xml:space="preserve">2 </w:t>
            </w:r>
            <w:r w:rsidRPr="00B91C10">
              <w:rPr>
                <w:rFonts w:asciiTheme="majorBidi" w:hAnsiTheme="majorBidi" w:cstheme="majorBidi"/>
                <w:sz w:val="18"/>
                <w:szCs w:val="18"/>
                <w:lang w:val="ro-RO"/>
              </w:rPr>
              <w:t>OST doresc să reducă durata întreruperilor, orice acord pe care OST îl încheie în acest sens face obiectul aprobării din partea Agenției.</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t>Article 33</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Minimum interruption lead times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 Interruptible capacities shall have minimum interruption lead times, which shall be decided jointly by adjacent transmission system operators.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2. The default minimum interruption lead time for a given gas hour shall be 45 minutes after the start of the re-nomination cycle for that gas hour. Where two transmission system operators wish to shorten the lead time for interruptions, any related agreement entered into between the transmission system operators shall be subject to competent national regulatory authority approval.</w:t>
            </w:r>
          </w:p>
        </w:tc>
      </w:tr>
      <w:tr w:rsidR="00F02F76" w:rsidRPr="00B91C10" w:rsidTr="0070015D">
        <w:trPr>
          <w:trHeight w:val="6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t>Articolul 34</w:t>
            </w:r>
          </w:p>
          <w:p w:rsidR="00F02F76" w:rsidRPr="00B91C10"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Coordonarea procesului de întrerupere</w:t>
            </w:r>
          </w:p>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Operatorul de transport și de sistem care inițiază întreruperea informează operatorul de transport și de sistem adiacent relevant. operatorii de transport și de sistem adiacenți informează cât mai curând posibil utilizatorii rețelei afectați, acordând însă o atenție corespunzătoare fiabilității informațiilor oferite.</w:t>
            </w:r>
          </w:p>
          <w:p w:rsidR="00F02F76" w:rsidRPr="00B91C10" w:rsidRDefault="00F02F76" w:rsidP="00670674">
            <w:pPr>
              <w:shd w:val="clear" w:color="auto" w:fill="FFFFFF"/>
              <w:jc w:val="center"/>
              <w:rPr>
                <w:rFonts w:asciiTheme="majorBidi" w:hAnsiTheme="majorBidi" w:cstheme="majorBidi"/>
                <w:i/>
                <w:iCs/>
                <w:sz w:val="18"/>
                <w:szCs w:val="18"/>
                <w:lang w:val="en-GB"/>
              </w:rPr>
            </w:pPr>
          </w:p>
        </w:tc>
        <w:tc>
          <w:tcPr>
            <w:tcW w:w="4820" w:type="dxa"/>
          </w:tcPr>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 xml:space="preserve">Secțiunea </w:t>
            </w:r>
            <w:r>
              <w:rPr>
                <w:rFonts w:asciiTheme="majorBidi" w:hAnsiTheme="majorBidi" w:cstheme="majorBidi"/>
                <w:b/>
                <w:iCs/>
                <w:sz w:val="18"/>
                <w:szCs w:val="18"/>
                <w:lang w:val="ro-RO"/>
              </w:rPr>
              <w:t>2</w:t>
            </w:r>
          </w:p>
          <w:p w:rsidR="00F02F76" w:rsidRPr="00B91C10" w:rsidRDefault="00F02F76" w:rsidP="00670674">
            <w:pPr>
              <w:jc w:val="both"/>
              <w:rPr>
                <w:rFonts w:asciiTheme="majorBidi" w:hAnsiTheme="majorBidi" w:cstheme="majorBidi"/>
                <w:b/>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07</w:t>
            </w:r>
            <w:r w:rsidRPr="00B91C10">
              <w:rPr>
                <w:rFonts w:asciiTheme="majorBidi" w:hAnsiTheme="majorBidi" w:cstheme="majorBidi"/>
                <w:sz w:val="18"/>
                <w:szCs w:val="18"/>
                <w:lang w:val="ro-RO"/>
              </w:rPr>
              <w:t>.OST care inițiază întreruperea informează OST adiacent. OST adiacenți informează cât mai curând posibil utilizatorii de sistem afectați, acordând însă o atenție corespunzătoare fiabilității informațiilor oferite.</w:t>
            </w: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F42E2D">
            <w:pPr>
              <w:jc w:val="center"/>
              <w:rPr>
                <w:rFonts w:asciiTheme="majorBidi" w:hAnsiTheme="majorBidi" w:cstheme="majorBidi"/>
                <w:sz w:val="18"/>
                <w:szCs w:val="18"/>
              </w:rPr>
            </w:pPr>
            <w:r w:rsidRPr="00762584">
              <w:rPr>
                <w:rFonts w:asciiTheme="majorBidi" w:hAnsiTheme="majorBidi" w:cstheme="majorBidi"/>
                <w:sz w:val="18"/>
                <w:szCs w:val="18"/>
              </w:rPr>
              <w:t>Article 34</w:t>
            </w:r>
          </w:p>
          <w:p w:rsidR="00F02F76" w:rsidRPr="00B91C10" w:rsidRDefault="00F02F76" w:rsidP="00F42E2D">
            <w:pPr>
              <w:jc w:val="center"/>
              <w:rPr>
                <w:rFonts w:asciiTheme="majorBidi" w:hAnsiTheme="majorBidi" w:cstheme="majorBidi"/>
                <w:b/>
                <w:bCs/>
                <w:sz w:val="18"/>
                <w:szCs w:val="18"/>
              </w:rPr>
            </w:pPr>
            <w:r w:rsidRPr="00B91C10">
              <w:rPr>
                <w:rFonts w:asciiTheme="majorBidi" w:hAnsiTheme="majorBidi" w:cstheme="majorBidi"/>
                <w:b/>
                <w:bCs/>
                <w:sz w:val="18"/>
                <w:szCs w:val="18"/>
              </w:rPr>
              <w:t>Coordination of interruption process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The transmission system operator that initiates the interruption shall notify the relevant adjacent transmission system operator. Adjacent transmission system operators shall notify their respective affected network users as soon as possible, but with due regard to the reliability of the information</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t>Articolul 35</w:t>
            </w:r>
          </w:p>
          <w:p w:rsidR="00F02F76"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Ordinea stabilită a întreruperilor</w:t>
            </w:r>
          </w:p>
          <w:p w:rsidR="00F02F76" w:rsidRPr="00B91C10" w:rsidRDefault="00F02F76" w:rsidP="00670674">
            <w:pPr>
              <w:shd w:val="clear" w:color="auto" w:fill="FFFFFF"/>
              <w:jc w:val="center"/>
              <w:rPr>
                <w:rFonts w:asciiTheme="majorBidi" w:hAnsiTheme="majorBidi" w:cstheme="majorBidi"/>
                <w:b/>
                <w:bCs/>
                <w:sz w:val="18"/>
                <w:szCs w:val="18"/>
              </w:rPr>
            </w:pPr>
          </w:p>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 xml:space="preserve">(1)   Ordinea în care se efectuează întreruperile, în cazul în care totalul nominalizărilor depășește cantitatea de gaz care poate trece printr-un anumit punct de interconectare, se stabilește în funcție de data </w:t>
            </w:r>
            <w:r w:rsidRPr="00B91C10">
              <w:rPr>
                <w:rFonts w:asciiTheme="majorBidi" w:hAnsiTheme="majorBidi" w:cstheme="majorBidi"/>
                <w:sz w:val="18"/>
                <w:szCs w:val="18"/>
              </w:rPr>
              <w:lastRenderedPageBreak/>
              <w:t>încheierii contractelor de transport respective pe o bază întreruptibilă. În cazul unei întreruperi, contractul de transport care intră în vigoare mai devreme prevalează asupra contractelor de transport care intră în vigoare mai târziu.</w:t>
            </w:r>
          </w:p>
          <w:p w:rsidR="00F02F76" w:rsidRPr="00B91C10" w:rsidRDefault="00F02F76" w:rsidP="00670674">
            <w:pPr>
              <w:shd w:val="clear" w:color="auto" w:fill="FFFFFF"/>
              <w:jc w:val="both"/>
              <w:rPr>
                <w:rFonts w:asciiTheme="majorBidi" w:hAnsiTheme="majorBidi" w:cstheme="majorBidi"/>
                <w:sz w:val="18"/>
                <w:szCs w:val="18"/>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Dacă, după aplicarea procedurii prevăzute la alineatul (1), două sau mai multe nominalizări sunt clasificate la aceeași poziție în cadrul ordinii întreruperilor, iar operatorul de transport și de sistem nu le întrerupe pe toate, se aplică o reducere proporțională a acestor nominalizări specifice.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Pentru a ține cont de diferențele dintre diferitele servicii de capacitate întreruptibilă din cadrul Uniunii, operatorii de transport și de sistem adiacenți pun în aplicare și coordonează procedurile comune prevăzute la prezentul articol pentru fiecare punct de interconectare în parte.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Default="00F02F76" w:rsidP="00670674">
            <w:pPr>
              <w:shd w:val="clear" w:color="auto" w:fill="FFFFFF"/>
              <w:tabs>
                <w:tab w:val="left" w:pos="851"/>
              </w:tabs>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lastRenderedPageBreak/>
              <w:t>Secțiunea 3</w:t>
            </w:r>
          </w:p>
          <w:p w:rsidR="00F02F76" w:rsidRPr="00B91C10" w:rsidRDefault="00F02F76" w:rsidP="00670674">
            <w:pPr>
              <w:shd w:val="clear" w:color="auto" w:fill="FFFFFF"/>
              <w:tabs>
                <w:tab w:val="left" w:pos="851"/>
              </w:tabs>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Ordinea stabilită a întreruperilor</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08</w:t>
            </w:r>
            <w:r w:rsidRPr="00B91C10">
              <w:rPr>
                <w:rFonts w:asciiTheme="majorBidi" w:hAnsiTheme="majorBidi" w:cstheme="majorBidi"/>
                <w:sz w:val="18"/>
                <w:szCs w:val="18"/>
                <w:lang w:val="ro-RO"/>
              </w:rPr>
              <w:t xml:space="preserve">.Ordinea în care se efectuează întreruperile, în cazul în care totalul nominalizărilor depășește cantitatea de gaze naturale care poate trece printr-un anumit punct de interconectare, se stabilește </w:t>
            </w:r>
            <w:r w:rsidRPr="00B91C10">
              <w:rPr>
                <w:rFonts w:asciiTheme="majorBidi" w:hAnsiTheme="majorBidi" w:cstheme="majorBidi"/>
                <w:sz w:val="18"/>
                <w:szCs w:val="18"/>
                <w:lang w:val="ro-RO"/>
              </w:rPr>
              <w:lastRenderedPageBreak/>
              <w:t>în funcție de data încheierii contractelor privind prestarea serviciilor de transport pe o bază întreruptibilă. În cazul unei întreruperi, contractul privind prestarea serviciilor de transport care intră în vigoare mai devreme prevalează asupra contractelor privind prestarea serviciilor de transport care intră în vigoare mai târziu.</w:t>
            </w:r>
          </w:p>
          <w:p w:rsidR="00F02F76" w:rsidRPr="002D580E"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09</w:t>
            </w:r>
            <w:r w:rsidRPr="00B91C10">
              <w:rPr>
                <w:rFonts w:asciiTheme="majorBidi" w:hAnsiTheme="majorBidi" w:cstheme="majorBidi"/>
                <w:sz w:val="18"/>
                <w:szCs w:val="18"/>
                <w:lang w:val="ro-RO"/>
              </w:rPr>
              <w:t xml:space="preserve">.Dacă, după aplicarea procedurii </w:t>
            </w:r>
            <w:r w:rsidRPr="002D580E">
              <w:rPr>
                <w:rFonts w:asciiTheme="majorBidi" w:hAnsiTheme="majorBidi" w:cstheme="majorBidi"/>
                <w:sz w:val="18"/>
                <w:szCs w:val="18"/>
                <w:lang w:val="ro-RO"/>
              </w:rPr>
              <w:t>prevăzute la pct. 308, două sau mai multe nominalizări sunt clasificate la aceeași poziție în cadrul ordinii întreruperilor, iar OST nu le întrerupe pe toate, se aplică o reducere proporțională a acestor nominalizări specifice.</w:t>
            </w:r>
          </w:p>
          <w:p w:rsidR="00F02F76" w:rsidRPr="002D580E"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2D580E">
              <w:rPr>
                <w:rFonts w:asciiTheme="majorBidi" w:hAnsiTheme="majorBidi" w:cstheme="majorBidi"/>
                <w:sz w:val="18"/>
                <w:szCs w:val="18"/>
                <w:lang w:val="ro-RO"/>
              </w:rPr>
              <w:t>310.Pentru a ține cont de diferențele dintre diferitele</w:t>
            </w:r>
            <w:r w:rsidRPr="00B91C10">
              <w:rPr>
                <w:rFonts w:asciiTheme="majorBidi" w:hAnsiTheme="majorBidi" w:cstheme="majorBidi"/>
                <w:sz w:val="18"/>
                <w:szCs w:val="18"/>
                <w:lang w:val="ro-RO"/>
              </w:rPr>
              <w:t xml:space="preserve"> servicii de capacitate întreruptibilă din cadrul Comunității Energetice, OST adiacenți pun în aplicare și coordonează procedurile comune prevăzute la prezenta Secțiune pentru fiecare punct de interconectare în parte.</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FC3840">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35</w:t>
            </w:r>
          </w:p>
          <w:p w:rsidR="00F02F76" w:rsidRPr="00B91C10" w:rsidRDefault="00F02F76" w:rsidP="00FC3840">
            <w:pPr>
              <w:jc w:val="center"/>
              <w:rPr>
                <w:rFonts w:asciiTheme="majorBidi" w:hAnsiTheme="majorBidi" w:cstheme="majorBidi"/>
                <w:b/>
                <w:bCs/>
                <w:sz w:val="18"/>
                <w:szCs w:val="18"/>
              </w:rPr>
            </w:pPr>
            <w:r w:rsidRPr="00B91C10">
              <w:rPr>
                <w:rFonts w:asciiTheme="majorBidi" w:hAnsiTheme="majorBidi" w:cstheme="majorBidi"/>
                <w:b/>
                <w:bCs/>
                <w:sz w:val="18"/>
                <w:szCs w:val="18"/>
              </w:rPr>
              <w:t>Defined sequence of interruptions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The order in which interruptions shall be performed, if the total of nominations exceeds the quantity of gas that can flow at a certain interconnection point, shall be </w:t>
            </w:r>
            <w:r w:rsidRPr="00B91C10">
              <w:rPr>
                <w:rFonts w:asciiTheme="majorBidi" w:hAnsiTheme="majorBidi" w:cstheme="majorBidi"/>
                <w:sz w:val="18"/>
                <w:szCs w:val="18"/>
              </w:rPr>
              <w:lastRenderedPageBreak/>
              <w:t xml:space="preserve">determined based on the contractual time stamp of the respective transport contracts on an interruptible basis. In case of an interruption, transport contract coming into force earlier shall prevail over transport contract coming into force later.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If, after applying the procedure provided for in paragraph 1, two or more nominations are ranked at the same position within the interruption order and the transmission system operator does not interrupt all of them, a pro rata reduction of these specific nominations shall apply.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To accommodate the differences between the various interruptible capacity services within the Energy Community, the adjacent transmission system operators shall implement and coordinate the joint procedures provided for in this Article on an interconnection point by interconnection point basis.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lastRenderedPageBreak/>
              <w:t>Articolul 36</w:t>
            </w:r>
          </w:p>
          <w:p w:rsidR="00F02F76" w:rsidRPr="00B91C10"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Motivele întreruperilor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rPr>
              <w:t xml:space="preserve">Operatorii de transport și de sistem trebuie să includă motivele întreruperilor fie direct în contractele lor de transport de capacitate întreruptibilă, fie în clauzele și condițiile generale care reglementează aceste contracte. </w:t>
            </w:r>
            <w:r w:rsidRPr="00B91C10">
              <w:rPr>
                <w:rFonts w:asciiTheme="majorBidi" w:hAnsiTheme="majorBidi" w:cstheme="majorBidi"/>
                <w:sz w:val="18"/>
                <w:szCs w:val="18"/>
                <w:lang w:val="it-IT"/>
              </w:rPr>
              <w:t>Motivele întreruperilor trebuie să includă calitatea gazului, presiunea, temperatura, structura fluxului, utilizarea contractelor de capacitate fermă, întreținerea, constrângerile în amonte sau în aval, obligațiile de serviciu public și gestionarea capacității ce derivă din procedurile de gestionare a congestiilor, fără însă a se limita la acestea.</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tabs>
                <w:tab w:val="left" w:pos="851"/>
              </w:tabs>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 xml:space="preserve">Secțiunea </w:t>
            </w:r>
            <w:r>
              <w:rPr>
                <w:rFonts w:asciiTheme="majorBidi" w:hAnsiTheme="majorBidi" w:cstheme="majorBidi"/>
                <w:b/>
                <w:iCs/>
                <w:sz w:val="18"/>
                <w:szCs w:val="18"/>
                <w:lang w:val="ro-RO"/>
              </w:rPr>
              <w:t>3</w:t>
            </w: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ro-RO"/>
              </w:rPr>
              <w:t>3</w:t>
            </w:r>
            <w:r>
              <w:rPr>
                <w:rFonts w:asciiTheme="majorBidi" w:hAnsiTheme="majorBidi" w:cstheme="majorBidi"/>
                <w:sz w:val="18"/>
                <w:szCs w:val="18"/>
                <w:lang w:val="ro-RO"/>
              </w:rPr>
              <w:t>11</w:t>
            </w:r>
            <w:r w:rsidRPr="00B91C10">
              <w:rPr>
                <w:rFonts w:asciiTheme="majorBidi" w:hAnsiTheme="majorBidi" w:cstheme="majorBidi"/>
                <w:sz w:val="18"/>
                <w:szCs w:val="18"/>
                <w:lang w:val="ro-RO"/>
              </w:rPr>
              <w:t>.OST trebuie să includă motivele întreruperilor fie direct în contractele privind prestarea servicilor de transport de capacitate întreruptibilă, fie în clauzele și condițiile generale care reglementează aceste contracte. Drept motive de întrerupere pot servi calitatea gazelor naturale, presiunea, temperatura, structura fluxului, utilizarea contractelor de capacitate fermă, întreținerea, constrângerile în amonte sau în aval, obligațiile de serviciu public și gestionarea capacității ce derivă din procedurile de gestionare a congestiilor, fără însă a se limita la acestea.</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t xml:space="preserve">Article 36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Reasons for interruptions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Transmission system operators shall include reasons for interruptions either directly in their interruptible transport contracts or in the general terms and conditions that govern these contracts. Reasons for interruptions can include but are not limited to gas quality, pressure, temperature, flow patterns, use of firm contracts, maintenance, up- or downstream constraints, public service obligations and capacity management deriving from congestion management procedures.</w:t>
            </w:r>
          </w:p>
        </w:tc>
      </w:tr>
      <w:tr w:rsidR="00A3101C" w:rsidRPr="00B91C10" w:rsidTr="00670674">
        <w:trPr>
          <w:trHeight w:val="1240"/>
        </w:trPr>
        <w:tc>
          <w:tcPr>
            <w:tcW w:w="5245" w:type="dxa"/>
          </w:tcPr>
          <w:p w:rsidR="00A3101C" w:rsidRPr="00B91C10" w:rsidRDefault="00A3101C" w:rsidP="00670674">
            <w:pPr>
              <w:shd w:val="clear" w:color="auto" w:fill="FFFFFF"/>
              <w:jc w:val="center"/>
              <w:rPr>
                <w:rFonts w:asciiTheme="majorBidi" w:hAnsiTheme="majorBidi" w:cstheme="majorBidi"/>
                <w:i/>
                <w:iCs/>
                <w:sz w:val="18"/>
                <w:szCs w:val="18"/>
              </w:rPr>
            </w:pPr>
          </w:p>
        </w:tc>
        <w:tc>
          <w:tcPr>
            <w:tcW w:w="4820" w:type="dxa"/>
          </w:tcPr>
          <w:p w:rsidR="00A3101C" w:rsidRPr="00B94630" w:rsidRDefault="00A3101C" w:rsidP="00A3101C">
            <w:pPr>
              <w:shd w:val="clear" w:color="auto" w:fill="FFFFFF"/>
              <w:spacing w:before="120"/>
              <w:jc w:val="center"/>
              <w:rPr>
                <w:rFonts w:eastAsia="Calibri"/>
                <w:color w:val="FF0000"/>
                <w:sz w:val="18"/>
                <w:szCs w:val="24"/>
                <w:lang w:val="ro-RO"/>
              </w:rPr>
            </w:pPr>
            <w:bookmarkStart w:id="0" w:name="_GoBack"/>
            <w:r w:rsidRPr="00B94630">
              <w:rPr>
                <w:rFonts w:eastAsia="Calibri"/>
                <w:b/>
                <w:bCs/>
                <w:color w:val="FF0000"/>
                <w:sz w:val="18"/>
                <w:szCs w:val="24"/>
                <w:lang w:val="ro-RO"/>
              </w:rPr>
              <w:t>CAPITOLUL VI</w:t>
            </w:r>
            <w:r w:rsidRPr="00B94630">
              <w:rPr>
                <w:rFonts w:eastAsia="Calibri"/>
                <w:b/>
                <w:bCs/>
                <w:color w:val="FF0000"/>
                <w:sz w:val="18"/>
                <w:szCs w:val="24"/>
                <w:vertAlign w:val="superscript"/>
                <w:lang w:val="ro-RO"/>
              </w:rPr>
              <w:t>1</w:t>
            </w:r>
          </w:p>
          <w:p w:rsidR="00A3101C" w:rsidRPr="00B94630" w:rsidRDefault="00A3101C" w:rsidP="00A3101C">
            <w:pPr>
              <w:shd w:val="clear" w:color="auto" w:fill="FFFFFF"/>
              <w:jc w:val="center"/>
              <w:rPr>
                <w:rFonts w:eastAsia="Calibri"/>
                <w:color w:val="FF0000"/>
                <w:sz w:val="18"/>
                <w:szCs w:val="24"/>
                <w:lang w:val="ro-RO"/>
              </w:rPr>
            </w:pPr>
            <w:r w:rsidRPr="00B94630">
              <w:rPr>
                <w:rFonts w:eastAsia="Calibri"/>
                <w:b/>
                <w:bCs/>
                <w:color w:val="FF0000"/>
                <w:sz w:val="18"/>
                <w:szCs w:val="24"/>
                <w:lang w:val="ro-RO"/>
              </w:rPr>
              <w:t>CAPACITATEA CONDIȚIONATĂ</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1</w:t>
            </w:r>
            <w:r w:rsidRPr="00B94630">
              <w:rPr>
                <w:rFonts w:asciiTheme="majorBidi" w:hAnsiTheme="majorBidi" w:cstheme="majorBidi"/>
                <w:color w:val="FF0000"/>
                <w:sz w:val="18"/>
                <w:szCs w:val="18"/>
                <w:lang w:val="ro-RO"/>
              </w:rPr>
              <w:t>. În scopul sporirii utilizării capacităților rețelelor de transport ale Republicii Moldova ca parte componentă a coridorului vertical de transport al gazelor naturale (coridorul  Transbalcanic), OST asigură capacitate condiționată prin dreptul de a utiliza simultan capacitatea punctelor de interconectare de intrare și a punctelor de interconectare de ieșire de către utilizatorii de sistem în condițiile prezentului Capitol.</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2</w:t>
            </w:r>
            <w:r w:rsidRPr="00B94630">
              <w:rPr>
                <w:rFonts w:asciiTheme="majorBidi" w:hAnsiTheme="majorBidi" w:cstheme="majorBidi"/>
                <w:color w:val="FF0000"/>
                <w:sz w:val="18"/>
                <w:szCs w:val="18"/>
                <w:lang w:val="ro-RO"/>
              </w:rPr>
              <w:t>. Accesul la capacitate condiționată este oferit pentru produse de capacitate de tip zi următoare/lunare/trimestriale/anuale, în funcție de capacitățile tehnice ale punctelor de interconectare de intrare / de ieșire ale OST.</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3</w:t>
            </w:r>
            <w:r w:rsidRPr="00B94630">
              <w:rPr>
                <w:rFonts w:asciiTheme="majorBidi" w:hAnsiTheme="majorBidi" w:cstheme="majorBidi"/>
                <w:color w:val="FF0000"/>
                <w:sz w:val="18"/>
                <w:szCs w:val="18"/>
                <w:lang w:val="ro-RO"/>
              </w:rPr>
              <w:t xml:space="preserve">. OST asigură accesul la capacitatea condiționată la punctele de interconectare de intrare/ieșire pentru care Agenția a </w:t>
            </w:r>
            <w:r w:rsidRPr="00B94630">
              <w:rPr>
                <w:rFonts w:asciiTheme="majorBidi" w:hAnsiTheme="majorBidi" w:cstheme="majorBidi"/>
                <w:color w:val="FF0000"/>
                <w:sz w:val="18"/>
                <w:szCs w:val="18"/>
                <w:lang w:val="ro-RO"/>
              </w:rPr>
              <w:lastRenderedPageBreak/>
              <w:t>aprobat tarife pentru capacitatea condiționată, în conformitate cu prezentul Cod. OST publică pe pagina sa web oficială lista punctelor de interconectare de intrare / de ieșire la care este oferită capacitatea condiționată și tarifele aplicabile.</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4</w:t>
            </w:r>
            <w:r w:rsidRPr="00B94630">
              <w:rPr>
                <w:rFonts w:asciiTheme="majorBidi" w:hAnsiTheme="majorBidi" w:cstheme="majorBidi"/>
                <w:color w:val="FF0000"/>
                <w:sz w:val="18"/>
                <w:szCs w:val="18"/>
                <w:lang w:val="ro-RO"/>
              </w:rPr>
              <w:t>. Tarifele pentru produsul de capacitate condiționată se calculează în baza Metodologiei de calculare, aprobare şi aplicare a tarifelor reglementate pentru serviciul de transport al gazelor naturale, aprobată prin Hotărârea ANRE nr. 535/2019. Condițiile de plată pentru capacitatea condiționată sunt stabilite în contractul pentru prestarea serviciilor de transport al gazelor naturale.</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5</w:t>
            </w:r>
            <w:r w:rsidRPr="00B94630">
              <w:rPr>
                <w:rFonts w:asciiTheme="majorBidi" w:hAnsiTheme="majorBidi" w:cstheme="majorBidi"/>
                <w:color w:val="FF0000"/>
                <w:sz w:val="18"/>
                <w:szCs w:val="18"/>
                <w:lang w:val="ro-RO"/>
              </w:rPr>
              <w:t>. Pentru utilizarea capacității condiționate, utilizatorul de sistem rezervă capacitatea și depune o nominalizare/renominalizare a capacității condiționate în conformitate cu prevederile prezentului Cod.</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6</w:t>
            </w:r>
            <w:r w:rsidRPr="00B94630">
              <w:rPr>
                <w:rFonts w:asciiTheme="majorBidi" w:hAnsiTheme="majorBidi" w:cstheme="majorBidi"/>
                <w:color w:val="FF0000"/>
                <w:sz w:val="18"/>
                <w:szCs w:val="18"/>
                <w:lang w:val="ro-RO"/>
              </w:rPr>
              <w:t>. Cantitățile de gaze naturale transportate în condițiile de utilizare a capacității condiționate nu sunt contabilizate de către OST în portofoliul de echilibrare al utilizatorului de sistem și nu sunt luate în considerare la calculul dezechilibrului său zilnic.</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7</w:t>
            </w:r>
            <w:r w:rsidRPr="00B94630">
              <w:rPr>
                <w:rFonts w:asciiTheme="majorBidi" w:hAnsiTheme="majorBidi" w:cstheme="majorBidi"/>
                <w:color w:val="FF0000"/>
                <w:sz w:val="18"/>
                <w:szCs w:val="18"/>
                <w:lang w:val="ro-RO"/>
              </w:rPr>
              <w:t>. Utilizarea capacității condiționate este determinată de următoarele condiții:</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1) capacitatea condiționată se oferă utilizatorilor de sistem exclusiv pentru transportul gazelor naturale din punctul de interconectare (PI) de intrare PI Căușeni (UA→MD) pentru capacitatea fără acces la PVT;</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2) accesul la PVT prin PI Căușeni, pe direcția intrare (UA→MD), din motive operaționale este posibil în limita a 6 mil. m3/zi. Diferența dintre capacitate tehnică disponibilă și limita de 6 mil. m3/zi va fi oferită fără acces la PVT, cu condiția rezervării unei capacități egale în PI Grebenyky, pe direcția ieșire (MD→UA), ca și capacitate condiționată;</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 în PI Căușeni, pe direcția intrare, utilizatorul de sistem poate rezerva o capacitate fermă/întreruptibilă fără acces la PVT, numai dacă, în PI Grebenyky, pe direcția ieșire, același utilizator de sistem rezervă o capacitate cel puțin egală cu cea solicitată în PI Căușeni fără acces la PVT;</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4) în PI Grebenyky, pe direcția ieșire (MD → UA), utilizator de sistem poate rezerva întreaga capacitate tehnică fermă/întreruptibilă disponibilă cu accesul la PVT;</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5) capacitatea condiționată nu poate fi utilizată pentru transportul gazelor naturale în/din alte puncte de interconectare de intrare/de ieșire, spre punctele de ieșire în rețelele de distribuție a gazelor naturale sau punctele de ieșire spre consumatorii instalațiile de utilizare ale cărora sunt racordate la rețeaua de transport al gazelor naturale;</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lastRenderedPageBreak/>
              <w:t>6) cantitatea de gaze naturale injectată în decursul zilei gaziere, la punctul de interconectare de intrare PI Căușeni, în baza capacității condiționate, fără acces la PVT, rezervate în acest punct, trebuie să fie egală cu cantitatea de gaze naturale preluată la punctul de interconectare de ieșire PI Grebenyky;</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7) gazele naturale sunt transportate în regim vamal de tranzit, în conformitate cu cerințele Codului Vamal al Republicii Moldova aprobat prin Legea nr. 95/2021.</w:t>
            </w:r>
          </w:p>
          <w:p w:rsidR="00A3101C" w:rsidRPr="00B94630" w:rsidRDefault="00A3101C" w:rsidP="00A3101C">
            <w:pPr>
              <w:shd w:val="clear" w:color="auto" w:fill="FFFFFF"/>
              <w:ind w:firstLine="567"/>
              <w:jc w:val="both"/>
              <w:rPr>
                <w:rFonts w:asciiTheme="majorBidi" w:hAnsiTheme="majorBidi" w:cstheme="majorBidi"/>
                <w:color w:val="FF0000"/>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8</w:t>
            </w:r>
            <w:r w:rsidRPr="00B94630">
              <w:rPr>
                <w:rFonts w:asciiTheme="majorBidi" w:hAnsiTheme="majorBidi" w:cstheme="majorBidi"/>
                <w:color w:val="FF0000"/>
                <w:sz w:val="18"/>
                <w:szCs w:val="18"/>
                <w:lang w:val="ro-RO"/>
              </w:rPr>
              <w:t>. Dacă în urma procesului de verificare/corelare a nominalizărilor/renominalizărilor cu OST adiacenți rezultă că cantitățile de gaze naturale pentru capacitate condiționată confirmate la punctul de interconectare de intrare PI Căușeni diferă de cantitățile confirmate la punctul de interconectare de ieșire PI Grebenyky, OST reduce unilateral cantitățile confirmate la valoarea cea mai mică dintre cantități și informează utilizatorul de sistem și OST adiacent despre acest fapt. </w:t>
            </w:r>
          </w:p>
          <w:p w:rsidR="00A3101C" w:rsidRPr="00B91C10" w:rsidRDefault="00A3101C" w:rsidP="00A3101C">
            <w:pPr>
              <w:shd w:val="clear" w:color="auto" w:fill="FFFFFF"/>
              <w:tabs>
                <w:tab w:val="left" w:pos="851"/>
              </w:tabs>
              <w:rPr>
                <w:rFonts w:asciiTheme="majorBidi" w:hAnsiTheme="majorBidi" w:cstheme="majorBidi"/>
                <w:b/>
                <w:iCs/>
                <w:sz w:val="18"/>
                <w:szCs w:val="18"/>
                <w:lang w:val="ro-RO"/>
              </w:rPr>
            </w:pPr>
            <w:r w:rsidRPr="00B94630">
              <w:rPr>
                <w:rFonts w:asciiTheme="majorBidi" w:hAnsiTheme="majorBidi" w:cstheme="majorBidi"/>
                <w:color w:val="FF0000"/>
                <w:sz w:val="18"/>
                <w:szCs w:val="18"/>
                <w:lang w:val="ro-RO"/>
              </w:rPr>
              <w:t>311</w:t>
            </w:r>
            <w:r w:rsidRPr="00B94630">
              <w:rPr>
                <w:rFonts w:asciiTheme="majorBidi" w:hAnsiTheme="majorBidi" w:cstheme="majorBidi"/>
                <w:color w:val="FF0000"/>
                <w:sz w:val="18"/>
                <w:szCs w:val="18"/>
                <w:vertAlign w:val="superscript"/>
                <w:lang w:val="ro-RO"/>
              </w:rPr>
              <w:t>9</w:t>
            </w:r>
            <w:r w:rsidRPr="00B94630">
              <w:rPr>
                <w:rFonts w:asciiTheme="majorBidi" w:hAnsiTheme="majorBidi" w:cstheme="majorBidi"/>
                <w:color w:val="FF0000"/>
                <w:sz w:val="18"/>
                <w:szCs w:val="18"/>
                <w:lang w:val="ro-RO"/>
              </w:rPr>
              <w:t>. OST are dreptul să întrerupă, total sau parțial, serviciul de transport dacă nu sunt întrunite condițiile de alocare a capacității condiționate.</w:t>
            </w:r>
            <w:bookmarkEnd w:id="0"/>
          </w:p>
        </w:tc>
        <w:tc>
          <w:tcPr>
            <w:tcW w:w="1417" w:type="dxa"/>
          </w:tcPr>
          <w:p w:rsidR="00A3101C" w:rsidRPr="00B91C10" w:rsidRDefault="00A3101C" w:rsidP="00670674">
            <w:pPr>
              <w:jc w:val="both"/>
              <w:rPr>
                <w:rFonts w:asciiTheme="majorBidi" w:hAnsiTheme="majorBidi" w:cstheme="majorBidi"/>
                <w:b/>
                <w:sz w:val="18"/>
                <w:szCs w:val="18"/>
                <w:lang w:val="it-IT"/>
              </w:rPr>
            </w:pPr>
          </w:p>
        </w:tc>
        <w:tc>
          <w:tcPr>
            <w:tcW w:w="4253" w:type="dxa"/>
          </w:tcPr>
          <w:p w:rsidR="00A3101C" w:rsidRPr="00762584" w:rsidRDefault="00A3101C" w:rsidP="00670674">
            <w:pPr>
              <w:jc w:val="both"/>
              <w:rPr>
                <w:rFonts w:asciiTheme="majorBidi" w:hAnsiTheme="majorBidi" w:cstheme="majorBidi"/>
                <w:sz w:val="18"/>
                <w:szCs w:val="18"/>
              </w:rPr>
            </w:pPr>
          </w:p>
        </w:tc>
      </w:tr>
      <w:tr w:rsidR="00F02F76" w:rsidRPr="00B91C10" w:rsidTr="00FC3840">
        <w:trPr>
          <w:trHeight w:val="267"/>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VII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PLATFORMELE DE REZERVARE A CAPACITĂȚII</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37</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Platformele de rezervare a capacității</w:t>
            </w:r>
          </w:p>
          <w:p w:rsidR="00F02F76"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transport și de sistem pun în aplicare prezentul regulament, oferind capacitate prin intermediul unei singure platforme de rezervare online comune sau prin intermediul unui număr limitat de astfel de platforme. Operatorii de transport și de sistem pot exploata ei înșiși aceste platforme sau o pot face prin intermediul unei părți stabilite de comun acord care, dacă este necesar, acționează în numele acestora în relația cu utilizatorii rețelei.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Platformele de rezervare comune aplică următoarele norme: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4898"/>
            </w:tblGrid>
            <w:tr w:rsidR="00F02F76" w:rsidRPr="00C27D66" w:rsidTr="00670674">
              <w:tc>
                <w:tcPr>
                  <w:tcW w:w="22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28" w:type="dxa"/>
                  <w:shd w:val="clear" w:color="auto" w:fill="FFFFFF"/>
                  <w:hideMark/>
                </w:tcPr>
                <w:p w:rsidR="0070015D"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se aplică normele și procedurile privind oferirea și alocarea tuturor capacităților în conformitate cu capitolul III;</w:t>
                  </w:r>
                </w:p>
                <w:p w:rsidR="0070015D" w:rsidRDefault="0070015D" w:rsidP="00670674">
                  <w:pPr>
                    <w:jc w:val="both"/>
                    <w:rPr>
                      <w:rFonts w:asciiTheme="majorBidi" w:hAnsiTheme="majorBidi" w:cstheme="majorBidi"/>
                      <w:sz w:val="18"/>
                      <w:szCs w:val="18"/>
                      <w:lang w:val="it-IT"/>
                    </w:rPr>
                  </w:pPr>
                </w:p>
                <w:p w:rsidR="0070015D" w:rsidRPr="00B91C10" w:rsidRDefault="0070015D"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se acordă prioritate instituirii unui proces care să permită oferirea de capacitate fermă agregată în conformitate cu capitolul IV;</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7"/>
              <w:gridCol w:w="4872"/>
            </w:tblGrid>
            <w:tr w:rsidR="00F02F76" w:rsidRPr="00C27D66" w:rsidTr="00670674">
              <w:tc>
                <w:tcPr>
                  <w:tcW w:w="27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79"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utilizatorilor rețelei li se oferă funcționalități pentru a oferi și a obține capacitate secundară;</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(d)</w:t>
                  </w:r>
                </w:p>
              </w:tc>
              <w:tc>
                <w:tcPr>
                  <w:tcW w:w="9145"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pentru a utiliza serviciile platformelor de rezervare, utilizatorii rețelei trebuie să acceseze și să respecte toate cerințele legale și contractuale aplicabile care le permit să rezerve și să utilizeze capacitate în rețeaua relevantă a operatorilor de transport și de sistem în temeiul unui contract de transport;</w:t>
                  </w: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disponibilă în orice punct de interconectare sau în orice punct de interconectare virtual este oferită prin intermediul unei singure platforme de rezervare, dar un operator de transport și de sistem poate oferi capacitate la diferite puncte de interconectare sau de interconectare virtuală, prin intermediul unor platforme de rezervare diferite.</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termen de șase luni de la intrarea în vigoare a prezentului regulament, operatorii de transport și de sistem ajung la un acord contractual în ceea ce privește utilizarea unei platforme de rezervare unice pentru a oferi capacitate de ambele părți ale punctelor de interconectare sau ale punctelor de interconectare virtuale respective. În cazul în care nu se ajunge la un acord între operatorii de transport și de sistem în acest termen, operatorii de transport și de sistem înaintează fără întârziere cazul autorităților naționale de reglementare respective. Autoritățile naționale de reglementare selectează, de comun acord și în termen de șase luni de la data înaintării cazului, platforma de rezervare unică, pentru o perioadă care nu depășește șase ani. În cazul în care, în termen de șase luni de la data înaintării cazului, autoritățile naționale de reglementare nu pot selecta, de comun acord, o platformă de rezervare unică, se aplică articolul 8 alineatul (1) din Regulamentul (CE) nr. 713/2009. Agenția decide cu privire la platforma de rezervare care urmează să fie utilizată, pentru o perioadă care nu depășește trei ani, în punctul de interconectare sau în punctul de interconectare virtual în cauză.</w:t>
            </w:r>
          </w:p>
          <w:p w:rsidR="00F02F76" w:rsidRDefault="00F02F76" w:rsidP="00670674">
            <w:pPr>
              <w:shd w:val="clear" w:color="auto" w:fill="FFFFFF"/>
              <w:jc w:val="both"/>
              <w:rPr>
                <w:rFonts w:asciiTheme="majorBidi" w:hAnsiTheme="majorBidi" w:cstheme="majorBidi"/>
                <w:sz w:val="18"/>
                <w:szCs w:val="18"/>
                <w:lang w:val="it-IT"/>
              </w:rPr>
            </w:pPr>
          </w:p>
          <w:p w:rsidR="0070015D" w:rsidRPr="00B91C10" w:rsidRDefault="0070015D"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cazul în care alegerea unei platforme de rezervare într-un punct de interconectare sau într-un punct de interconectare virtual a fost făcută fie de autoritățile naționale de reglementare, fie de agenție, operatorii de transport și de sistem ajung la un acord contractual cu privire la utilizarea unei platforme de rezervare cel mai târziu până la finalul perioadei menționate în ultima teză de la alineatul (3), pentru care autoritățile naționale de reglementare sau agenția au făcut alegerea. Dacă nu se ajunge la un acord contractual, se reia procedura stabilită la alineatul (3).</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(5)   Instituirea unei singure platforme de rezervare comune sau a unui număr limitat de astfel de platforme facilitează și simplifică rezervarea </w:t>
            </w:r>
            <w:r w:rsidRPr="00B91C10">
              <w:rPr>
                <w:rFonts w:asciiTheme="majorBidi" w:hAnsiTheme="majorBidi" w:cstheme="majorBidi"/>
                <w:sz w:val="18"/>
                <w:szCs w:val="18"/>
                <w:lang w:val="it-IT"/>
              </w:rPr>
              <w:lastRenderedPageBreak/>
              <w:t>de capacitate în punctele de interconectare din întreaga Uniune, acest lucru fiind în beneficiul utilizatorilor rețelei. Atunci când este cazul, ENTSOG și agenția facilitează acest proces.</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În ceea ce privește creșterile capacității tehnice, rezultatele alocărilor sunt publicate pe platforma de rezervare care este utilizată pentru scoaterea la licitație a capacității existente, iar în ceea ce privește noua capacitate creată acolo unde în prezent nu există niciuna, rezultatele alocărilor sunt publicate pe o platformă de rezervare comună asupra căreia au convenit operatorii de transport și de sistem relevanți.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VII</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PLATFORMELE DE REZERVARE A CAPACITĂȚII</w:t>
            </w:r>
          </w:p>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Platformele de rezervare a capacității</w:t>
            </w: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31</w:t>
            </w:r>
            <w:r>
              <w:rPr>
                <w:rFonts w:asciiTheme="majorBidi" w:hAnsiTheme="majorBidi" w:cstheme="majorBidi"/>
                <w:sz w:val="18"/>
                <w:szCs w:val="18"/>
                <w:lang w:val="ro-RO"/>
              </w:rPr>
              <w:t>2</w:t>
            </w:r>
            <w:r w:rsidRPr="00B91C10">
              <w:rPr>
                <w:rFonts w:asciiTheme="majorBidi" w:hAnsiTheme="majorBidi" w:cstheme="majorBidi"/>
                <w:sz w:val="18"/>
                <w:szCs w:val="18"/>
                <w:lang w:val="ro-RO"/>
              </w:rPr>
              <w:t>.OST</w:t>
            </w:r>
            <w:r>
              <w:rPr>
                <w:rFonts w:asciiTheme="majorBidi" w:hAnsiTheme="majorBidi" w:cstheme="majorBidi"/>
                <w:sz w:val="18"/>
                <w:szCs w:val="18"/>
                <w:lang w:val="ro-RO"/>
              </w:rPr>
              <w:t>oferă capacitate prin intermediul</w:t>
            </w:r>
            <w:r w:rsidRPr="00B91C10">
              <w:rPr>
                <w:rFonts w:asciiTheme="majorBidi" w:hAnsiTheme="majorBidi" w:cstheme="majorBidi"/>
                <w:sz w:val="18"/>
                <w:szCs w:val="18"/>
                <w:lang w:val="ro-RO"/>
              </w:rPr>
              <w:t xml:space="preserve"> unei singure platforme de rezervare online comune sau prin intermediul unui număr limitat de astfel de platforme. OST pot exploata </w:t>
            </w:r>
            <w:r>
              <w:rPr>
                <w:rFonts w:asciiTheme="majorBidi" w:hAnsiTheme="majorBidi" w:cstheme="majorBidi"/>
                <w:sz w:val="18"/>
                <w:szCs w:val="18"/>
                <w:lang w:val="ro-RO"/>
              </w:rPr>
              <w:t xml:space="preserve">de sine etătător </w:t>
            </w:r>
            <w:r w:rsidRPr="00B91C10">
              <w:rPr>
                <w:rFonts w:asciiTheme="majorBidi" w:hAnsiTheme="majorBidi" w:cstheme="majorBidi"/>
                <w:sz w:val="18"/>
                <w:szCs w:val="18"/>
                <w:lang w:val="ro-RO"/>
              </w:rPr>
              <w:t>aceste platforme sau o pot face prin intermediul unei părți stabilite de comun acord care, dacă este necesar, acționează în numele acestora în relația cu utilizatorii de sistem.</w:t>
            </w: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70015D" w:rsidRDefault="0070015D" w:rsidP="00670674">
            <w:pPr>
              <w:tabs>
                <w:tab w:val="left" w:pos="567"/>
                <w:tab w:val="left" w:pos="993"/>
              </w:tabs>
              <w:jc w:val="both"/>
              <w:outlineLvl w:val="0"/>
              <w:rPr>
                <w:rFonts w:asciiTheme="majorBidi" w:hAnsiTheme="majorBidi" w:cstheme="majorBidi"/>
                <w:sz w:val="18"/>
                <w:szCs w:val="18"/>
                <w:lang w:val="ro-RO"/>
              </w:rPr>
            </w:pPr>
          </w:p>
          <w:p w:rsidR="0070015D" w:rsidRPr="00B91C10" w:rsidRDefault="0070015D"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13</w:t>
            </w:r>
            <w:r w:rsidRPr="00B91C10">
              <w:rPr>
                <w:rFonts w:asciiTheme="majorBidi" w:hAnsiTheme="majorBidi" w:cstheme="majorBidi"/>
                <w:sz w:val="18"/>
                <w:szCs w:val="18"/>
                <w:lang w:val="ro-RO"/>
              </w:rPr>
              <w:t>.Platformele de rezervare comune aplică următoarele norme: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70015D">
              <w:trPr>
                <w:trHeight w:val="951"/>
              </w:trPr>
              <w:tc>
                <w:tcPr>
                  <w:tcW w:w="4604" w:type="dxa"/>
                  <w:shd w:val="clear" w:color="auto" w:fill="FFFFFF"/>
                  <w:hideMark/>
                </w:tcPr>
                <w:p w:rsidR="00F02F76" w:rsidRPr="00B91C10" w:rsidRDefault="00F02F76" w:rsidP="0070015D">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1) se aplică normele și procedurile privind oferirea și alocarea tuturor capacităților în conformitate cu Capitolul III</w:t>
                  </w:r>
                  <w:r w:rsidRPr="0070015D">
                    <w:rPr>
                      <w:rFonts w:asciiTheme="majorBidi" w:hAnsiTheme="majorBidi" w:cstheme="majorBidi"/>
                      <w:sz w:val="18"/>
                      <w:szCs w:val="18"/>
                      <w:lang w:val="ro-RO"/>
                    </w:rPr>
                    <w:t xml:space="preserve"> din prezentul Titlu</w:t>
                  </w:r>
                  <w:r w:rsidRPr="0067199A">
                    <w:rPr>
                      <w:rFonts w:asciiTheme="majorBidi" w:hAnsiTheme="majorBidi" w:cstheme="majorBidi"/>
                      <w:sz w:val="18"/>
                      <w:szCs w:val="18"/>
                      <w:lang w:val="ro-RO"/>
                    </w:rPr>
                    <w:t>;</w:t>
                  </w:r>
                </w:p>
              </w:tc>
            </w:tr>
            <w:tr w:rsidR="00F02F76" w:rsidRPr="00C27D66" w:rsidTr="0070015D">
              <w:trPr>
                <w:trHeight w:val="70"/>
              </w:trPr>
              <w:tc>
                <w:tcPr>
                  <w:tcW w:w="4604" w:type="dxa"/>
                  <w:shd w:val="clear" w:color="auto" w:fill="FFFFFF"/>
                  <w:hideMark/>
                </w:tcPr>
                <w:p w:rsidR="00F02F76" w:rsidRPr="00B91C10" w:rsidRDefault="00F02F76" w:rsidP="0070015D">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2) se acordă prioritate instituirii unui proces care să permită oferirea de capacitate fermă agregată în conformitate cu Capitolul IV</w:t>
                  </w:r>
                  <w:r w:rsidRPr="0070015D">
                    <w:rPr>
                      <w:rFonts w:asciiTheme="majorBidi" w:hAnsiTheme="majorBidi" w:cstheme="majorBidi"/>
                      <w:sz w:val="18"/>
                      <w:szCs w:val="18"/>
                      <w:lang w:val="ro-RO"/>
                    </w:rPr>
                    <w:t xml:space="preserve"> din prezentul Titlu</w:t>
                  </w:r>
                  <w:r w:rsidRPr="00B91C10">
                    <w:rPr>
                      <w:rFonts w:asciiTheme="majorBidi" w:hAnsiTheme="majorBidi" w:cstheme="majorBidi"/>
                      <w:sz w:val="18"/>
                      <w:szCs w:val="18"/>
                      <w:lang w:val="ro-RO"/>
                    </w:rPr>
                    <w:t>;</w:t>
                  </w:r>
                </w:p>
              </w:tc>
            </w:tr>
          </w:tbl>
          <w:p w:rsidR="00F02F76" w:rsidRPr="00B91C10" w:rsidRDefault="00F02F76" w:rsidP="00670674">
            <w:pPr>
              <w:tabs>
                <w:tab w:val="left" w:pos="993"/>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3) utilizatorilor de sistem li se oferă posibilitatea de a oferi și a obține capacitate secundară;</w:t>
                  </w:r>
                </w:p>
              </w:tc>
            </w:tr>
          </w:tbl>
          <w:p w:rsidR="00F02F76" w:rsidRPr="00B91C10" w:rsidRDefault="00F02F76" w:rsidP="00670674">
            <w:pPr>
              <w:tabs>
                <w:tab w:val="left" w:pos="993"/>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4) pentru a utiliza serviciile platformelor de rezervare, utilizatorii de sistem trebuie să acceseze și să respecte toate cerințele legale și contractuale aplicabile care le permit să rezerve și să utilizeze capacitate în rețeaua OST în temeiul unui contract privind prestarea serviciilor de transport</w:t>
                  </w:r>
                  <w:r>
                    <w:rPr>
                      <w:rFonts w:asciiTheme="majorBidi" w:hAnsiTheme="majorBidi" w:cstheme="majorBidi"/>
                      <w:sz w:val="18"/>
                      <w:szCs w:val="18"/>
                      <w:lang w:val="ro-RO"/>
                    </w:rPr>
                    <w:t xml:space="preserve"> </w:t>
                  </w:r>
                  <w:r w:rsidRPr="00C33F84">
                    <w:rPr>
                      <w:sz w:val="18"/>
                      <w:szCs w:val="18"/>
                      <w:lang w:val="ro-RO"/>
                    </w:rPr>
                    <w:t>al gazelor naturale</w:t>
                  </w:r>
                  <w:r w:rsidRPr="0067199A">
                    <w:rPr>
                      <w:rFonts w:asciiTheme="majorBidi" w:hAnsiTheme="majorBidi" w:cstheme="majorBidi"/>
                      <w:sz w:val="18"/>
                      <w:szCs w:val="18"/>
                      <w:lang w:val="ro-RO"/>
                    </w:rPr>
                    <w:t>;</w:t>
                  </w:r>
                </w:p>
              </w:tc>
            </w:tr>
          </w:tbl>
          <w:p w:rsidR="00F02F76" w:rsidRPr="00B91C10" w:rsidRDefault="00F02F76" w:rsidP="00670674">
            <w:pPr>
              <w:tabs>
                <w:tab w:val="left" w:pos="993"/>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5) capacitatea disponibilă în orice punct de interconectare sau în orice punct de interconectare virtual este oferită prin intermediul unei singure platforme de rezervare, dar un OST poate oferi capacitate la diferite puncte de interconectare sau de puncte de interconectare virtuală, prin intermediul unor platforme de rezervare diferite.</w:t>
                  </w:r>
                </w:p>
              </w:tc>
            </w:tr>
          </w:tbl>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Default="00F02F76" w:rsidP="00645258">
            <w:pPr>
              <w:jc w:val="both"/>
              <w:rPr>
                <w:sz w:val="18"/>
                <w:szCs w:val="18"/>
                <w:lang w:val="it-IT"/>
              </w:rPr>
            </w:pPr>
            <w:r w:rsidRPr="00645258">
              <w:rPr>
                <w:rFonts w:asciiTheme="majorBidi" w:hAnsiTheme="majorBidi" w:cstheme="majorBidi"/>
                <w:sz w:val="18"/>
                <w:szCs w:val="18"/>
                <w:lang w:val="ro-RO"/>
              </w:rPr>
              <w:t>63</w:t>
            </w:r>
            <w:r w:rsidRPr="004739CB">
              <w:rPr>
                <w:rFonts w:asciiTheme="majorBidi" w:hAnsiTheme="majorBidi" w:cstheme="majorBidi"/>
                <w:sz w:val="18"/>
                <w:szCs w:val="18"/>
                <w:lang w:val="ro-RO"/>
              </w:rPr>
              <w:t>2.</w:t>
            </w:r>
            <w:r w:rsidRPr="00C33F84">
              <w:rPr>
                <w:sz w:val="18"/>
                <w:szCs w:val="18"/>
                <w:lang w:val="it-IT"/>
              </w:rPr>
              <w:t xml:space="preserve"> La data intrării în vigoare a Codului toţi OST ajung la un acord contractual în privinţă utilizării unei platforme de rezervare unice pentru a oferi capacitate de ambele părţi ale punctelor de interconectare sau ale punctelor de interconectare virtuale respective. În cazul în care nu se ajunge la un acord între OST în acest termen, OST înaintează fără întârziere cazul pentru examinare autorităţilor naţionale de reglementare. Autorităţile naţionale de reglementare selectează de comun acord şi în termen de 6 luni de la data înaintării cazului, platforma de rezervare unică pentru o perioadă care nu depăşeşte 3 ani. Dacă în termen de 6 luni de la data înaintării cazului, autorităţile naţionale de reglementare nu pot selecta de comun acord o platformă de rezervare unică, se aplică pct.129 al prezentului Cod. Comitetul de reglementare al CE decide cu privire la platforma de rezervare care urmează să fie utilizată în punctul de interconectare sau în punctul de interconectare virtual, pentru o perioadă care nu depăşeşte 3 ani.</w:t>
            </w:r>
          </w:p>
          <w:p w:rsidR="00F02F76" w:rsidRDefault="00F02F76" w:rsidP="00670674">
            <w:pPr>
              <w:jc w:val="both"/>
              <w:rPr>
                <w:sz w:val="18"/>
                <w:szCs w:val="18"/>
                <w:lang w:val="it-IT"/>
              </w:rPr>
            </w:pPr>
          </w:p>
          <w:p w:rsidR="00F02F76" w:rsidRDefault="00F02F76" w:rsidP="00670674">
            <w:pPr>
              <w:jc w:val="both"/>
              <w:rPr>
                <w:sz w:val="18"/>
                <w:szCs w:val="18"/>
                <w:lang w:val="it-IT"/>
              </w:rPr>
            </w:pPr>
          </w:p>
          <w:p w:rsidR="00F02F76" w:rsidRDefault="00F02F76" w:rsidP="00670674">
            <w:pPr>
              <w:jc w:val="both"/>
              <w:rPr>
                <w:sz w:val="24"/>
                <w:szCs w:val="24"/>
                <w:lang w:val="it-IT"/>
              </w:rPr>
            </w:pPr>
          </w:p>
          <w:p w:rsidR="00F02F76" w:rsidRPr="00AC425B" w:rsidRDefault="00F02F76" w:rsidP="00670674">
            <w:pPr>
              <w:tabs>
                <w:tab w:val="left" w:pos="567"/>
                <w:tab w:val="left" w:pos="851"/>
              </w:tabs>
              <w:jc w:val="both"/>
              <w:outlineLvl w:val="0"/>
              <w:rPr>
                <w:rFonts w:asciiTheme="majorBidi" w:hAnsiTheme="majorBidi" w:cstheme="majorBidi"/>
                <w:sz w:val="18"/>
                <w:szCs w:val="18"/>
                <w:lang w:val="ro-RO"/>
              </w:rPr>
            </w:pPr>
            <w:r w:rsidRPr="00C33F84">
              <w:rPr>
                <w:rFonts w:asciiTheme="majorBidi" w:hAnsiTheme="majorBidi" w:cstheme="majorBidi"/>
                <w:sz w:val="18"/>
                <w:szCs w:val="18"/>
                <w:lang w:val="ro-RO"/>
              </w:rPr>
              <w:t xml:space="preserve">314.În cazul în care </w:t>
            </w:r>
            <w:r w:rsidRPr="00B91C10">
              <w:rPr>
                <w:rFonts w:asciiTheme="majorBidi" w:hAnsiTheme="majorBidi" w:cstheme="majorBidi"/>
                <w:sz w:val="18"/>
                <w:szCs w:val="18"/>
                <w:lang w:val="ro-RO"/>
              </w:rPr>
              <w:t xml:space="preserve">alegerea unei platforme de rezervare la un punct de interconectare sau într-un punct de interconectare virtual a fost făcută fie de autoritățile naționale de reglementare, fie de Consiliul de reglementare al Comunității Energetice, OST ajung la un acord contractual cu privire la utilizarea unei platforme de rezervare cel mai </w:t>
            </w:r>
            <w:r w:rsidRPr="00AC425B">
              <w:rPr>
                <w:rFonts w:asciiTheme="majorBidi" w:hAnsiTheme="majorBidi" w:cstheme="majorBidi"/>
                <w:sz w:val="18"/>
                <w:szCs w:val="18"/>
                <w:lang w:val="ro-RO"/>
              </w:rPr>
              <w:t>târziu până la finalul perioadei menționate în ultima teză de la pct. 439, care a fost aleasă de autoritățile naționale de reglementare sau Consiliul de reglementare al Comunității Energetice. Dacă nu se ajunge la un acord contractual, se reia procedura stabilită la pct. 439.</w:t>
            </w:r>
          </w:p>
          <w:p w:rsidR="00F02F76" w:rsidRPr="00AC425B"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AC425B"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AC425B">
              <w:rPr>
                <w:rFonts w:asciiTheme="majorBidi" w:hAnsiTheme="majorBidi" w:cstheme="majorBidi"/>
                <w:sz w:val="18"/>
                <w:szCs w:val="18"/>
                <w:lang w:val="ro-RO"/>
              </w:rPr>
              <w:lastRenderedPageBreak/>
              <w:t>315.Instituirea unei singure platforme de rezervare comune sau a unui număr limitat de astfel de platforme facilitează și simplifică rezervarea de capacitate în punctele de interconectare</w:t>
            </w:r>
            <w:r w:rsidRPr="00B91C10">
              <w:rPr>
                <w:rFonts w:asciiTheme="majorBidi" w:hAnsiTheme="majorBidi" w:cstheme="majorBidi"/>
                <w:sz w:val="18"/>
                <w:szCs w:val="18"/>
                <w:lang w:val="ro-RO"/>
              </w:rPr>
              <w:t xml:space="preserve"> din întreaga Comunitate Energetică, acest lucru fiind în beneficiul utilizatorilor de sistem. </w:t>
            </w:r>
          </w:p>
          <w:p w:rsidR="00F02F76" w:rsidRPr="00FC3840" w:rsidRDefault="00F02F76" w:rsidP="00FC3840">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16</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Referitor la </w:t>
            </w:r>
            <w:r w:rsidRPr="00B91C10">
              <w:rPr>
                <w:rFonts w:asciiTheme="majorBidi" w:hAnsiTheme="majorBidi" w:cstheme="majorBidi"/>
                <w:sz w:val="18"/>
                <w:szCs w:val="18"/>
                <w:lang w:val="ro-RO"/>
              </w:rPr>
              <w:t xml:space="preserve"> creșterile capacității tehnice, rezultatele alocărilor sunt publicate pe platforma de rezervare care este utilizată pentru scoaterea la licitație a capacității existente, iar în ceea ce privește noua capacitate creată, acolo unde în prezent nu există niciuna, rezultatele alocărilor sunt publicate pe o platformă de rezervare comună asupra că</w:t>
            </w:r>
            <w:r w:rsidR="00FC3840">
              <w:rPr>
                <w:rFonts w:asciiTheme="majorBidi" w:hAnsiTheme="majorBidi" w:cstheme="majorBidi"/>
                <w:sz w:val="18"/>
                <w:szCs w:val="18"/>
                <w:lang w:val="ro-RO"/>
              </w:rPr>
              <w:t>reia au convenit OST relevanți.</w:t>
            </w: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0015D" w:rsidRDefault="0070015D"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0015D" w:rsidRPr="00B91C10" w:rsidRDefault="0070015D"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4D5270" w:rsidRDefault="00F02F76" w:rsidP="00670674">
            <w:pPr>
              <w:jc w:val="both"/>
              <w:rPr>
                <w:rFonts w:asciiTheme="majorBidi" w:hAnsiTheme="majorBidi" w:cstheme="majorBidi"/>
                <w:b/>
                <w:bCs/>
                <w:sz w:val="18"/>
                <w:szCs w:val="18"/>
                <w:lang w:val="it-IT"/>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CHAPTER VII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CAPACITY BOOKING PLATFORMS </w:t>
            </w:r>
          </w:p>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t xml:space="preserve">Article 37 </w:t>
            </w:r>
          </w:p>
          <w:p w:rsidR="00F02F76"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Capacity booking platforms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Transmission system operators shall apply this Regulation by offering capacity by means of one or a limited number of joint web-based booking platforms. Transmission system operators can operate such platforms themselves or via an agreed party that, where necessary, acts on behalf of them towards the network users.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Joint booking platforms shall apply the following rules: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rules and procedures for the offer and allocation of all capacity in accordance with Chapter III shall apply;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establishment of a process to offer firm bundled capacity in accordance with Chapter IV shall have priority;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functionalities for network users to offer and obtain secondary capacity shall be provided;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(d) in order to use the services of the booking platforms network users shall accede to and be compliant with all </w:t>
            </w:r>
            <w:r w:rsidRPr="00B91C10">
              <w:rPr>
                <w:rFonts w:asciiTheme="majorBidi" w:hAnsiTheme="majorBidi" w:cstheme="majorBidi"/>
                <w:sz w:val="18"/>
                <w:szCs w:val="18"/>
              </w:rPr>
              <w:lastRenderedPageBreak/>
              <w:t xml:space="preserve">applicable legal and contractual requirements that enable them to book and use capacity on the relevant transmission system operators’ network under a transport contract;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capacity at any single interconnection point or virtual interconnection point shall be offered at not more than one booking platform but a transmission system operator may offer capacity at different interconnection or virtual interconnection points through different booking platforms.</w:t>
            </w:r>
          </w:p>
          <w:p w:rsidR="0070015D" w:rsidRDefault="0070015D" w:rsidP="00670674">
            <w:pPr>
              <w:jc w:val="both"/>
              <w:rPr>
                <w:rFonts w:asciiTheme="majorBidi" w:hAnsiTheme="majorBidi" w:cstheme="majorBidi"/>
                <w:sz w:val="18"/>
                <w:szCs w:val="18"/>
              </w:rPr>
            </w:pPr>
          </w:p>
          <w:p w:rsidR="0070015D" w:rsidRPr="00B91C10" w:rsidRDefault="0070015D"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Within 6 months from expiry of the deadline for transposition of this Regulation in the Energy Community all transmission system operators shall reach a contractual agreement to use a single booking platform to offer capacity on the two sides of their respective interconnection points or virtual interconnection points. If no agreement is reached by the transmission system operators within that period, the matter shall be referred immediately by the transmission system operators to the respective national regulatory authorities. The national regulatory authorities shall then, within a period of a further 6 months from the date of referral, jointly select the single booking platform for a period not longer than 3 years. If the national regulatory authorities are not able to jointly select a single booking platform within 6 months from the date of referral, Article (2a) of this Regulation shall apply. The Energy Community Regulatory Board shall decide on the booking platform to be used, for a period not longer than 3 years, at the specific interconnection point or virtual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In case the selection of the booking platform at an interconnection point or virtual interconnection point was made either by the national regulatory authorities or by the Energy Community Regulatory Board, the transmission system operators shall reach a contractual agreement on the use of a booking platform at the latest by the end of the period referred to in the last sentence of paragraph 3, for which the selection was made by the national regulatory authorities or the Energy Community Regulatory Board. If no contractual agreement is reached, the procedure set out in paragraph 3 shall be resumed.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The establishment of one or a limited number of joint booking platforms shall facilitate and simplify capacity </w:t>
            </w:r>
            <w:r w:rsidRPr="00B91C10">
              <w:rPr>
                <w:rFonts w:asciiTheme="majorBidi" w:hAnsiTheme="majorBidi" w:cstheme="majorBidi"/>
                <w:sz w:val="18"/>
                <w:szCs w:val="18"/>
              </w:rPr>
              <w:lastRenderedPageBreak/>
              <w:t>booking at interconnection points across the Energy Community for the benefit of network users.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6. For increases in technical capacity, the allocation results shall be published on the booking platform which is used for auctioning existing capacity, and for new capacity created where none currently exists, on a joint booking platform agreed by the relevant transmission system operators.</w:t>
            </w:r>
          </w:p>
        </w:tc>
      </w:tr>
      <w:tr w:rsidR="00F02F76" w:rsidRPr="00B91C10" w:rsidTr="00670674">
        <w:trPr>
          <w:trHeight w:val="1240"/>
        </w:trPr>
        <w:tc>
          <w:tcPr>
            <w:tcW w:w="5245" w:type="dxa"/>
          </w:tcPr>
          <w:p w:rsidR="00F02F76" w:rsidRPr="00B91C10" w:rsidRDefault="00F02F76" w:rsidP="00F42E2D">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VIII</w:t>
            </w:r>
          </w:p>
          <w:p w:rsidR="00F02F76" w:rsidRPr="00B91C10" w:rsidRDefault="00F02F76" w:rsidP="00F42E2D">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DISPOZIȚII FINALE</w:t>
            </w:r>
          </w:p>
          <w:p w:rsidR="00F02F76" w:rsidRPr="00B91C10" w:rsidRDefault="00F02F76" w:rsidP="00F42E2D">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38</w:t>
            </w:r>
          </w:p>
          <w:p w:rsidR="00F02F76" w:rsidRPr="00B91C10" w:rsidRDefault="00F02F76" w:rsidP="00F42E2D">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Monitorizarea punerii în aplicare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Pentru a sprijini Agenția la îndeplinirea sarcinilor sale de monitorizare în temeiul articolului 9 alineatul (1) din Regulamentul (CE) nr. 715/2009, ENTSOG monitorizează și analizează modul în care operatorii de transport și de sistem au pus în aplicare prezentul regulament, în conformitate cu articolul 8 alineatele (8) și (9) din Regulamentul (CE) nr. 715/2009. În special, ENTSOG asigură caracterul complet și corectitudinea tuturor informațiilor relevante primite din partea operatorilor de transport și de sistem. ENTSOG comunică agenției informațiile respective până la 31 martie 2019.</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comunică ENTSOG, până la 31 decembrie 2018, toate informațiile solicitate de ENTSOG, pentru a respecta obligațiile care îi revin în temeiul alineatului (1).</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ENTSOG și agenția păstrează confidențialitatea informațiilor sensibile din punct de vedere comercial.</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Înainte de 6 aprilie 2019, agenția raportează, în cadrul sarcinilor sale de monitorizare, în legătură cu condiționalitățile stipulate în contracte pentru produsele standard de capacitate pentru capacitate fermă, având în vedere efectul acestora asupra utilizării eficiente a rețelei și asupra integrării piețelor de gaze ale Uniunii. Agenția este sprijinită, în evaluarea sa, de autoritățile naționale de reglementare relevante și de operatorii de transport și de sistem.</w:t>
            </w: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CAPITOLUL VIII</w:t>
            </w:r>
          </w:p>
          <w:p w:rsidR="00F02F76" w:rsidRPr="00B91C10" w:rsidRDefault="00F02F76" w:rsidP="00670674">
            <w:pPr>
              <w:shd w:val="clear" w:color="auto" w:fill="FFFFFF"/>
              <w:ind w:left="284"/>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b/>
                <w:bCs/>
                <w:sz w:val="18"/>
                <w:szCs w:val="18"/>
                <w:lang w:val="ro-RO"/>
              </w:rPr>
              <w:t>Monitorizarea punerii în aplicare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656384" w:rsidRDefault="00F02F76" w:rsidP="00670674">
            <w:pPr>
              <w:tabs>
                <w:tab w:val="left" w:pos="567"/>
                <w:tab w:val="left" w:pos="993"/>
              </w:tabs>
              <w:jc w:val="both"/>
              <w:outlineLvl w:val="0"/>
              <w:rPr>
                <w:rFonts w:asciiTheme="majorBidi" w:hAnsiTheme="majorBidi" w:cstheme="majorBidi"/>
                <w:sz w:val="18"/>
                <w:szCs w:val="18"/>
                <w:lang w:val="ro-RO"/>
              </w:rPr>
            </w:pPr>
            <w:r>
              <w:rPr>
                <w:sz w:val="18"/>
                <w:szCs w:val="18"/>
                <w:lang w:val="it-IT"/>
              </w:rPr>
              <w:t xml:space="preserve">317. </w:t>
            </w:r>
            <w:r w:rsidRPr="00A06546">
              <w:rPr>
                <w:sz w:val="18"/>
                <w:szCs w:val="18"/>
                <w:lang w:val="it-IT"/>
              </w:rPr>
              <w:t>Agenţia şi OST prezintă informaţiile solicitate de Consiliul de reglementare al CE în activitatea sa de evaluare şi monitorizare.</w:t>
            </w:r>
          </w:p>
          <w:p w:rsidR="00F02F76" w:rsidRDefault="00F02F76" w:rsidP="00670674">
            <w:pPr>
              <w:tabs>
                <w:tab w:val="left" w:pos="851"/>
              </w:tabs>
              <w:jc w:val="both"/>
              <w:outlineLvl w:val="0"/>
              <w:rPr>
                <w:rFonts w:asciiTheme="majorBidi" w:hAnsiTheme="majorBidi" w:cstheme="majorBidi"/>
                <w:sz w:val="18"/>
                <w:szCs w:val="18"/>
                <w:lang w:val="ro-RO"/>
              </w:rPr>
            </w:pPr>
            <w:r w:rsidRPr="00C33F84">
              <w:rPr>
                <w:b/>
                <w:bCs/>
                <w:sz w:val="18"/>
                <w:szCs w:val="18"/>
                <w:lang w:val="ro-RO"/>
              </w:rPr>
              <w:t xml:space="preserve">633. </w:t>
            </w:r>
            <w:r w:rsidRPr="00C33F84">
              <w:rPr>
                <w:sz w:val="18"/>
                <w:szCs w:val="18"/>
                <w:lang w:val="it-IT"/>
              </w:rPr>
              <w:t>În contextul monitorizării şi analizării modului în care OST pune în aplicare Codul, OST prezintă toate informaţiile solicitate de Secretariatul Comunităţii Energetice, care va păstra confidenţialitatea informaţiilor sensibile din punct de vedere comercial.</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3B1C6A">
            <w:pPr>
              <w:tabs>
                <w:tab w:val="left" w:pos="851"/>
              </w:tabs>
              <w:jc w:val="both"/>
              <w:outlineLvl w:val="0"/>
              <w:rPr>
                <w:rFonts w:asciiTheme="majorBidi" w:hAnsiTheme="majorBidi" w:cstheme="majorBidi"/>
                <w:sz w:val="18"/>
                <w:szCs w:val="18"/>
                <w:lang w:val="ro-RO"/>
              </w:rPr>
            </w:pPr>
          </w:p>
          <w:p w:rsidR="00F02F76" w:rsidRPr="00B91C10" w:rsidRDefault="00F02F76" w:rsidP="00670674">
            <w:pPr>
              <w:pStyle w:val="ListParagraph"/>
              <w:tabs>
                <w:tab w:val="left" w:pos="567"/>
              </w:tabs>
              <w:ind w:left="284"/>
              <w:jc w:val="both"/>
              <w:outlineLvl w:val="0"/>
              <w:rPr>
                <w:rFonts w:asciiTheme="majorBidi" w:eastAsia="Times New Roman" w:hAnsiTheme="majorBidi" w:cstheme="majorBidi"/>
                <w:sz w:val="18"/>
                <w:szCs w:val="18"/>
                <w:lang w:val="ro-RO" w:eastAsia="ru-RU"/>
              </w:rPr>
            </w:pP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485F66" w:rsidRDefault="00F02F76" w:rsidP="00670674">
            <w:pPr>
              <w:jc w:val="both"/>
              <w:rPr>
                <w:rFonts w:asciiTheme="majorBidi" w:hAnsiTheme="majorBidi" w:cstheme="majorBidi"/>
                <w:sz w:val="18"/>
                <w:szCs w:val="18"/>
                <w:lang w:val="it-IT"/>
              </w:rPr>
            </w:pPr>
            <w:r w:rsidRPr="00485F66">
              <w:rPr>
                <w:rFonts w:asciiTheme="majorBidi" w:hAnsiTheme="majorBidi" w:cstheme="majorBidi"/>
                <w:sz w:val="18"/>
                <w:szCs w:val="18"/>
                <w:lang w:val="it-IT"/>
              </w:rPr>
              <w:t>Compatibil</w:t>
            </w:r>
          </w:p>
          <w:p w:rsidR="00F02F76" w:rsidRPr="00485F66" w:rsidRDefault="00F02F76" w:rsidP="00670674">
            <w:pPr>
              <w:jc w:val="both"/>
              <w:rPr>
                <w:rFonts w:asciiTheme="majorBidi" w:hAnsiTheme="majorBidi" w:cstheme="majorBidi"/>
                <w:sz w:val="18"/>
                <w:szCs w:val="18"/>
                <w:lang w:val="it-IT"/>
              </w:rPr>
            </w:pPr>
          </w:p>
          <w:p w:rsidR="00F02F76" w:rsidRPr="00485F66" w:rsidRDefault="00F02F76" w:rsidP="00670674">
            <w:pPr>
              <w:jc w:val="both"/>
              <w:rPr>
                <w:rFonts w:asciiTheme="majorBidi" w:hAnsiTheme="majorBidi" w:cstheme="majorBidi"/>
                <w:sz w:val="18"/>
                <w:szCs w:val="18"/>
                <w:lang w:val="it-IT"/>
              </w:rPr>
            </w:pPr>
          </w:p>
          <w:p w:rsidR="00F02F76" w:rsidRPr="00485F66" w:rsidRDefault="00F02F76" w:rsidP="00670674">
            <w:pPr>
              <w:jc w:val="both"/>
              <w:rPr>
                <w:rFonts w:asciiTheme="majorBidi" w:hAnsiTheme="majorBidi" w:cstheme="majorBidi"/>
                <w:sz w:val="18"/>
                <w:szCs w:val="18"/>
                <w:lang w:val="it-IT"/>
              </w:rPr>
            </w:pPr>
          </w:p>
          <w:p w:rsidR="00F02F76" w:rsidRPr="00485F66" w:rsidRDefault="00F02F76" w:rsidP="00670674">
            <w:pPr>
              <w:jc w:val="both"/>
              <w:rPr>
                <w:rFonts w:asciiTheme="majorBidi" w:hAnsiTheme="majorBidi" w:cstheme="majorBidi"/>
                <w:sz w:val="18"/>
                <w:szCs w:val="18"/>
                <w:lang w:val="it-IT"/>
              </w:rPr>
            </w:pPr>
            <w:r w:rsidRPr="00485F66">
              <w:rPr>
                <w:rFonts w:asciiTheme="majorBidi" w:hAnsiTheme="majorBidi" w:cstheme="majorBidi"/>
                <w:sz w:val="18"/>
                <w:szCs w:val="18"/>
                <w:lang w:val="it-IT"/>
              </w:rPr>
              <w:t>Compatibil</w:t>
            </w:r>
          </w:p>
          <w:p w:rsidR="00F02F76" w:rsidRPr="00485F66" w:rsidRDefault="00F02F76" w:rsidP="00670674">
            <w:pPr>
              <w:rPr>
                <w:rFonts w:asciiTheme="majorBidi" w:hAnsiTheme="majorBidi" w:cstheme="majorBidi"/>
                <w:i/>
                <w:sz w:val="18"/>
                <w:szCs w:val="18"/>
                <w:lang w:val="it-IT"/>
              </w:rPr>
            </w:pPr>
          </w:p>
          <w:p w:rsidR="00F02F76" w:rsidRPr="00485F66" w:rsidRDefault="00F02F76" w:rsidP="00670674">
            <w:pPr>
              <w:rPr>
                <w:rFonts w:asciiTheme="majorBidi" w:hAnsiTheme="majorBidi" w:cstheme="majorBidi"/>
                <w:sz w:val="18"/>
                <w:szCs w:val="18"/>
                <w:lang w:val="it-IT"/>
              </w:rPr>
            </w:pPr>
          </w:p>
          <w:p w:rsidR="00F02F76" w:rsidRPr="00485F66" w:rsidRDefault="00F02F76" w:rsidP="00670674">
            <w:pPr>
              <w:rPr>
                <w:rFonts w:asciiTheme="majorBidi" w:hAnsiTheme="majorBidi" w:cstheme="majorBidi"/>
                <w:sz w:val="18"/>
                <w:szCs w:val="18"/>
                <w:lang w:val="it-IT"/>
              </w:rPr>
            </w:pPr>
          </w:p>
          <w:p w:rsidR="003B1C6A" w:rsidRPr="00A91BBD" w:rsidRDefault="003B1C6A" w:rsidP="003B1C6A">
            <w:pPr>
              <w:tabs>
                <w:tab w:val="left" w:pos="2410"/>
              </w:tabs>
              <w:jc w:val="both"/>
              <w:rPr>
                <w:b/>
                <w:sz w:val="18"/>
                <w:szCs w:val="18"/>
                <w:lang w:val="ro-RO"/>
              </w:rPr>
            </w:pPr>
          </w:p>
          <w:p w:rsidR="003B1C6A" w:rsidRPr="00A91BBD" w:rsidRDefault="003B1C6A" w:rsidP="003B1C6A">
            <w:pPr>
              <w:tabs>
                <w:tab w:val="left" w:pos="2410"/>
              </w:tabs>
              <w:jc w:val="both"/>
              <w:rPr>
                <w:sz w:val="18"/>
                <w:szCs w:val="18"/>
                <w:lang w:val="ro-RO"/>
              </w:rPr>
            </w:pPr>
            <w:r w:rsidRPr="00A91BBD">
              <w:rPr>
                <w:sz w:val="18"/>
                <w:szCs w:val="18"/>
                <w:lang w:val="ro-RO"/>
              </w:rPr>
              <w:t>Prevederi UE neaplicabile</w:t>
            </w:r>
          </w:p>
          <w:p w:rsidR="00F02F76" w:rsidRPr="00485F66" w:rsidRDefault="00F02F76" w:rsidP="00670674">
            <w:pPr>
              <w:jc w:val="both"/>
              <w:rPr>
                <w:rFonts w:asciiTheme="majorBidi" w:hAnsiTheme="majorBidi" w:cstheme="majorBidi"/>
                <w:sz w:val="18"/>
                <w:szCs w:val="18"/>
                <w:lang w:val="it-IT"/>
              </w:rPr>
            </w:pPr>
          </w:p>
          <w:p w:rsidR="003B1C6A" w:rsidRPr="00A91BBD" w:rsidRDefault="003B1C6A" w:rsidP="003B1C6A">
            <w:pPr>
              <w:tabs>
                <w:tab w:val="left" w:pos="2410"/>
              </w:tabs>
              <w:jc w:val="both"/>
              <w:rPr>
                <w:sz w:val="18"/>
                <w:szCs w:val="18"/>
                <w:lang w:val="ro-RO"/>
              </w:rPr>
            </w:pPr>
            <w:r w:rsidRPr="00A91BBD">
              <w:rPr>
                <w:sz w:val="18"/>
                <w:szCs w:val="18"/>
                <w:lang w:val="ro-RO"/>
              </w:rPr>
              <w:t>Prevederi UE neaplicabile</w:t>
            </w:r>
          </w:p>
          <w:p w:rsidR="00F02F76" w:rsidRPr="00485F66" w:rsidRDefault="00F02F76" w:rsidP="00670674">
            <w:pPr>
              <w:jc w:val="both"/>
              <w:rPr>
                <w:rFonts w:asciiTheme="majorBidi" w:hAnsiTheme="majorBidi" w:cstheme="majorBidi"/>
                <w:sz w:val="18"/>
                <w:szCs w:val="18"/>
                <w:lang w:val="it-IT"/>
              </w:rPr>
            </w:pP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CHAPTER VIII FINAL PROVISIONS</w:t>
            </w: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Article 38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Implementation monitoring</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In context of its implementation monitoring responsibilities, the Secretariat shall monitor and analyse how transmission system operators have implemented this Regulation.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Transmission system operators shall submit to the Secretariat all information required by the Secretariat to comply with its obligations pursuant to paragraph 1 by no later than 9 months after the expiry of the deadline for transposition of this Regulation.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confidentiality of commercially sensitive information shall be preserved by the Secretariat.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4. Not later than two years after the expiry of the deadline for transposition of this Regulation, the Energy Community Regulatory Board shall report on the conditionalities stipulated in contracts for standard capacity products for firm capacity, having regard to their effect on efficient network use and the integration of the Energy Community gas markets. The Energy Community Regulatory Board shall be supported in its assessment by the relevant national regulatory authorities and transmission system operators.</w:t>
            </w:r>
          </w:p>
        </w:tc>
      </w:tr>
    </w:tbl>
    <w:p w:rsidR="00802B16" w:rsidRDefault="00802B16" w:rsidP="00DA725A"/>
    <w:tbl>
      <w:tblPr>
        <w:tblStyle w:val="1"/>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962"/>
        <w:gridCol w:w="1275"/>
        <w:gridCol w:w="4253"/>
      </w:tblGrid>
      <w:tr w:rsidR="008A2DA4" w:rsidRPr="00C27D66" w:rsidTr="00A24503">
        <w:trPr>
          <w:trHeight w:val="742"/>
        </w:trPr>
        <w:tc>
          <w:tcPr>
            <w:tcW w:w="15735" w:type="dxa"/>
            <w:gridSpan w:val="4"/>
            <w:shd w:val="clear" w:color="auto" w:fill="FFFF00"/>
          </w:tcPr>
          <w:p w:rsidR="008A2DA4" w:rsidRPr="00AF0E15" w:rsidRDefault="008A2DA4" w:rsidP="00DA725A">
            <w:pPr>
              <w:rPr>
                <w:lang w:val="it-IT"/>
              </w:rPr>
            </w:pPr>
            <w:r w:rsidRPr="00AF0E15">
              <w:rPr>
                <w:sz w:val="18"/>
                <w:lang w:val="it-IT"/>
              </w:rPr>
              <w:t xml:space="preserve">Regulamentul (UE) Nr.2017/460 al Comisiei din 16 martie 2017 de stabilire a unui cod al reţelei privind structurile tarifare armonizate pentru transportul gazelor publicat în Jurnalul Oficial al Uniunii Europene L 72/29 din 17 martie 2017, adaptat prin Decizia Nr.2018/07/PHLG-EnC al Grupului Permanent de Nivel Înalt al Comunităţii Energetice din 28 noiembrie 2018 privind implementarea Regulamentului (UE) Nr.2017/460 al Comisiei din 16 martie 2017 de stabilire a unui cod al reţelei privind structurile tarifare armonizate pentru transportul gazelor  </w:t>
            </w:r>
          </w:p>
        </w:tc>
      </w:tr>
      <w:tr w:rsidR="00D146AC" w:rsidRPr="00043955" w:rsidTr="00FC3840">
        <w:trPr>
          <w:trHeight w:val="1240"/>
        </w:trPr>
        <w:tc>
          <w:tcPr>
            <w:tcW w:w="5245" w:type="dxa"/>
          </w:tcPr>
          <w:p w:rsidR="00D146AC" w:rsidRPr="003F54D6" w:rsidRDefault="00D146AC" w:rsidP="00DA725A">
            <w:pPr>
              <w:shd w:val="clear" w:color="auto" w:fill="FFFFFF"/>
              <w:jc w:val="center"/>
              <w:rPr>
                <w:b/>
                <w:bCs/>
                <w:sz w:val="16"/>
                <w:szCs w:val="22"/>
                <w:lang w:val="it-IT"/>
              </w:rPr>
            </w:pPr>
            <w:r w:rsidRPr="003F54D6">
              <w:rPr>
                <w:b/>
                <w:bCs/>
                <w:sz w:val="16"/>
                <w:szCs w:val="22"/>
                <w:lang w:val="it-IT"/>
              </w:rPr>
              <w:lastRenderedPageBreak/>
              <w:t>Structurile tarifare armonizate pentru transportul gazelor</w:t>
            </w:r>
          </w:p>
          <w:p w:rsidR="00D146AC" w:rsidRPr="006E1AE6" w:rsidRDefault="00D146AC" w:rsidP="00DA725A">
            <w:pPr>
              <w:shd w:val="clear" w:color="auto" w:fill="FFFFFF"/>
              <w:jc w:val="center"/>
              <w:rPr>
                <w:b/>
                <w:bCs/>
                <w:sz w:val="17"/>
                <w:szCs w:val="27"/>
                <w:lang w:val="it-IT"/>
              </w:rPr>
            </w:pPr>
            <w:r w:rsidRPr="006E1AE6">
              <w:rPr>
                <w:b/>
                <w:bCs/>
                <w:sz w:val="17"/>
                <w:szCs w:val="27"/>
                <w:lang w:val="it-IT"/>
              </w:rPr>
              <w:t>CAPITOLUL I</w:t>
            </w:r>
          </w:p>
          <w:p w:rsidR="00D146AC" w:rsidRPr="006E1AE6" w:rsidRDefault="00D146AC" w:rsidP="00DA725A">
            <w:pPr>
              <w:shd w:val="clear" w:color="auto" w:fill="FFFFFF"/>
              <w:jc w:val="center"/>
              <w:rPr>
                <w:b/>
                <w:bCs/>
                <w:sz w:val="17"/>
                <w:szCs w:val="27"/>
                <w:lang w:val="it-IT"/>
              </w:rPr>
            </w:pPr>
            <w:r w:rsidRPr="006E1AE6">
              <w:rPr>
                <w:b/>
                <w:bCs/>
                <w:sz w:val="17"/>
                <w:szCs w:val="27"/>
                <w:lang w:val="it-IT"/>
              </w:rPr>
              <w:t>DISPOZIȚII GENERALE</w:t>
            </w:r>
          </w:p>
          <w:p w:rsidR="00D146AC" w:rsidRPr="004C78E7" w:rsidRDefault="00D146AC" w:rsidP="00D44918">
            <w:pPr>
              <w:shd w:val="clear" w:color="auto" w:fill="FFFFFF"/>
              <w:jc w:val="center"/>
              <w:rPr>
                <w:i/>
                <w:iCs/>
                <w:sz w:val="18"/>
                <w:szCs w:val="18"/>
                <w:lang w:val="it-IT"/>
              </w:rPr>
            </w:pPr>
            <w:r w:rsidRPr="004C78E7">
              <w:rPr>
                <w:i/>
                <w:iCs/>
                <w:sz w:val="18"/>
                <w:szCs w:val="18"/>
                <w:lang w:val="it-IT"/>
              </w:rPr>
              <w:t>Articolul 1</w:t>
            </w:r>
          </w:p>
          <w:p w:rsidR="00D146AC" w:rsidRPr="004C78E7" w:rsidRDefault="00D146AC" w:rsidP="00D44918">
            <w:pPr>
              <w:shd w:val="clear" w:color="auto" w:fill="FFFFFF"/>
              <w:jc w:val="center"/>
              <w:rPr>
                <w:b/>
                <w:bCs/>
                <w:sz w:val="18"/>
                <w:szCs w:val="18"/>
                <w:lang w:val="it-IT"/>
              </w:rPr>
            </w:pPr>
            <w:r w:rsidRPr="004C78E7">
              <w:rPr>
                <w:b/>
                <w:bCs/>
                <w:sz w:val="18"/>
                <w:szCs w:val="18"/>
                <w:lang w:val="it-IT"/>
              </w:rPr>
              <w:t>Obiect</w:t>
            </w:r>
          </w:p>
          <w:p w:rsidR="00D146AC" w:rsidRPr="004C78E7" w:rsidRDefault="00D146AC" w:rsidP="00DA725A">
            <w:pPr>
              <w:shd w:val="clear" w:color="auto" w:fill="FFFFFF"/>
              <w:jc w:val="both"/>
              <w:rPr>
                <w:b/>
                <w:bCs/>
                <w:sz w:val="18"/>
                <w:szCs w:val="18"/>
                <w:lang w:val="it-IT"/>
              </w:rPr>
            </w:pPr>
            <w:r w:rsidRPr="004C78E7">
              <w:rPr>
                <w:sz w:val="18"/>
                <w:szCs w:val="18"/>
                <w:lang w:val="it-IT"/>
              </w:rPr>
              <w:t>Prezentul regulament stabilește un cod al rețelei care stabilește normele privind structurile tarifare armonizate pentru transportul gazelor, inclusiv norme privind aplicarea unei metodologii de stabilire a prețurilor de referință, cerințele conexe în materie de consultare și de publicare, precum și norme privind calcularea prețurilor de rezervă pentru produsele de capacitate standard.</w:t>
            </w:r>
          </w:p>
        </w:tc>
        <w:tc>
          <w:tcPr>
            <w:tcW w:w="4962" w:type="dxa"/>
          </w:tcPr>
          <w:p w:rsidR="00D44918" w:rsidRPr="00380C00" w:rsidRDefault="00D44918" w:rsidP="00D44918">
            <w:pPr>
              <w:jc w:val="center"/>
              <w:rPr>
                <w:b/>
                <w:sz w:val="18"/>
                <w:szCs w:val="18"/>
                <w:lang w:val="it-IT"/>
              </w:rPr>
            </w:pPr>
            <w:r w:rsidRPr="00380C00">
              <w:rPr>
                <w:b/>
                <w:bCs/>
                <w:sz w:val="18"/>
                <w:szCs w:val="18"/>
                <w:lang w:val="it-IT"/>
              </w:rPr>
              <w:t>TITLUL V</w:t>
            </w:r>
          </w:p>
          <w:p w:rsidR="00D44918" w:rsidRPr="00380C00" w:rsidRDefault="00D44918" w:rsidP="00D44918">
            <w:pPr>
              <w:jc w:val="center"/>
              <w:rPr>
                <w:b/>
                <w:sz w:val="18"/>
                <w:szCs w:val="18"/>
                <w:lang w:val="it-IT"/>
              </w:rPr>
            </w:pPr>
            <w:r w:rsidRPr="00380C00">
              <w:rPr>
                <w:b/>
                <w:bCs/>
                <w:sz w:val="18"/>
                <w:szCs w:val="18"/>
                <w:lang w:val="it-IT"/>
              </w:rPr>
              <w:t xml:space="preserve">STRUCTURILE TARIFARE ARMONIZATE PENTRU </w:t>
            </w:r>
          </w:p>
          <w:p w:rsidR="00D44918" w:rsidRPr="00380C00" w:rsidRDefault="00D44918" w:rsidP="00D44918">
            <w:pPr>
              <w:jc w:val="center"/>
              <w:rPr>
                <w:b/>
                <w:sz w:val="18"/>
                <w:szCs w:val="18"/>
                <w:lang w:val="it-IT"/>
              </w:rPr>
            </w:pPr>
            <w:r w:rsidRPr="00380C00">
              <w:rPr>
                <w:b/>
                <w:bCs/>
                <w:sz w:val="18"/>
                <w:szCs w:val="18"/>
                <w:lang w:val="it-IT"/>
              </w:rPr>
              <w:t>TRANSPORTUL GAZELOR NATURALE</w:t>
            </w:r>
          </w:p>
          <w:p w:rsidR="00D44918" w:rsidRPr="00380C00" w:rsidRDefault="00D44918" w:rsidP="00D44918">
            <w:pPr>
              <w:jc w:val="center"/>
              <w:rPr>
                <w:b/>
                <w:sz w:val="18"/>
                <w:szCs w:val="18"/>
                <w:lang w:val="it-IT"/>
              </w:rPr>
            </w:pPr>
            <w:r w:rsidRPr="00380C00">
              <w:rPr>
                <w:b/>
                <w:sz w:val="18"/>
                <w:szCs w:val="18"/>
                <w:lang w:val="it-IT"/>
              </w:rPr>
              <w:t> </w:t>
            </w:r>
          </w:p>
          <w:p w:rsidR="00D44918" w:rsidRPr="00380C00" w:rsidRDefault="00D44918" w:rsidP="00D44918">
            <w:pPr>
              <w:jc w:val="center"/>
              <w:rPr>
                <w:b/>
                <w:sz w:val="18"/>
                <w:szCs w:val="18"/>
                <w:lang w:val="it-IT"/>
              </w:rPr>
            </w:pPr>
            <w:r w:rsidRPr="00380C00">
              <w:rPr>
                <w:b/>
                <w:bCs/>
                <w:sz w:val="18"/>
                <w:szCs w:val="18"/>
                <w:lang w:val="it-IT"/>
              </w:rPr>
              <w:t>Capitolul I</w:t>
            </w:r>
          </w:p>
          <w:p w:rsidR="00D44918" w:rsidRPr="00380C00" w:rsidRDefault="00D44918" w:rsidP="00D44918">
            <w:pPr>
              <w:jc w:val="center"/>
              <w:rPr>
                <w:b/>
                <w:bCs/>
                <w:sz w:val="18"/>
                <w:szCs w:val="18"/>
                <w:lang w:val="it-IT"/>
              </w:rPr>
            </w:pPr>
            <w:r w:rsidRPr="00380C00">
              <w:rPr>
                <w:b/>
                <w:bCs/>
                <w:sz w:val="18"/>
                <w:szCs w:val="18"/>
                <w:lang w:val="it-IT"/>
              </w:rPr>
              <w:t>Secţiunea 1</w:t>
            </w:r>
          </w:p>
          <w:p w:rsidR="00D44918" w:rsidRPr="00380C00" w:rsidRDefault="00D44918" w:rsidP="00D44918">
            <w:pPr>
              <w:jc w:val="center"/>
              <w:rPr>
                <w:b/>
                <w:sz w:val="18"/>
                <w:szCs w:val="18"/>
                <w:lang w:val="it-IT"/>
              </w:rPr>
            </w:pPr>
          </w:p>
          <w:p w:rsidR="00D44918" w:rsidRPr="00380C00" w:rsidRDefault="00D44918" w:rsidP="00D44918">
            <w:pPr>
              <w:rPr>
                <w:sz w:val="18"/>
                <w:szCs w:val="18"/>
                <w:lang w:val="it-IT"/>
              </w:rPr>
            </w:pPr>
            <w:r w:rsidRPr="00380C00">
              <w:rPr>
                <w:bCs/>
                <w:sz w:val="18"/>
                <w:szCs w:val="18"/>
                <w:lang w:val="it-IT"/>
              </w:rPr>
              <w:t>318.</w:t>
            </w:r>
            <w:r w:rsidRPr="00380C00">
              <w:rPr>
                <w:sz w:val="18"/>
                <w:szCs w:val="18"/>
                <w:lang w:val="it-IT"/>
              </w:rPr>
              <w:t xml:space="preserve"> Prezentul Titlu stabileşte normele privind structurile tarifare armonizate pentru transportul gazelor naturale, inclusiv norme privind aplicarea metodei de calculare a preţurilor de referinţă, cerinţele conexe în materie de consultare şi de publicare, precum şi norme privind calcularea preţurilor de rezervă pentru PCS.</w:t>
            </w:r>
          </w:p>
          <w:p w:rsidR="00D146AC" w:rsidRPr="00380C00" w:rsidRDefault="00D146AC" w:rsidP="00DA725A">
            <w:pPr>
              <w:tabs>
                <w:tab w:val="left" w:pos="567"/>
                <w:tab w:val="left" w:pos="851"/>
              </w:tabs>
              <w:jc w:val="both"/>
              <w:outlineLvl w:val="0"/>
              <w:rPr>
                <w:b/>
                <w:bCs/>
                <w:sz w:val="18"/>
                <w:szCs w:val="18"/>
                <w:lang w:val="it-IT"/>
              </w:rPr>
            </w:pPr>
          </w:p>
        </w:tc>
        <w:tc>
          <w:tcPr>
            <w:tcW w:w="1275" w:type="dxa"/>
          </w:tcPr>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Default="00D146AC" w:rsidP="00DA725A">
            <w:pPr>
              <w:jc w:val="both"/>
              <w:rPr>
                <w:sz w:val="18"/>
                <w:szCs w:val="18"/>
              </w:rPr>
            </w:pPr>
            <w:r w:rsidRPr="002B23BC">
              <w:rPr>
                <w:sz w:val="18"/>
                <w:szCs w:val="18"/>
              </w:rPr>
              <w:t>Compatibil</w:t>
            </w:r>
          </w:p>
          <w:p w:rsidR="00D146AC" w:rsidRPr="00043955" w:rsidRDefault="00D146AC" w:rsidP="00DA725A">
            <w:pPr>
              <w:jc w:val="both"/>
              <w:rPr>
                <w:b/>
                <w:sz w:val="18"/>
                <w:szCs w:val="18"/>
              </w:rPr>
            </w:pPr>
          </w:p>
        </w:tc>
        <w:tc>
          <w:tcPr>
            <w:tcW w:w="4253" w:type="dxa"/>
          </w:tcPr>
          <w:p w:rsidR="00461BE9" w:rsidRDefault="00461BE9" w:rsidP="00DA725A">
            <w:pPr>
              <w:autoSpaceDE w:val="0"/>
              <w:autoSpaceDN w:val="0"/>
              <w:adjustRightInd w:val="0"/>
              <w:jc w:val="center"/>
              <w:rPr>
                <w:b/>
                <w:bCs/>
                <w:i/>
                <w:iCs/>
                <w:sz w:val="18"/>
                <w:szCs w:val="18"/>
              </w:rPr>
            </w:pPr>
          </w:p>
          <w:p w:rsidR="00461BE9" w:rsidRDefault="00461BE9" w:rsidP="00DA725A">
            <w:pPr>
              <w:autoSpaceDE w:val="0"/>
              <w:autoSpaceDN w:val="0"/>
              <w:adjustRightInd w:val="0"/>
              <w:jc w:val="center"/>
              <w:rPr>
                <w:b/>
                <w:bCs/>
                <w:i/>
                <w:iCs/>
                <w:sz w:val="18"/>
                <w:szCs w:val="18"/>
              </w:rPr>
            </w:pPr>
          </w:p>
          <w:p w:rsidR="00461BE9" w:rsidRDefault="00461BE9" w:rsidP="00DA725A">
            <w:pPr>
              <w:autoSpaceDE w:val="0"/>
              <w:autoSpaceDN w:val="0"/>
              <w:adjustRightInd w:val="0"/>
              <w:jc w:val="center"/>
              <w:rPr>
                <w:b/>
                <w:bCs/>
                <w:i/>
                <w:iCs/>
                <w:sz w:val="18"/>
                <w:szCs w:val="18"/>
              </w:rPr>
            </w:pPr>
          </w:p>
          <w:p w:rsidR="00461BE9" w:rsidRDefault="00461BE9" w:rsidP="00DA725A">
            <w:pPr>
              <w:autoSpaceDE w:val="0"/>
              <w:autoSpaceDN w:val="0"/>
              <w:adjustRightInd w:val="0"/>
              <w:jc w:val="center"/>
              <w:rPr>
                <w:b/>
                <w:bCs/>
                <w:i/>
                <w:iCs/>
                <w:sz w:val="18"/>
                <w:szCs w:val="18"/>
              </w:rPr>
            </w:pPr>
          </w:p>
          <w:p w:rsidR="00D71F5D" w:rsidRPr="00E84D74" w:rsidRDefault="00D71F5D" w:rsidP="00DA725A">
            <w:pPr>
              <w:autoSpaceDE w:val="0"/>
              <w:autoSpaceDN w:val="0"/>
              <w:adjustRightInd w:val="0"/>
              <w:jc w:val="center"/>
              <w:rPr>
                <w:b/>
                <w:bCs/>
                <w:i/>
                <w:iCs/>
                <w:sz w:val="18"/>
                <w:szCs w:val="18"/>
              </w:rPr>
            </w:pPr>
            <w:r w:rsidRPr="00E84D74">
              <w:rPr>
                <w:b/>
                <w:bCs/>
                <w:i/>
                <w:iCs/>
                <w:sz w:val="18"/>
                <w:szCs w:val="18"/>
              </w:rPr>
              <w:t>Article 1</w:t>
            </w:r>
          </w:p>
          <w:p w:rsidR="00D71F5D" w:rsidRPr="00E84D74" w:rsidRDefault="00D71F5D" w:rsidP="00DA725A">
            <w:pPr>
              <w:autoSpaceDE w:val="0"/>
              <w:autoSpaceDN w:val="0"/>
              <w:adjustRightInd w:val="0"/>
              <w:jc w:val="center"/>
              <w:rPr>
                <w:sz w:val="18"/>
                <w:szCs w:val="18"/>
              </w:rPr>
            </w:pPr>
            <w:r w:rsidRPr="00E84D74">
              <w:rPr>
                <w:b/>
                <w:bCs/>
                <w:sz w:val="18"/>
                <w:szCs w:val="18"/>
              </w:rPr>
              <w:t>Subject matter</w:t>
            </w:r>
          </w:p>
          <w:p w:rsidR="00D71F5D" w:rsidRPr="00E84D74" w:rsidRDefault="00D71F5D" w:rsidP="00DA725A">
            <w:pPr>
              <w:autoSpaceDE w:val="0"/>
              <w:autoSpaceDN w:val="0"/>
              <w:adjustRightInd w:val="0"/>
              <w:rPr>
                <w:sz w:val="18"/>
                <w:szCs w:val="18"/>
              </w:rPr>
            </w:pPr>
          </w:p>
          <w:p w:rsidR="00D146AC" w:rsidRPr="00E84D74" w:rsidRDefault="00C20939" w:rsidP="00DA725A">
            <w:pPr>
              <w:autoSpaceDE w:val="0"/>
              <w:autoSpaceDN w:val="0"/>
              <w:adjustRightInd w:val="0"/>
              <w:rPr>
                <w:b/>
                <w:sz w:val="18"/>
                <w:szCs w:val="18"/>
              </w:rPr>
            </w:pPr>
            <w:r w:rsidRPr="00E84D74">
              <w:rPr>
                <w:sz w:val="18"/>
                <w:szCs w:val="18"/>
              </w:rPr>
              <w:t>This Regulation establishes a network code setting out the rules on harmonised transmission tariff</w:t>
            </w:r>
            <w:r w:rsidR="00D71F5D" w:rsidRPr="00E84D74">
              <w:rPr>
                <w:sz w:val="18"/>
                <w:szCs w:val="18"/>
              </w:rPr>
              <w:t xml:space="preserve"> </w:t>
            </w:r>
            <w:r w:rsidRPr="00E84D74">
              <w:rPr>
                <w:sz w:val="18"/>
                <w:szCs w:val="18"/>
              </w:rPr>
              <w:t>structures for gas, including rules on the application of a reference price methodology, the associated</w:t>
            </w:r>
            <w:r w:rsidR="00D71F5D" w:rsidRPr="00E84D74">
              <w:rPr>
                <w:sz w:val="18"/>
                <w:szCs w:val="18"/>
              </w:rPr>
              <w:t xml:space="preserve"> </w:t>
            </w:r>
            <w:r w:rsidRPr="00E84D74">
              <w:rPr>
                <w:sz w:val="18"/>
                <w:szCs w:val="18"/>
              </w:rPr>
              <w:t>consultation and publication requirements as well as the calculation of reserve prices for standard capacity</w:t>
            </w:r>
            <w:r w:rsidR="00D71F5D" w:rsidRPr="00E84D74">
              <w:rPr>
                <w:sz w:val="18"/>
                <w:szCs w:val="18"/>
              </w:rPr>
              <w:t xml:space="preserve"> </w:t>
            </w:r>
            <w:r w:rsidRPr="00E84D74">
              <w:rPr>
                <w:sz w:val="18"/>
                <w:szCs w:val="18"/>
              </w:rPr>
              <w:t>products.</w:t>
            </w:r>
          </w:p>
        </w:tc>
      </w:tr>
      <w:tr w:rsidR="00D146AC" w:rsidRPr="00043955" w:rsidTr="00FC3840">
        <w:trPr>
          <w:trHeight w:val="1240"/>
        </w:trPr>
        <w:tc>
          <w:tcPr>
            <w:tcW w:w="5245" w:type="dxa"/>
          </w:tcPr>
          <w:p w:rsidR="00D146AC" w:rsidRPr="004C78E7" w:rsidRDefault="00D146AC" w:rsidP="00DA725A">
            <w:pPr>
              <w:shd w:val="clear" w:color="auto" w:fill="FFFFFF"/>
              <w:jc w:val="both"/>
              <w:rPr>
                <w:i/>
                <w:iCs/>
                <w:sz w:val="18"/>
                <w:szCs w:val="18"/>
                <w:lang w:val="it-IT"/>
              </w:rPr>
            </w:pPr>
            <w:r w:rsidRPr="004C78E7">
              <w:rPr>
                <w:i/>
                <w:iCs/>
                <w:sz w:val="18"/>
                <w:szCs w:val="18"/>
                <w:lang w:val="it-IT"/>
              </w:rPr>
              <w:t>Articolul 2</w:t>
            </w:r>
          </w:p>
          <w:p w:rsidR="00D146AC" w:rsidRPr="004C78E7" w:rsidRDefault="00D146AC" w:rsidP="00DA725A">
            <w:pPr>
              <w:shd w:val="clear" w:color="auto" w:fill="FFFFFF"/>
              <w:jc w:val="both"/>
              <w:rPr>
                <w:b/>
                <w:bCs/>
                <w:sz w:val="18"/>
                <w:szCs w:val="18"/>
                <w:lang w:val="it-IT"/>
              </w:rPr>
            </w:pPr>
            <w:r w:rsidRPr="004C78E7">
              <w:rPr>
                <w:b/>
                <w:bCs/>
                <w:sz w:val="18"/>
                <w:szCs w:val="18"/>
                <w:lang w:val="it-IT"/>
              </w:rPr>
              <w:t>Domeniu de aplicare</w:t>
            </w:r>
          </w:p>
          <w:p w:rsidR="00D146AC" w:rsidRPr="004C78E7" w:rsidRDefault="00D146AC" w:rsidP="00DA725A">
            <w:pPr>
              <w:shd w:val="clear" w:color="auto" w:fill="FFFFFF"/>
              <w:jc w:val="both"/>
              <w:rPr>
                <w:b/>
                <w:bCs/>
                <w:sz w:val="18"/>
                <w:szCs w:val="18"/>
                <w:lang w:val="it-IT"/>
              </w:rPr>
            </w:pPr>
            <w:r w:rsidRPr="004C78E7">
              <w:rPr>
                <w:sz w:val="18"/>
                <w:szCs w:val="18"/>
                <w:lang w:val="it-IT"/>
              </w:rPr>
              <w:t>(1)   Prezentul regulament se aplică tuturor punctelor de intrare și tuturor punctelor de ieșire ale rețelelor pentru transportul gazelor, cu excepția capitolelor III, V și VI, a articolului 28, a articolului 31 alineatele (2) și (3) și a capitolului IX, care se aplică numai punctelor de interconectare. Capitolele III, V și VI, articolul 28 și capitolul IX se aplică punctelor de intrare dinspre țările terțe sau punctelor de ieșire către țările terțe sau ambelor tipuri de puncte, în cazul în care autoritatea națională de reglementare ia decizia de a aplica, în punctele respective, Regulamentul (UE) 2017/459.</w:t>
            </w:r>
          </w:p>
        </w:tc>
        <w:tc>
          <w:tcPr>
            <w:tcW w:w="4962" w:type="dxa"/>
          </w:tcPr>
          <w:p w:rsidR="00AA3F46" w:rsidRPr="00380C00" w:rsidRDefault="00AA3F46" w:rsidP="00AA3F46">
            <w:pPr>
              <w:jc w:val="both"/>
              <w:rPr>
                <w:sz w:val="18"/>
                <w:szCs w:val="18"/>
                <w:lang w:val="it-IT"/>
              </w:rPr>
            </w:pPr>
            <w:r w:rsidRPr="00380C00">
              <w:rPr>
                <w:bCs/>
                <w:sz w:val="18"/>
                <w:szCs w:val="18"/>
                <w:lang w:val="it-IT"/>
              </w:rPr>
              <w:t>319.</w:t>
            </w:r>
            <w:r w:rsidRPr="00380C00">
              <w:rPr>
                <w:sz w:val="18"/>
                <w:szCs w:val="18"/>
                <w:lang w:val="it-IT"/>
              </w:rPr>
              <w:t xml:space="preserve"> Prezentul Titlu se aplică tuturor punctelor de intrare şi tuturor punctelor de ieşire ale reţelelor de transport al gazelor naturale, cu excepţia Capitolelor III, V şi VI, pct.403-406, 413, 414 şi a capitolului IX din prezentul Titlu, care se aplică numai punctelor de interconectare. Capitolele III, V şi VI, pct.403-406 şi Capitolul IX din prezentul Titlu se aplică punctelor de intrare spre ţările terţe sau punctelor de ieşire către ţările terţe sau ambelor tipuri de puncte, în cazul în care Agenţia ia decizia de a aplica la punctele respective, Titlul IV din prezentul Cod. </w:t>
            </w:r>
          </w:p>
          <w:p w:rsidR="00D146AC" w:rsidRPr="00380C00" w:rsidRDefault="00D146AC" w:rsidP="00DA725A">
            <w:pPr>
              <w:tabs>
                <w:tab w:val="left" w:pos="851"/>
              </w:tabs>
              <w:jc w:val="both"/>
              <w:outlineLvl w:val="0"/>
              <w:rPr>
                <w:sz w:val="18"/>
                <w:szCs w:val="18"/>
                <w:lang w:val="it-IT"/>
              </w:rPr>
            </w:pPr>
          </w:p>
          <w:p w:rsidR="00D146AC" w:rsidRPr="00043955" w:rsidRDefault="00D146AC" w:rsidP="00DA725A">
            <w:pPr>
              <w:shd w:val="clear" w:color="auto" w:fill="FFFFFF"/>
              <w:jc w:val="both"/>
              <w:rPr>
                <w:b/>
                <w:bCs/>
                <w:sz w:val="18"/>
                <w:szCs w:val="18"/>
                <w:lang w:val="ro-RO"/>
              </w:rPr>
            </w:pPr>
          </w:p>
        </w:tc>
        <w:tc>
          <w:tcPr>
            <w:tcW w:w="1275" w:type="dxa"/>
          </w:tcPr>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Pr="00A342BA" w:rsidRDefault="00D146AC" w:rsidP="00DA725A">
            <w:pPr>
              <w:rPr>
                <w:sz w:val="18"/>
                <w:szCs w:val="18"/>
              </w:rPr>
            </w:pPr>
          </w:p>
        </w:tc>
        <w:tc>
          <w:tcPr>
            <w:tcW w:w="4253" w:type="dxa"/>
          </w:tcPr>
          <w:p w:rsidR="00D71F5D" w:rsidRPr="00E84D74" w:rsidRDefault="00D71F5D" w:rsidP="00DA725A">
            <w:pPr>
              <w:autoSpaceDE w:val="0"/>
              <w:autoSpaceDN w:val="0"/>
              <w:adjustRightInd w:val="0"/>
              <w:jc w:val="center"/>
              <w:rPr>
                <w:b/>
                <w:bCs/>
                <w:i/>
                <w:iCs/>
                <w:sz w:val="18"/>
                <w:szCs w:val="18"/>
              </w:rPr>
            </w:pPr>
            <w:r w:rsidRPr="00E84D74">
              <w:rPr>
                <w:b/>
                <w:bCs/>
                <w:i/>
                <w:iCs/>
                <w:sz w:val="18"/>
                <w:szCs w:val="18"/>
              </w:rPr>
              <w:t>Article 2</w:t>
            </w:r>
          </w:p>
          <w:p w:rsidR="00D71F5D" w:rsidRPr="00E84D74" w:rsidRDefault="00D71F5D" w:rsidP="00DA725A">
            <w:pPr>
              <w:autoSpaceDE w:val="0"/>
              <w:autoSpaceDN w:val="0"/>
              <w:adjustRightInd w:val="0"/>
              <w:jc w:val="center"/>
              <w:rPr>
                <w:b/>
                <w:bCs/>
                <w:sz w:val="18"/>
                <w:szCs w:val="18"/>
              </w:rPr>
            </w:pPr>
            <w:r w:rsidRPr="00E84D74">
              <w:rPr>
                <w:b/>
                <w:bCs/>
                <w:sz w:val="18"/>
                <w:szCs w:val="18"/>
              </w:rPr>
              <w:t>Scope</w:t>
            </w:r>
          </w:p>
          <w:p w:rsidR="00D71F5D" w:rsidRPr="00E84D74" w:rsidRDefault="00D71F5D" w:rsidP="00DA725A">
            <w:pPr>
              <w:autoSpaceDE w:val="0"/>
              <w:autoSpaceDN w:val="0"/>
              <w:adjustRightInd w:val="0"/>
              <w:rPr>
                <w:sz w:val="18"/>
                <w:szCs w:val="18"/>
              </w:rPr>
            </w:pPr>
            <w:r w:rsidRPr="00E84D74">
              <w:rPr>
                <w:sz w:val="18"/>
                <w:szCs w:val="18"/>
              </w:rPr>
              <w:t>1. This Regulation shall apply to all entry points and all exit points of gas transmission networks with the exception of Chapters III, V, VI, Article 28, Article 31(2) and (3) and Chapter IX which shall apply only to interconnection points. Chapters III, V, VI, Article 28 and Chapter IX shall apply to entry points from third countries or exit points to third countries, or both, where the national regulatory authority takes a decision to apply Regulation (EU) 2017/459 at those points.</w:t>
            </w:r>
          </w:p>
          <w:p w:rsidR="00D146AC" w:rsidRPr="00E84D74" w:rsidRDefault="00D71F5D" w:rsidP="00DA725A">
            <w:pPr>
              <w:jc w:val="both"/>
              <w:rPr>
                <w:b/>
                <w:sz w:val="18"/>
                <w:szCs w:val="18"/>
              </w:rPr>
            </w:pPr>
            <w:r w:rsidRPr="00E84D74">
              <w:rPr>
                <w:sz w:val="18"/>
                <w:szCs w:val="18"/>
              </w:rPr>
              <w:t xml:space="preserve">2. </w:t>
            </w:r>
            <w:r w:rsidRPr="00E84D74">
              <w:rPr>
                <w:b/>
                <w:bCs/>
                <w:sz w:val="18"/>
                <w:szCs w:val="18"/>
              </w:rPr>
              <w:t>&lt;…&gt;</w:t>
            </w:r>
          </w:p>
        </w:tc>
      </w:tr>
      <w:tr w:rsidR="00D146AC" w:rsidRPr="00043955" w:rsidTr="00FC3840">
        <w:trPr>
          <w:trHeight w:val="1240"/>
        </w:trPr>
        <w:tc>
          <w:tcPr>
            <w:tcW w:w="5245" w:type="dxa"/>
          </w:tcPr>
          <w:p w:rsidR="00D146AC" w:rsidRPr="00D82EE4" w:rsidRDefault="00D146AC" w:rsidP="00DA725A">
            <w:pPr>
              <w:rPr>
                <w:i/>
                <w:iCs/>
                <w:sz w:val="18"/>
                <w:szCs w:val="18"/>
                <w:lang w:val="it-IT"/>
              </w:rPr>
            </w:pPr>
            <w:r w:rsidRPr="00D82EE4">
              <w:rPr>
                <w:i/>
                <w:iCs/>
                <w:sz w:val="18"/>
                <w:szCs w:val="18"/>
                <w:lang w:val="it-IT"/>
              </w:rPr>
              <w:t>Articolul 3</w:t>
            </w:r>
          </w:p>
          <w:p w:rsidR="00D146AC" w:rsidRPr="00D82EE4" w:rsidRDefault="00D146AC" w:rsidP="00DA725A">
            <w:pPr>
              <w:jc w:val="center"/>
              <w:rPr>
                <w:b/>
                <w:bCs/>
                <w:sz w:val="18"/>
                <w:szCs w:val="18"/>
                <w:lang w:val="it-IT"/>
              </w:rPr>
            </w:pPr>
            <w:r w:rsidRPr="00D82EE4">
              <w:rPr>
                <w:b/>
                <w:bCs/>
                <w:sz w:val="18"/>
                <w:szCs w:val="18"/>
                <w:lang w:val="it-IT"/>
              </w:rPr>
              <w:t>Definiții</w:t>
            </w:r>
          </w:p>
          <w:p w:rsidR="00D146AC" w:rsidRDefault="00D146AC" w:rsidP="00DA725A">
            <w:pPr>
              <w:jc w:val="both"/>
              <w:rPr>
                <w:sz w:val="18"/>
                <w:szCs w:val="18"/>
              </w:rPr>
            </w:pPr>
            <w:r w:rsidRPr="00D82EE4">
              <w:rPr>
                <w:sz w:val="18"/>
                <w:szCs w:val="18"/>
                <w:lang w:val="it-IT"/>
              </w:rPr>
              <w:t>În sensul prezentului regulament, se aplică definițiile de la articolul 2 din Regulamentul (CE) nr. 715/2009, de la articolul 3 din Regulamentul (UE) 2017/459, de la articolul 3 din Regulamentul (UE) 312/2014 al Comisiei</w:t>
            </w:r>
            <w:hyperlink r:id="rId19" w:anchor="ntr5-L_2017072RO.01002901-E0005" w:history="1">
              <w:r w:rsidRPr="00D82EE4">
                <w:rPr>
                  <w:sz w:val="18"/>
                  <w:szCs w:val="18"/>
                  <w:u w:val="single"/>
                  <w:lang w:val="it-IT"/>
                </w:rPr>
                <w:t> (</w:t>
              </w:r>
              <w:r w:rsidRPr="00D82EE4">
                <w:rPr>
                  <w:sz w:val="18"/>
                  <w:szCs w:val="18"/>
                  <w:u w:val="single"/>
                  <w:vertAlign w:val="superscript"/>
                  <w:lang w:val="it-IT"/>
                </w:rPr>
                <w:t>5</w:t>
              </w:r>
              <w:r w:rsidRPr="00D82EE4">
                <w:rPr>
                  <w:sz w:val="18"/>
                  <w:szCs w:val="18"/>
                  <w:u w:val="single"/>
                  <w:lang w:val="it-IT"/>
                </w:rPr>
                <w:t>)</w:t>
              </w:r>
            </w:hyperlink>
            <w:r w:rsidRPr="00D82EE4">
              <w:rPr>
                <w:sz w:val="18"/>
                <w:szCs w:val="18"/>
                <w:lang w:val="it-IT"/>
              </w:rPr>
              <w:t>, de la articolul 2 din Regulamentul (UE) 2015/703 al Comisiei</w:t>
            </w:r>
            <w:hyperlink r:id="rId20" w:anchor="ntr6-L_2017072RO.01002901-E0006" w:history="1">
              <w:r w:rsidRPr="00D82EE4">
                <w:rPr>
                  <w:sz w:val="18"/>
                  <w:szCs w:val="18"/>
                  <w:u w:val="single"/>
                  <w:lang w:val="it-IT"/>
                </w:rPr>
                <w:t> (</w:t>
              </w:r>
              <w:r w:rsidRPr="00D82EE4">
                <w:rPr>
                  <w:sz w:val="18"/>
                  <w:szCs w:val="18"/>
                  <w:u w:val="single"/>
                  <w:vertAlign w:val="superscript"/>
                  <w:lang w:val="it-IT"/>
                </w:rPr>
                <w:t>6</w:t>
              </w:r>
              <w:r w:rsidRPr="00D82EE4">
                <w:rPr>
                  <w:sz w:val="18"/>
                  <w:szCs w:val="18"/>
                  <w:u w:val="single"/>
                  <w:lang w:val="it-IT"/>
                </w:rPr>
                <w:t>)</w:t>
              </w:r>
            </w:hyperlink>
            <w:r w:rsidRPr="00D82EE4">
              <w:rPr>
                <w:sz w:val="18"/>
                <w:szCs w:val="18"/>
                <w:lang w:val="it-IT"/>
              </w:rPr>
              <w:t xml:space="preserve">, precum și de la articolul 2 din Directiva 2009/73/CE. </w:t>
            </w:r>
            <w:r w:rsidRPr="00043955">
              <w:rPr>
                <w:sz w:val="18"/>
                <w:szCs w:val="18"/>
              </w:rPr>
              <w:t>În plus, se aplică următoarele definiții:</w:t>
            </w:r>
          </w:p>
          <w:p w:rsidR="004E1AA2" w:rsidRDefault="004E1AA2" w:rsidP="00DA725A">
            <w:pPr>
              <w:jc w:val="both"/>
              <w:rPr>
                <w:sz w:val="18"/>
                <w:szCs w:val="18"/>
              </w:rPr>
            </w:pPr>
          </w:p>
          <w:p w:rsidR="004E1AA2" w:rsidRPr="00043955" w:rsidRDefault="004E1AA2" w:rsidP="00DA725A">
            <w:pPr>
              <w:jc w:val="both"/>
              <w:rPr>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1.</w:t>
                  </w:r>
                </w:p>
              </w:tc>
              <w:tc>
                <w:tcPr>
                  <w:tcW w:w="9504" w:type="dxa"/>
                  <w:hideMark/>
                </w:tcPr>
                <w:p w:rsidR="00D146AC" w:rsidRDefault="00D146AC" w:rsidP="00DA725A">
                  <w:pPr>
                    <w:jc w:val="both"/>
                    <w:rPr>
                      <w:sz w:val="18"/>
                      <w:szCs w:val="18"/>
                      <w:lang w:val="it-IT"/>
                    </w:rPr>
                  </w:pPr>
                  <w:r w:rsidRPr="00D82EE4">
                    <w:rPr>
                      <w:sz w:val="18"/>
                      <w:szCs w:val="18"/>
                      <w:lang w:val="it-IT"/>
                    </w:rPr>
                    <w:t>„</w:t>
                  </w:r>
                  <w:r w:rsidRPr="00D82EE4">
                    <w:rPr>
                      <w:sz w:val="18"/>
                      <w:szCs w:val="18"/>
                      <w:u w:val="single"/>
                      <w:lang w:val="it-IT"/>
                    </w:rPr>
                    <w:t>preț de referință</w:t>
                  </w:r>
                  <w:r w:rsidRPr="00D82EE4">
                    <w:rPr>
                      <w:sz w:val="18"/>
                      <w:szCs w:val="18"/>
                      <w:lang w:val="it-IT"/>
                    </w:rPr>
                    <w:t xml:space="preserve">” înseamnă </w:t>
                  </w:r>
                  <w:r w:rsidRPr="00D82EE4">
                    <w:rPr>
                      <w:b/>
                      <w:sz w:val="18"/>
                      <w:szCs w:val="18"/>
                      <w:lang w:val="it-IT"/>
                    </w:rPr>
                    <w:t>prețul unui produs de capacitate fermă cu durata de un an,</w:t>
                  </w:r>
                  <w:r w:rsidRPr="00D82EE4">
                    <w:rPr>
                      <w:sz w:val="18"/>
                      <w:szCs w:val="18"/>
                      <w:lang w:val="it-IT"/>
                    </w:rPr>
                    <w:t xml:space="preserve"> care este aplicabil în punctele de intrare și de ieșire și care </w:t>
                  </w:r>
                  <w:r w:rsidRPr="00D82EE4">
                    <w:rPr>
                      <w:b/>
                      <w:sz w:val="18"/>
                      <w:szCs w:val="18"/>
                      <w:lang w:val="it-IT"/>
                    </w:rPr>
                    <w:t>este utilizat pentru a stabili tarifele de transport bazate pe capacitate</w:t>
                  </w:r>
                  <w:r w:rsidRPr="00D82EE4">
                    <w:rPr>
                      <w:sz w:val="18"/>
                      <w:szCs w:val="18"/>
                      <w:lang w:val="it-IT"/>
                    </w:rPr>
                    <w:t>;</w:t>
                  </w:r>
                </w:p>
                <w:p w:rsidR="004E1AA2" w:rsidRPr="00D82EE4" w:rsidRDefault="004E1AA2"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2.</w:t>
                  </w:r>
                </w:p>
              </w:tc>
              <w:tc>
                <w:tcPr>
                  <w:tcW w:w="9504" w:type="dxa"/>
                  <w:hideMark/>
                </w:tcPr>
                <w:p w:rsidR="00D146AC" w:rsidRPr="00D82EE4" w:rsidRDefault="00D146AC" w:rsidP="00DA725A">
                  <w:pPr>
                    <w:jc w:val="both"/>
                    <w:rPr>
                      <w:sz w:val="18"/>
                      <w:szCs w:val="18"/>
                      <w:lang w:val="it-IT"/>
                    </w:rPr>
                  </w:pPr>
                  <w:r w:rsidRPr="00D82EE4">
                    <w:rPr>
                      <w:sz w:val="18"/>
                      <w:szCs w:val="18"/>
                      <w:lang w:val="it-IT"/>
                    </w:rPr>
                    <w:t>„</w:t>
                  </w:r>
                  <w:r w:rsidRPr="00D82EE4">
                    <w:rPr>
                      <w:sz w:val="18"/>
                      <w:szCs w:val="18"/>
                      <w:u w:val="single"/>
                      <w:lang w:val="it-IT"/>
                    </w:rPr>
                    <w:t>metodologia de stabilire a prețurilor de referință</w:t>
                  </w:r>
                  <w:r w:rsidRPr="00D82EE4">
                    <w:rPr>
                      <w:sz w:val="18"/>
                      <w:szCs w:val="18"/>
                      <w:lang w:val="it-IT"/>
                    </w:rPr>
                    <w:t xml:space="preserve">” înseamnă metodologia aplicată acelei părți a </w:t>
                  </w:r>
                  <w:r w:rsidRPr="00D82EE4">
                    <w:rPr>
                      <w:b/>
                      <w:sz w:val="18"/>
                      <w:szCs w:val="18"/>
                      <w:lang w:val="it-IT"/>
                    </w:rPr>
                    <w:t>venitului</w:t>
                  </w:r>
                  <w:r w:rsidRPr="00D82EE4">
                    <w:rPr>
                      <w:sz w:val="18"/>
                      <w:szCs w:val="18"/>
                      <w:lang w:val="it-IT"/>
                    </w:rPr>
                    <w:t xml:space="preserve"> aferent serviciilor de transport care </w:t>
                  </w:r>
                  <w:r w:rsidRPr="00D82EE4">
                    <w:rPr>
                      <w:b/>
                      <w:sz w:val="18"/>
                      <w:szCs w:val="18"/>
                      <w:lang w:val="it-IT"/>
                    </w:rPr>
                    <w:t>trebuie recuperată din tarifele de transport bazate pe capacitate</w:t>
                  </w:r>
                  <w:r w:rsidRPr="00D82EE4">
                    <w:rPr>
                      <w:sz w:val="18"/>
                      <w:szCs w:val="18"/>
                      <w:lang w:val="it-IT"/>
                    </w:rPr>
                    <w:t xml:space="preserve">, </w:t>
                  </w:r>
                  <w:r w:rsidRPr="00D82EE4">
                    <w:rPr>
                      <w:b/>
                      <w:sz w:val="18"/>
                      <w:szCs w:val="18"/>
                      <w:lang w:val="it-IT"/>
                    </w:rPr>
                    <w:t>în scopul determinării prețurilor de referință;</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3.</w:t>
                  </w:r>
                </w:p>
              </w:tc>
              <w:tc>
                <w:tcPr>
                  <w:tcW w:w="9504" w:type="dxa"/>
                  <w:hideMark/>
                </w:tcPr>
                <w:p w:rsidR="00D146AC" w:rsidRDefault="00D146AC" w:rsidP="00DA725A">
                  <w:pPr>
                    <w:jc w:val="both"/>
                    <w:rPr>
                      <w:sz w:val="18"/>
                      <w:szCs w:val="18"/>
                      <w:lang w:val="it-IT"/>
                    </w:rPr>
                  </w:pPr>
                  <w:r w:rsidRPr="00D82EE4">
                    <w:rPr>
                      <w:sz w:val="18"/>
                      <w:szCs w:val="18"/>
                      <w:lang w:val="it-IT"/>
                    </w:rPr>
                    <w:t xml:space="preserve">„regim de tarifare fără plafonarea prețului” înseamnă un regim de reglementare, cum sunt regimul de plafonare a veniturilor, regimul </w:t>
                  </w:r>
                  <w:r w:rsidRPr="00D82EE4">
                    <w:rPr>
                      <w:sz w:val="18"/>
                      <w:szCs w:val="18"/>
                      <w:lang w:val="it-IT"/>
                    </w:rPr>
                    <w:lastRenderedPageBreak/>
                    <w:t>ratei de rentabilitate și regimul cost plus, în cadrul căruia venitul autorizat al operatorului de transport și de sistem este stabilit în conformitate cu articolul 41 alineatul (6) litera (a) din Directiva 2009/73/CE;</w:t>
                  </w:r>
                </w:p>
                <w:p w:rsidR="004E1AA2" w:rsidRPr="00D82EE4" w:rsidRDefault="004E1AA2"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043955"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4.</w:t>
                  </w:r>
                </w:p>
              </w:tc>
              <w:tc>
                <w:tcPr>
                  <w:tcW w:w="9504" w:type="dxa"/>
                  <w:hideMark/>
                </w:tcPr>
                <w:p w:rsidR="00D146AC" w:rsidRDefault="00D146AC" w:rsidP="00DA725A">
                  <w:pPr>
                    <w:jc w:val="both"/>
                    <w:rPr>
                      <w:sz w:val="18"/>
                      <w:szCs w:val="18"/>
                      <w:lang w:val="en-GB"/>
                    </w:rPr>
                  </w:pPr>
                  <w:r w:rsidRPr="00043955">
                    <w:rPr>
                      <w:sz w:val="18"/>
                      <w:szCs w:val="18"/>
                      <w:lang w:val="en-GB"/>
                    </w:rPr>
                    <w:t>„venit aferent altor servicii decât cele de transport” înseamnă acea parte a venitului autorizat sau a venitului-țintă care este recuperată prin alte tarife decât cele de transport;</w:t>
                  </w:r>
                </w:p>
                <w:p w:rsidR="004E1AA2" w:rsidRPr="00043955" w:rsidRDefault="004E1AA2"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5.</w:t>
                  </w:r>
                </w:p>
              </w:tc>
              <w:tc>
                <w:tcPr>
                  <w:tcW w:w="9504" w:type="dxa"/>
                  <w:hideMark/>
                </w:tcPr>
                <w:p w:rsidR="00D146AC" w:rsidRPr="00D82EE4" w:rsidRDefault="00D146AC" w:rsidP="00DA725A">
                  <w:pPr>
                    <w:jc w:val="both"/>
                    <w:rPr>
                      <w:sz w:val="18"/>
                      <w:szCs w:val="18"/>
                      <w:lang w:val="it-IT"/>
                    </w:rPr>
                  </w:pPr>
                  <w:r w:rsidRPr="00D82EE4">
                    <w:rPr>
                      <w:sz w:val="18"/>
                      <w:szCs w:val="18"/>
                      <w:lang w:val="it-IT"/>
                    </w:rPr>
                    <w:t>„perioadă de reglementare” înseamnă perioada pentru care normele generale privind venitul autorizat sau venitul-țintă sunt stabilite în conformitate cu articolul 41 alineatul (6) litera (a) din Directiva 2009/73/CE;</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043955"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6.</w:t>
                  </w:r>
                </w:p>
              </w:tc>
              <w:tc>
                <w:tcPr>
                  <w:tcW w:w="9504" w:type="dxa"/>
                  <w:hideMark/>
                </w:tcPr>
                <w:p w:rsidR="00D146AC" w:rsidRDefault="00D146AC" w:rsidP="00DA725A">
                  <w:pPr>
                    <w:jc w:val="both"/>
                    <w:rPr>
                      <w:sz w:val="18"/>
                      <w:szCs w:val="18"/>
                      <w:lang w:val="en-GB"/>
                    </w:rPr>
                  </w:pPr>
                  <w:r w:rsidRPr="00043955">
                    <w:rPr>
                      <w:sz w:val="18"/>
                      <w:szCs w:val="18"/>
                      <w:lang w:val="en-GB"/>
                    </w:rPr>
                    <w:t>„venit aferent serviciilor de transport” înseamnă acea parte a venitului autorizat sau a venitului-țintă care este recuperată prin tarifele de transport;</w:t>
                  </w:r>
                </w:p>
                <w:p w:rsidR="004E1AA2" w:rsidRPr="00043955" w:rsidRDefault="004E1AA2"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043955"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7.</w:t>
                  </w:r>
                </w:p>
              </w:tc>
              <w:tc>
                <w:tcPr>
                  <w:tcW w:w="9504" w:type="dxa"/>
                  <w:hideMark/>
                </w:tcPr>
                <w:p w:rsidR="00D146AC" w:rsidRDefault="00D146AC" w:rsidP="00DA725A">
                  <w:pPr>
                    <w:jc w:val="both"/>
                    <w:rPr>
                      <w:sz w:val="18"/>
                      <w:szCs w:val="18"/>
                      <w:lang w:val="en-GB"/>
                    </w:rPr>
                  </w:pPr>
                  <w:r w:rsidRPr="00043955">
                    <w:rPr>
                      <w:sz w:val="18"/>
                      <w:szCs w:val="18"/>
                      <w:lang w:val="en-GB"/>
                    </w:rPr>
                    <w:t>„tarife de transport” înseamnă taxele pe care trebuie să le plătească utilizatorii rețelei pentru serviciile de transport care li se furnizează;</w:t>
                  </w:r>
                </w:p>
                <w:p w:rsidR="00833BF7" w:rsidRPr="00043955" w:rsidRDefault="00833BF7"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8.</w:t>
                  </w:r>
                </w:p>
              </w:tc>
              <w:tc>
                <w:tcPr>
                  <w:tcW w:w="9504" w:type="dxa"/>
                  <w:hideMark/>
                </w:tcPr>
                <w:p w:rsidR="00D146AC" w:rsidRPr="00D82EE4" w:rsidRDefault="00D146AC" w:rsidP="00DA725A">
                  <w:pPr>
                    <w:jc w:val="both"/>
                    <w:rPr>
                      <w:sz w:val="18"/>
                      <w:szCs w:val="18"/>
                      <w:lang w:val="it-IT"/>
                    </w:rPr>
                  </w:pPr>
                  <w:r w:rsidRPr="00D82EE4">
                    <w:rPr>
                      <w:sz w:val="18"/>
                      <w:szCs w:val="18"/>
                      <w:lang w:val="it-IT"/>
                    </w:rPr>
                    <w:t>„utilizare a rețelei în interiorul sistemului” înseamnă transportul de gaze în interiorul unui sistem de intrare/ieșire către clienți conectați la același sistem de intrare/ieșire;</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9.</w:t>
                  </w:r>
                </w:p>
              </w:tc>
              <w:tc>
                <w:tcPr>
                  <w:tcW w:w="9504" w:type="dxa"/>
                  <w:hideMark/>
                </w:tcPr>
                <w:p w:rsidR="00833BF7" w:rsidRPr="00D82EE4" w:rsidRDefault="00D146AC" w:rsidP="00833BF7">
                  <w:pPr>
                    <w:jc w:val="both"/>
                    <w:rPr>
                      <w:sz w:val="18"/>
                      <w:szCs w:val="18"/>
                      <w:lang w:val="it-IT"/>
                    </w:rPr>
                  </w:pPr>
                  <w:r w:rsidRPr="00D82EE4">
                    <w:rPr>
                      <w:sz w:val="18"/>
                      <w:szCs w:val="18"/>
                      <w:lang w:val="it-IT"/>
                    </w:rPr>
                    <w:t>„utilizare a rețelei între sisteme” înseamnă transportul de gaze în interiorul unui sistem de intrare/ieșire către clienți conectați la alt sistem de intrare/ieșire;</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10.</w:t>
                  </w:r>
                </w:p>
              </w:tc>
              <w:tc>
                <w:tcPr>
                  <w:tcW w:w="9414" w:type="dxa"/>
                  <w:hideMark/>
                </w:tcPr>
                <w:p w:rsidR="00D146AC" w:rsidRDefault="00D146AC" w:rsidP="00DA725A">
                  <w:pPr>
                    <w:jc w:val="both"/>
                    <w:rPr>
                      <w:sz w:val="18"/>
                      <w:szCs w:val="18"/>
                      <w:lang w:val="it-IT"/>
                    </w:rPr>
                  </w:pPr>
                  <w:r w:rsidRPr="00D82EE4">
                    <w:rPr>
                      <w:sz w:val="18"/>
                      <w:szCs w:val="18"/>
                      <w:lang w:val="it-IT"/>
                    </w:rPr>
                    <w:t>„grup omogen de puncte” înseamnă un grup de puncte care aparțin unuia dintre următoarele tipuri de puncte: puncte de interconectare de intrare, puncte de interconectare de ieșire, puncte de interconectare interne, puncte de intrare dinspre instalații de înmagazinare, puncte de ieșire către instalații de înmagazinare, puncte de intrare dinspre instalații de gaz natural lichefiat (denumite în continuare „instalații GNL”), puncte de ieșire către instalații GNL și puncte de intrare dinspre instalații de producție;</w:t>
                  </w:r>
                </w:p>
                <w:p w:rsidR="00833BF7" w:rsidRPr="00D82EE4" w:rsidRDefault="00833BF7"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11.</w:t>
                  </w:r>
                </w:p>
              </w:tc>
              <w:tc>
                <w:tcPr>
                  <w:tcW w:w="9414" w:type="dxa"/>
                  <w:hideMark/>
                </w:tcPr>
                <w:p w:rsidR="00D146AC" w:rsidRDefault="00D146AC" w:rsidP="00DA725A">
                  <w:pPr>
                    <w:jc w:val="both"/>
                    <w:rPr>
                      <w:sz w:val="18"/>
                      <w:szCs w:val="18"/>
                      <w:lang w:val="en-GB"/>
                    </w:rPr>
                  </w:pPr>
                  <w:r w:rsidRPr="00043955">
                    <w:rPr>
                      <w:sz w:val="18"/>
                      <w:szCs w:val="18"/>
                      <w:lang w:val="en-GB"/>
                    </w:rPr>
                    <w:t>„venit autorizat” înseamnă venitul total aferent serviciilor de transport și altor servicii decât cele de transport, provenit din furnizarea de servicii de către operatorul de transport și de sistem în cursul unei perioade de timp specifice dintr-o anumită perioadă de reglementare, pe care respectivul operator de transport și de sistem are dreptul să îl obțină în temeiul unui regim de tarifare fără plafonarea prețului și care este stabilit în conformitate cu articolul 41 alineatul (6) litera (a) din Directiva 2009/73/CE;</w:t>
                  </w:r>
                </w:p>
                <w:p w:rsidR="00833BF7" w:rsidRPr="00043955" w:rsidRDefault="00833BF7"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12.</w:t>
                  </w:r>
                </w:p>
              </w:tc>
              <w:tc>
                <w:tcPr>
                  <w:tcW w:w="9414" w:type="dxa"/>
                  <w:hideMark/>
                </w:tcPr>
                <w:p w:rsidR="00D146AC" w:rsidRPr="00043955" w:rsidRDefault="00D146AC" w:rsidP="00DA725A">
                  <w:pPr>
                    <w:jc w:val="both"/>
                    <w:rPr>
                      <w:sz w:val="18"/>
                      <w:szCs w:val="18"/>
                      <w:lang w:val="en-GB"/>
                    </w:rPr>
                  </w:pPr>
                  <w:r w:rsidRPr="00043955">
                    <w:rPr>
                      <w:sz w:val="18"/>
                      <w:szCs w:val="18"/>
                      <w:lang w:val="en-GB"/>
                    </w:rPr>
                    <w:t>„servicii de transport” înseamnă serviciile reglementate furnizate de operatorul de transport și de sistem în cadrul sistemului de intrare/ieșire în scopul transportului;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lastRenderedPageBreak/>
                    <w:t>13.</w:t>
                  </w:r>
                </w:p>
              </w:tc>
              <w:tc>
                <w:tcPr>
                  <w:tcW w:w="9414" w:type="dxa"/>
                  <w:hideMark/>
                </w:tcPr>
                <w:p w:rsidR="00D146AC" w:rsidRDefault="00D146AC" w:rsidP="00DA725A">
                  <w:pPr>
                    <w:jc w:val="both"/>
                    <w:rPr>
                      <w:sz w:val="18"/>
                      <w:szCs w:val="18"/>
                      <w:lang w:val="it-IT"/>
                    </w:rPr>
                  </w:pPr>
                  <w:r w:rsidRPr="00D82EE4">
                    <w:rPr>
                      <w:sz w:val="18"/>
                      <w:szCs w:val="18"/>
                      <w:lang w:val="it-IT"/>
                    </w:rPr>
                    <w:t>„alte tarife decât cele de transport” înseamnă taxele pe care trebuie să le plătească utilizatorii rețelei pentru serviciile care li se furnizează, altele decât cele de transport;</w:t>
                  </w:r>
                </w:p>
                <w:p w:rsidR="00833BF7" w:rsidRPr="00D82EE4" w:rsidRDefault="00833BF7"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14.</w:t>
                  </w:r>
                </w:p>
              </w:tc>
              <w:tc>
                <w:tcPr>
                  <w:tcW w:w="9414" w:type="dxa"/>
                  <w:hideMark/>
                </w:tcPr>
                <w:p w:rsidR="00D146AC" w:rsidRPr="00D82EE4" w:rsidRDefault="00D146AC" w:rsidP="00DA725A">
                  <w:pPr>
                    <w:jc w:val="both"/>
                    <w:rPr>
                      <w:sz w:val="18"/>
                      <w:szCs w:val="18"/>
                      <w:lang w:val="it-IT"/>
                    </w:rPr>
                  </w:pPr>
                  <w:r w:rsidRPr="00D82EE4">
                    <w:rPr>
                      <w:sz w:val="18"/>
                      <w:szCs w:val="18"/>
                      <w:lang w:val="it-IT"/>
                    </w:rPr>
                    <w:t>„venit-țintă” înseamnă suma dintre venitul preconizat aferent serviciilor de transport, calculat în conformitate cu principiile stabilite la articolul 13 alineatul (1) din Regulamentul (CE) nr. 715/2009, și venitul preconizat aferent altor servicii decât cele de transport, provenite din furnizarea de servicii de către operatorul de transport și de sistem în cursul unei perioade specifice dintr-o anumită perioadă reglementată, în cadrul unui regim de tarifare cu plafonarea prețului;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15.</w:t>
                  </w:r>
                </w:p>
              </w:tc>
              <w:tc>
                <w:tcPr>
                  <w:tcW w:w="9414" w:type="dxa"/>
                  <w:hideMark/>
                </w:tcPr>
                <w:p w:rsidR="00D146AC" w:rsidRDefault="00D146AC" w:rsidP="00DA725A">
                  <w:pPr>
                    <w:jc w:val="both"/>
                    <w:rPr>
                      <w:sz w:val="18"/>
                      <w:szCs w:val="18"/>
                      <w:lang w:val="en-GB"/>
                    </w:rPr>
                  </w:pPr>
                  <w:r w:rsidRPr="00043955">
                    <w:rPr>
                      <w:sz w:val="18"/>
                      <w:szCs w:val="18"/>
                      <w:lang w:val="en-GB"/>
                    </w:rPr>
                    <w:t>„alte servicii decât cele de transport” înseamnă serviciile reglementate, altele decât serviciile de transport și altele decât serviciile reglementate de Regulamentul (UE) nr. 312/2014, care sunt furnizate de către operatorul de transport și de sistem;</w:t>
                  </w:r>
                </w:p>
                <w:p w:rsidR="00FA70A1" w:rsidRPr="00043955" w:rsidRDefault="00FA70A1"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16.</w:t>
                  </w:r>
                </w:p>
              </w:tc>
              <w:tc>
                <w:tcPr>
                  <w:tcW w:w="9414" w:type="dxa"/>
                  <w:hideMark/>
                </w:tcPr>
                <w:p w:rsidR="00D146AC" w:rsidRDefault="00D146AC" w:rsidP="00DA725A">
                  <w:pPr>
                    <w:jc w:val="both"/>
                    <w:rPr>
                      <w:sz w:val="18"/>
                      <w:szCs w:val="18"/>
                      <w:lang w:val="it-IT"/>
                    </w:rPr>
                  </w:pPr>
                  <w:r w:rsidRPr="00D82EE4">
                    <w:rPr>
                      <w:sz w:val="18"/>
                      <w:szCs w:val="18"/>
                      <w:lang w:val="it-IT"/>
                    </w:rPr>
                    <w:t>„coeficient de multiplicare” înseamnă coeficientul aplicat proporției respective din prețul de referință pentru a calcula prețul de rezervă pentru un produs de capacitate standard neanuală;</w:t>
                  </w:r>
                </w:p>
                <w:p w:rsidR="00FA70A1" w:rsidRPr="00D82EE4" w:rsidRDefault="00FA70A1"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17.</w:t>
                  </w:r>
                </w:p>
              </w:tc>
              <w:tc>
                <w:tcPr>
                  <w:tcW w:w="9414" w:type="dxa"/>
                  <w:hideMark/>
                </w:tcPr>
                <w:p w:rsidR="00D146AC" w:rsidRDefault="00D146AC" w:rsidP="00DA725A">
                  <w:pPr>
                    <w:jc w:val="both"/>
                    <w:rPr>
                      <w:sz w:val="18"/>
                      <w:szCs w:val="18"/>
                      <w:lang w:val="it-IT"/>
                    </w:rPr>
                  </w:pPr>
                  <w:r w:rsidRPr="00D82EE4">
                    <w:rPr>
                      <w:sz w:val="18"/>
                      <w:szCs w:val="18"/>
                      <w:lang w:val="it-IT"/>
                    </w:rPr>
                    <w:t>„regim de tarifare cu plafonarea prețului” înseamnă un regim de reglementare în cadrul căruia se stabilește, în conformitate cu articolul 41 alineatul (6) litera (a) din Directiva 2009/73/CE, un tarif maxim de transport bazat pe venitul-țintă;</w:t>
                  </w:r>
                </w:p>
                <w:p w:rsidR="00FA70A1" w:rsidRPr="00D82EE4" w:rsidRDefault="00FA70A1"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18.</w:t>
                  </w:r>
                </w:p>
              </w:tc>
              <w:tc>
                <w:tcPr>
                  <w:tcW w:w="9414" w:type="dxa"/>
                  <w:hideMark/>
                </w:tcPr>
                <w:p w:rsidR="00D146AC" w:rsidRPr="00043955" w:rsidRDefault="00D146AC" w:rsidP="00DA725A">
                  <w:pPr>
                    <w:jc w:val="both"/>
                    <w:rPr>
                      <w:sz w:val="18"/>
                      <w:szCs w:val="18"/>
                      <w:lang w:val="en-GB"/>
                    </w:rPr>
                  </w:pPr>
                  <w:r w:rsidRPr="00043955">
                    <w:rPr>
                      <w:sz w:val="18"/>
                      <w:szCs w:val="18"/>
                      <w:lang w:val="en-GB"/>
                    </w:rPr>
                    <w:t>„factor de cost” înseamnă un determinant-cheie al activității operatorului de transport și de sistem, corelat cu costurile respectivului operator de transport și de sistem, cum ar fi distanța sau capacitatea tehnică;</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19.</w:t>
                  </w:r>
                </w:p>
              </w:tc>
              <w:tc>
                <w:tcPr>
                  <w:tcW w:w="9414" w:type="dxa"/>
                  <w:hideMark/>
                </w:tcPr>
                <w:p w:rsidR="00D146AC" w:rsidRDefault="00D146AC" w:rsidP="00DA725A">
                  <w:pPr>
                    <w:jc w:val="both"/>
                    <w:rPr>
                      <w:sz w:val="18"/>
                      <w:szCs w:val="18"/>
                      <w:lang w:val="it-IT"/>
                    </w:rPr>
                  </w:pPr>
                  <w:r w:rsidRPr="00D82EE4">
                    <w:rPr>
                      <w:sz w:val="18"/>
                      <w:szCs w:val="18"/>
                      <w:lang w:val="it-IT"/>
                    </w:rPr>
                    <w:t>„grup de puncte de intrare sau de ieșire” înseamnă un grup omogen de puncte sau un grup de puncte de intrare sau de puncte de ieșire situate unul în vecinătatea celuilalt și care sunt considerate drept un singur punct de intrare sau, respectiv, un singur punct de ieșire, în scopul aplicării metodologiei de stabilire a prețurilor de referință;</w:t>
                  </w:r>
                </w:p>
                <w:p w:rsidR="004E0BBE" w:rsidRDefault="004E0BBE" w:rsidP="00DA725A">
                  <w:pPr>
                    <w:jc w:val="both"/>
                    <w:rPr>
                      <w:sz w:val="18"/>
                      <w:szCs w:val="18"/>
                      <w:lang w:val="it-IT"/>
                    </w:rPr>
                  </w:pPr>
                </w:p>
                <w:p w:rsidR="00F42E2D" w:rsidRDefault="00F42E2D" w:rsidP="00DA725A">
                  <w:pPr>
                    <w:jc w:val="both"/>
                    <w:rPr>
                      <w:sz w:val="18"/>
                      <w:szCs w:val="18"/>
                      <w:lang w:val="it-IT"/>
                    </w:rPr>
                  </w:pPr>
                </w:p>
                <w:p w:rsidR="004E0BBE" w:rsidRPr="00D82EE4" w:rsidRDefault="004E0BBE"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20.</w:t>
                  </w:r>
                </w:p>
              </w:tc>
              <w:tc>
                <w:tcPr>
                  <w:tcW w:w="9414" w:type="dxa"/>
                  <w:hideMark/>
                </w:tcPr>
                <w:p w:rsidR="00D146AC" w:rsidRDefault="00D146AC" w:rsidP="00DA725A">
                  <w:pPr>
                    <w:jc w:val="both"/>
                    <w:rPr>
                      <w:sz w:val="18"/>
                      <w:szCs w:val="18"/>
                      <w:lang w:val="en-GB"/>
                    </w:rPr>
                  </w:pPr>
                  <w:r w:rsidRPr="00043955">
                    <w:rPr>
                      <w:sz w:val="18"/>
                      <w:szCs w:val="18"/>
                      <w:lang w:val="en-GB"/>
                    </w:rPr>
                    <w:t>„scenariu de flux” înseamnă o combinație între un punct de intrare și un punct de ieșire care reflectă utilizarea sistemului de transport în conformitate cu modele probabile privind oferta și cererea și pentru care există cel puțin o rută de conducte ce permite intrarea fluxului de gaze în rețeaua de transport în respectivul punct de intrare și ieșirea sa din rețeaua de transport în respectivul punct de ieșire, indiferent dacă capacitatea este sau nu contractată în respectivul punct de intrare sau în respectivul punct de ieșire;</w:t>
                  </w:r>
                </w:p>
                <w:p w:rsidR="00796A10" w:rsidRDefault="00796A10" w:rsidP="00DA725A">
                  <w:pPr>
                    <w:jc w:val="both"/>
                    <w:rPr>
                      <w:sz w:val="18"/>
                      <w:szCs w:val="18"/>
                      <w:lang w:val="en-GB"/>
                    </w:rPr>
                  </w:pPr>
                </w:p>
                <w:p w:rsidR="00F42E2D" w:rsidRPr="00043955" w:rsidRDefault="00F42E2D"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21.</w:t>
                  </w:r>
                </w:p>
              </w:tc>
              <w:tc>
                <w:tcPr>
                  <w:tcW w:w="9414" w:type="dxa"/>
                  <w:hideMark/>
                </w:tcPr>
                <w:p w:rsidR="00D146AC" w:rsidRPr="00D82EE4" w:rsidRDefault="00D146AC" w:rsidP="00DA725A">
                  <w:pPr>
                    <w:jc w:val="both"/>
                    <w:rPr>
                      <w:sz w:val="18"/>
                      <w:szCs w:val="18"/>
                      <w:lang w:val="it-IT"/>
                    </w:rPr>
                  </w:pPr>
                  <w:r w:rsidRPr="00D82EE4">
                    <w:rPr>
                      <w:sz w:val="18"/>
                      <w:szCs w:val="18"/>
                      <w:lang w:val="it-IT"/>
                    </w:rPr>
                    <w:t>„coeficient sezonier” înseamnă un coeficient care reflectă variația cererii în cursul anului, care poate fi aplicat în combinație cu coeficientul de multiplicare relevant;</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22.</w:t>
                  </w:r>
                </w:p>
              </w:tc>
              <w:tc>
                <w:tcPr>
                  <w:tcW w:w="9414" w:type="dxa"/>
                  <w:hideMark/>
                </w:tcPr>
                <w:p w:rsidR="00466FCC" w:rsidRPr="00043955" w:rsidRDefault="00D146AC" w:rsidP="00DA725A">
                  <w:pPr>
                    <w:jc w:val="both"/>
                    <w:rPr>
                      <w:sz w:val="18"/>
                      <w:szCs w:val="18"/>
                    </w:rPr>
                  </w:pPr>
                  <w:r w:rsidRPr="00043955">
                    <w:rPr>
                      <w:sz w:val="18"/>
                      <w:szCs w:val="18"/>
                    </w:rPr>
                    <w:t>„prețul de plătit fix” înseamnă un preț calculat în conformitate cu articolul 24 litera (b), în cazul în care prețul de rezervă nu face obiectul niciunei ajustări;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23.</w:t>
                  </w:r>
                </w:p>
              </w:tc>
              <w:tc>
                <w:tcPr>
                  <w:tcW w:w="9414" w:type="dxa"/>
                  <w:hideMark/>
                </w:tcPr>
                <w:p w:rsidR="00D146AC" w:rsidRDefault="00D146AC" w:rsidP="00DA725A">
                  <w:pPr>
                    <w:jc w:val="both"/>
                    <w:rPr>
                      <w:sz w:val="18"/>
                      <w:szCs w:val="18"/>
                      <w:lang w:val="it-IT"/>
                    </w:rPr>
                  </w:pPr>
                  <w:r w:rsidRPr="00D82EE4">
                    <w:rPr>
                      <w:sz w:val="18"/>
                      <w:szCs w:val="18"/>
                      <w:lang w:val="it-IT"/>
                    </w:rPr>
                    <w:t>„perioadă tarifară” înseamnă perioada în cursul căreia este aplicabil un anumit nivel al prețului de referință,cu o durată minimă de un an și cu o durată maximă egală cu durata perioadei de reglementare;</w:t>
                  </w:r>
                </w:p>
                <w:p w:rsidR="00466FCC" w:rsidRPr="00D82EE4" w:rsidRDefault="00466FCC"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24.</w:t>
                  </w:r>
                </w:p>
              </w:tc>
              <w:tc>
                <w:tcPr>
                  <w:tcW w:w="9414" w:type="dxa"/>
                  <w:hideMark/>
                </w:tcPr>
                <w:p w:rsidR="00D146AC" w:rsidRPr="00043955" w:rsidRDefault="00D146AC" w:rsidP="00DA725A">
                  <w:pPr>
                    <w:jc w:val="both"/>
                    <w:rPr>
                      <w:sz w:val="18"/>
                      <w:szCs w:val="18"/>
                      <w:lang w:val="en-GB"/>
                    </w:rPr>
                  </w:pPr>
                  <w:r w:rsidRPr="00043955">
                    <w:rPr>
                      <w:sz w:val="18"/>
                      <w:szCs w:val="18"/>
                      <w:lang w:val="en-GB"/>
                    </w:rPr>
                    <w:t>„cont de regularizare” înseamnă contul care reunește cel puțin recuperarea parțială și recuperarea în exces a venitului aferent serviciilor de transport în cadrul unui regim de tarifare fără plafonarea prețului;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51"/>
              <w:gridCol w:w="4878"/>
            </w:tblGrid>
            <w:tr w:rsidR="00D146AC" w:rsidRPr="00C27D66" w:rsidTr="00043955">
              <w:trPr>
                <w:tblCellSpacing w:w="0" w:type="dxa"/>
              </w:trPr>
              <w:tc>
                <w:tcPr>
                  <w:tcW w:w="273" w:type="dxa"/>
                  <w:hideMark/>
                </w:tcPr>
                <w:p w:rsidR="00D146AC" w:rsidRPr="00043955" w:rsidRDefault="00D146AC" w:rsidP="00DA725A">
                  <w:pPr>
                    <w:jc w:val="both"/>
                    <w:rPr>
                      <w:sz w:val="18"/>
                      <w:szCs w:val="18"/>
                    </w:rPr>
                  </w:pPr>
                  <w:r w:rsidRPr="00043955">
                    <w:rPr>
                      <w:sz w:val="18"/>
                      <w:szCs w:val="18"/>
                    </w:rPr>
                    <w:t>25.</w:t>
                  </w:r>
                </w:p>
              </w:tc>
              <w:tc>
                <w:tcPr>
                  <w:tcW w:w="9366" w:type="dxa"/>
                  <w:hideMark/>
                </w:tcPr>
                <w:p w:rsidR="00D146AC" w:rsidRPr="00D82EE4" w:rsidRDefault="00D146AC" w:rsidP="00DA725A">
                  <w:pPr>
                    <w:jc w:val="both"/>
                    <w:rPr>
                      <w:sz w:val="18"/>
                      <w:szCs w:val="18"/>
                      <w:lang w:val="it-IT"/>
                    </w:rPr>
                  </w:pPr>
                  <w:r w:rsidRPr="00D82EE4">
                    <w:rPr>
                      <w:sz w:val="18"/>
                      <w:szCs w:val="18"/>
                      <w:lang w:val="it-IT"/>
                    </w:rPr>
                    <w:t>„primă de licitație” înseamnă diferența dintre prețul de închidere și prețul de rezervă în cadrul unei licitații;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26.</w:t>
                  </w:r>
                </w:p>
              </w:tc>
              <w:tc>
                <w:tcPr>
                  <w:tcW w:w="9414" w:type="dxa"/>
                  <w:hideMark/>
                </w:tcPr>
                <w:p w:rsidR="00D146AC" w:rsidRPr="00043955" w:rsidRDefault="00D146AC" w:rsidP="00DA725A">
                  <w:pPr>
                    <w:jc w:val="both"/>
                    <w:rPr>
                      <w:sz w:val="18"/>
                      <w:szCs w:val="18"/>
                      <w:lang w:val="en-GB"/>
                    </w:rPr>
                  </w:pPr>
                  <w:r w:rsidRPr="00043955">
                    <w:rPr>
                      <w:sz w:val="18"/>
                      <w:szCs w:val="18"/>
                      <w:lang w:val="en-GB"/>
                    </w:rPr>
                    <w:t>„preț de plătit variabil” înseamnă un preț calculat în conformitate cu articolul 24 litera (a), în cazul în care prețul de rezervă face obiectul unor ajustări, precum reconcilierea veniturilor, ajustarea venitului autorizat sau ajustarea capacității contractate estimate.</w:t>
                  </w:r>
                </w:p>
              </w:tc>
            </w:tr>
          </w:tbl>
          <w:p w:rsidR="00D146AC" w:rsidRPr="00043955" w:rsidRDefault="00D146AC" w:rsidP="00DA725A">
            <w:pPr>
              <w:shd w:val="clear" w:color="auto" w:fill="FFFFFF"/>
              <w:jc w:val="both"/>
              <w:rPr>
                <w:i/>
                <w:iCs/>
                <w:sz w:val="18"/>
                <w:szCs w:val="18"/>
                <w:lang w:val="en-GB"/>
              </w:rPr>
            </w:pPr>
          </w:p>
        </w:tc>
        <w:tc>
          <w:tcPr>
            <w:tcW w:w="4962" w:type="dxa"/>
          </w:tcPr>
          <w:p w:rsidR="00D146AC" w:rsidRPr="00043955" w:rsidRDefault="00D146AC" w:rsidP="00DA725A">
            <w:pPr>
              <w:jc w:val="both"/>
              <w:rPr>
                <w:sz w:val="18"/>
                <w:szCs w:val="18"/>
                <w:lang w:val="ro-RO"/>
              </w:rPr>
            </w:pPr>
          </w:p>
          <w:p w:rsidR="00D146AC" w:rsidRPr="00043955" w:rsidRDefault="00D146AC" w:rsidP="00DA725A">
            <w:pPr>
              <w:jc w:val="both"/>
              <w:rPr>
                <w:sz w:val="18"/>
                <w:szCs w:val="18"/>
                <w:lang w:val="ro-RO"/>
              </w:rPr>
            </w:pPr>
          </w:p>
          <w:p w:rsidR="00D146AC" w:rsidRDefault="00D146AC" w:rsidP="00DA725A">
            <w:pPr>
              <w:jc w:val="both"/>
              <w:rPr>
                <w:sz w:val="18"/>
                <w:szCs w:val="18"/>
                <w:lang w:val="ro-RO"/>
              </w:rPr>
            </w:pPr>
          </w:p>
          <w:p w:rsidR="00D146AC" w:rsidRDefault="00D146AC" w:rsidP="00DA725A">
            <w:pPr>
              <w:jc w:val="both"/>
              <w:rPr>
                <w:sz w:val="18"/>
                <w:szCs w:val="18"/>
                <w:lang w:val="ro-RO"/>
              </w:rPr>
            </w:pPr>
          </w:p>
          <w:p w:rsidR="00AA3F46" w:rsidRDefault="00AA3F46" w:rsidP="00DA725A">
            <w:pPr>
              <w:jc w:val="both"/>
              <w:rPr>
                <w:sz w:val="18"/>
                <w:szCs w:val="18"/>
                <w:lang w:val="ro-RO"/>
              </w:rPr>
            </w:pPr>
          </w:p>
          <w:p w:rsidR="00AA3F46" w:rsidRDefault="00AA3F46" w:rsidP="00DA725A">
            <w:pPr>
              <w:jc w:val="both"/>
              <w:rPr>
                <w:sz w:val="18"/>
                <w:szCs w:val="18"/>
                <w:lang w:val="ro-RO"/>
              </w:rPr>
            </w:pPr>
          </w:p>
          <w:p w:rsidR="00AA3F46" w:rsidRDefault="00AA3F46" w:rsidP="00DA725A">
            <w:pPr>
              <w:jc w:val="both"/>
              <w:rPr>
                <w:sz w:val="18"/>
                <w:szCs w:val="18"/>
                <w:lang w:val="ro-RO"/>
              </w:rPr>
            </w:pPr>
          </w:p>
          <w:p w:rsidR="00F44B6B" w:rsidRDefault="00F44B6B" w:rsidP="00DA725A">
            <w:pPr>
              <w:jc w:val="both"/>
              <w:rPr>
                <w:sz w:val="18"/>
                <w:szCs w:val="18"/>
                <w:lang w:val="ro-RO"/>
              </w:rPr>
            </w:pPr>
          </w:p>
          <w:p w:rsidR="00AA3F46" w:rsidRPr="00043955" w:rsidRDefault="00AA3F46" w:rsidP="00DA725A">
            <w:pPr>
              <w:jc w:val="both"/>
              <w:rPr>
                <w:sz w:val="18"/>
                <w:szCs w:val="18"/>
                <w:lang w:val="ro-RO"/>
              </w:rPr>
            </w:pPr>
          </w:p>
          <w:p w:rsidR="00D146AC" w:rsidRPr="00043955" w:rsidRDefault="00D146AC"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preț de referință</w:t>
            </w:r>
            <w:r w:rsidRPr="00043955">
              <w:rPr>
                <w:sz w:val="18"/>
                <w:szCs w:val="18"/>
                <w:lang w:val="ro-RO"/>
              </w:rPr>
              <w:t xml:space="preserve"> – prețul unui produs de capacitate fermă cu durata de un an, care este aplicabil în punctele de intrare și de ieșire și care este utilizat pentru a stabili tarifele pentru serviciul de transport bazate pe capacitate;</w:t>
            </w:r>
          </w:p>
          <w:p w:rsidR="00D146AC" w:rsidRPr="00043955" w:rsidRDefault="00D146AC" w:rsidP="00DA725A">
            <w:pPr>
              <w:jc w:val="both"/>
              <w:rPr>
                <w:sz w:val="18"/>
                <w:szCs w:val="18"/>
                <w:lang w:val="ro-RO"/>
              </w:rPr>
            </w:pPr>
          </w:p>
          <w:p w:rsidR="00D146AC" w:rsidRDefault="00D146AC" w:rsidP="00DA725A">
            <w:pPr>
              <w:contextualSpacing/>
              <w:jc w:val="both"/>
              <w:rPr>
                <w:sz w:val="18"/>
                <w:szCs w:val="18"/>
                <w:lang w:val="ro-RO"/>
              </w:rPr>
            </w:pPr>
            <w:r w:rsidRPr="00043955">
              <w:rPr>
                <w:b/>
                <w:sz w:val="18"/>
                <w:szCs w:val="18"/>
                <w:lang w:val="ro-RO"/>
              </w:rPr>
              <w:t>metodologia de stabilire a prețurilor de referință</w:t>
            </w:r>
            <w:r w:rsidRPr="00043955">
              <w:rPr>
                <w:sz w:val="18"/>
                <w:szCs w:val="18"/>
                <w:lang w:val="ro-RO"/>
              </w:rPr>
              <w:t xml:space="preserve"> – metodologia aplicată acelei părți a venitului aferent serviciilor de transport care trebuie recuperată din tarifele pentru serviciul de transport bazate pe capacitate, în scopul determinării prețurilor de referință;</w:t>
            </w:r>
          </w:p>
          <w:p w:rsidR="00D146AC" w:rsidRPr="00043955" w:rsidRDefault="00D146AC" w:rsidP="00DA725A">
            <w:pPr>
              <w:contextualSpacing/>
              <w:jc w:val="both"/>
              <w:rPr>
                <w:sz w:val="18"/>
                <w:szCs w:val="18"/>
                <w:lang w:val="ro-RO"/>
              </w:rPr>
            </w:pPr>
            <w:r w:rsidRPr="00043955">
              <w:rPr>
                <w:b/>
                <w:sz w:val="18"/>
                <w:szCs w:val="18"/>
                <w:lang w:val="ro-RO"/>
              </w:rPr>
              <w:t>regim de tarifare fără plafonarea prețului</w:t>
            </w:r>
            <w:r w:rsidRPr="00043955">
              <w:rPr>
                <w:sz w:val="18"/>
                <w:szCs w:val="18"/>
                <w:lang w:val="ro-RO"/>
              </w:rPr>
              <w:t xml:space="preserve"> – regim de reglementare, cum sunt regimul de plafonare a veniturilor, regimul </w:t>
            </w:r>
            <w:r w:rsidRPr="00043955">
              <w:rPr>
                <w:sz w:val="18"/>
                <w:szCs w:val="18"/>
                <w:lang w:val="ro-RO"/>
              </w:rPr>
              <w:lastRenderedPageBreak/>
              <w:t>ratei de rentabilitate și regimul cost plus, în cadrul căruia venitul reglementat al OST este stabilit de către Agenție;</w:t>
            </w:r>
          </w:p>
          <w:p w:rsidR="00D146AC" w:rsidRDefault="00D146AC" w:rsidP="00DA725A">
            <w:pPr>
              <w:jc w:val="both"/>
              <w:rPr>
                <w:sz w:val="18"/>
                <w:szCs w:val="18"/>
                <w:lang w:val="ro-RO"/>
              </w:rPr>
            </w:pPr>
          </w:p>
          <w:p w:rsidR="004E1AA2" w:rsidRDefault="004E1AA2" w:rsidP="00DA725A">
            <w:pPr>
              <w:jc w:val="both"/>
              <w:rPr>
                <w:sz w:val="18"/>
                <w:szCs w:val="18"/>
                <w:lang w:val="ro-RO"/>
              </w:rPr>
            </w:pPr>
          </w:p>
          <w:p w:rsidR="00F42E2D" w:rsidRDefault="00F42E2D" w:rsidP="00DA725A">
            <w:pPr>
              <w:jc w:val="both"/>
              <w:rPr>
                <w:sz w:val="18"/>
                <w:szCs w:val="18"/>
                <w:lang w:val="ro-RO"/>
              </w:rPr>
            </w:pPr>
          </w:p>
          <w:p w:rsidR="00D146AC" w:rsidRPr="00043955" w:rsidRDefault="00D146AC" w:rsidP="00DA725A">
            <w:pPr>
              <w:jc w:val="both"/>
              <w:rPr>
                <w:sz w:val="18"/>
                <w:szCs w:val="18"/>
                <w:lang w:val="ro-RO"/>
              </w:rPr>
            </w:pPr>
            <w:r w:rsidRPr="00043955">
              <w:rPr>
                <w:b/>
                <w:sz w:val="18"/>
                <w:szCs w:val="18"/>
                <w:lang w:val="ro-RO"/>
              </w:rPr>
              <w:t>venit aferent altor servicii decât cele de transport</w:t>
            </w:r>
            <w:r w:rsidRPr="00043955">
              <w:rPr>
                <w:sz w:val="18"/>
                <w:szCs w:val="18"/>
                <w:lang w:val="ro-RO"/>
              </w:rPr>
              <w:t xml:space="preserve"> – acea parte a venitului reglementat sau a venitului-țintă care este recuperată prin alte tarife decât cele pentru serviciul de transport;</w:t>
            </w:r>
          </w:p>
          <w:p w:rsidR="00F44B6B" w:rsidRDefault="00F44B6B" w:rsidP="00DA725A">
            <w:pPr>
              <w:jc w:val="both"/>
              <w:rPr>
                <w:b/>
                <w:sz w:val="18"/>
                <w:szCs w:val="18"/>
                <w:lang w:val="ro-RO"/>
              </w:rPr>
            </w:pPr>
          </w:p>
          <w:p w:rsidR="00D146AC" w:rsidRDefault="00D146AC" w:rsidP="00DA725A">
            <w:pPr>
              <w:jc w:val="both"/>
              <w:rPr>
                <w:sz w:val="18"/>
                <w:szCs w:val="18"/>
                <w:lang w:val="ro-RO"/>
              </w:rPr>
            </w:pPr>
            <w:r w:rsidRPr="00043955">
              <w:rPr>
                <w:b/>
                <w:sz w:val="18"/>
                <w:szCs w:val="18"/>
                <w:lang w:val="ro-RO"/>
              </w:rPr>
              <w:t>perioadă de reglementare</w:t>
            </w:r>
            <w:r w:rsidRPr="00043955">
              <w:rPr>
                <w:sz w:val="18"/>
                <w:szCs w:val="18"/>
                <w:lang w:val="ro-RO"/>
              </w:rPr>
              <w:t xml:space="preserve"> – perioada pentru care normele generale privind venitul reglementat sau venitul-țintă sunt stabilite de către Agenție;</w:t>
            </w:r>
          </w:p>
          <w:p w:rsidR="004E1AA2" w:rsidRPr="00043955" w:rsidRDefault="004E1AA2"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venit aferent serviciilor de transport</w:t>
            </w:r>
            <w:r w:rsidRPr="00043955">
              <w:rPr>
                <w:sz w:val="18"/>
                <w:szCs w:val="18"/>
                <w:lang w:val="ro-RO"/>
              </w:rPr>
              <w:t xml:space="preserve"> – acea parte a venitului reglementat sau a venitului-țintă care este recuperată prin tarifele pentru serviciul de transport;</w:t>
            </w:r>
          </w:p>
          <w:p w:rsidR="00D146AC" w:rsidRPr="00043955" w:rsidRDefault="00D146AC"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tarif pentru serviciul de transport</w:t>
            </w:r>
            <w:r w:rsidRPr="00043955">
              <w:rPr>
                <w:sz w:val="18"/>
                <w:szCs w:val="18"/>
                <w:lang w:val="ro-RO"/>
              </w:rPr>
              <w:t xml:space="preserve"> – plata pe care trebuie să o plătească utilizatorii de sistem pentru serviciile de transport prestate;</w:t>
            </w:r>
          </w:p>
          <w:p w:rsidR="00D146AC" w:rsidRPr="00043955" w:rsidRDefault="00D146AC" w:rsidP="00DA725A">
            <w:pPr>
              <w:contextualSpacing/>
              <w:jc w:val="both"/>
              <w:rPr>
                <w:sz w:val="18"/>
                <w:szCs w:val="18"/>
                <w:lang w:val="ro-RO"/>
              </w:rPr>
            </w:pPr>
            <w:r w:rsidRPr="00043955">
              <w:rPr>
                <w:b/>
                <w:sz w:val="18"/>
                <w:szCs w:val="18"/>
                <w:lang w:val="ro-RO"/>
              </w:rPr>
              <w:t>utilizare a rețelei în interiorul sistemului</w:t>
            </w:r>
            <w:r w:rsidRPr="00043955">
              <w:rPr>
                <w:sz w:val="18"/>
                <w:szCs w:val="18"/>
                <w:lang w:val="ro-RO"/>
              </w:rPr>
              <w:t xml:space="preserve"> – transportul gazelor naturale în interiorul unui sistem de intrare /ieșire către consumatorii racordați la același sistem de intrare /ieșire;</w:t>
            </w:r>
          </w:p>
          <w:p w:rsidR="00D146AC" w:rsidRDefault="00D146AC" w:rsidP="00DA725A">
            <w:pPr>
              <w:contextualSpacing/>
              <w:jc w:val="both"/>
              <w:rPr>
                <w:sz w:val="18"/>
                <w:szCs w:val="18"/>
                <w:lang w:val="ro-RO"/>
              </w:rPr>
            </w:pPr>
            <w:r w:rsidRPr="00043955">
              <w:rPr>
                <w:b/>
                <w:sz w:val="18"/>
                <w:szCs w:val="18"/>
                <w:lang w:val="ro-RO"/>
              </w:rPr>
              <w:t>utilizare a rețelei între sisteme</w:t>
            </w:r>
            <w:r w:rsidRPr="00043955">
              <w:rPr>
                <w:sz w:val="18"/>
                <w:szCs w:val="18"/>
                <w:lang w:val="ro-RO"/>
              </w:rPr>
              <w:t xml:space="preserve"> - transportul gazelor naturale în interiorul unui sistem de intrare /ieșire către utilizatorii de sistem racordați la alt sistem de intrare /ieșire;</w:t>
            </w:r>
          </w:p>
          <w:p w:rsidR="00D146AC" w:rsidRPr="00043955" w:rsidRDefault="00D146AC" w:rsidP="00DA725A">
            <w:pPr>
              <w:jc w:val="both"/>
              <w:rPr>
                <w:sz w:val="18"/>
                <w:szCs w:val="18"/>
                <w:lang w:val="ro-RO"/>
              </w:rPr>
            </w:pPr>
            <w:r w:rsidRPr="00043955">
              <w:rPr>
                <w:b/>
                <w:sz w:val="18"/>
                <w:szCs w:val="18"/>
                <w:lang w:val="ro-RO"/>
              </w:rPr>
              <w:t>grup omogen de puncte</w:t>
            </w:r>
            <w:r w:rsidRPr="00043955">
              <w:rPr>
                <w:sz w:val="18"/>
                <w:szCs w:val="18"/>
                <w:lang w:val="ro-RO"/>
              </w:rPr>
              <w:t xml:space="preserve"> – grup de puncte care aparțin unuia dintre următoarele tipuri de puncte: puncte de interconectare de intrare, puncte de interconectare de ieșire, puncte de interconectare interne, puncte de intrare spre instalații de înmagazinare, puncte de ieșire către instalații de înmagazinare, puncte de intrare spre instalații;</w:t>
            </w:r>
          </w:p>
          <w:p w:rsidR="00461BE9" w:rsidRDefault="00461BE9" w:rsidP="00DA725A">
            <w:pPr>
              <w:contextualSpacing/>
              <w:jc w:val="both"/>
              <w:rPr>
                <w:b/>
                <w:sz w:val="18"/>
                <w:szCs w:val="18"/>
                <w:lang w:val="ro-RO"/>
              </w:rPr>
            </w:pPr>
          </w:p>
          <w:p w:rsidR="00833BF7" w:rsidRDefault="00833BF7" w:rsidP="00DA725A">
            <w:pPr>
              <w:contextualSpacing/>
              <w:jc w:val="both"/>
              <w:rPr>
                <w:b/>
                <w:sz w:val="18"/>
                <w:szCs w:val="18"/>
                <w:lang w:val="ro-RO"/>
              </w:rPr>
            </w:pPr>
          </w:p>
          <w:p w:rsidR="00833BF7" w:rsidRDefault="00833BF7" w:rsidP="00DA725A">
            <w:pPr>
              <w:contextualSpacing/>
              <w:jc w:val="both"/>
              <w:rPr>
                <w:b/>
                <w:sz w:val="18"/>
                <w:szCs w:val="18"/>
                <w:lang w:val="ro-RO"/>
              </w:rPr>
            </w:pPr>
          </w:p>
          <w:p w:rsidR="00D146AC" w:rsidRDefault="00D146AC" w:rsidP="00DA725A">
            <w:pPr>
              <w:contextualSpacing/>
              <w:jc w:val="both"/>
              <w:rPr>
                <w:sz w:val="18"/>
                <w:szCs w:val="18"/>
                <w:lang w:val="ro-RO"/>
              </w:rPr>
            </w:pPr>
            <w:r w:rsidRPr="00043955">
              <w:rPr>
                <w:b/>
                <w:sz w:val="18"/>
                <w:szCs w:val="18"/>
                <w:lang w:val="ro-RO"/>
              </w:rPr>
              <w:t>venit reglementat</w:t>
            </w:r>
            <w:r w:rsidRPr="00043955">
              <w:rPr>
                <w:sz w:val="18"/>
                <w:szCs w:val="18"/>
                <w:lang w:val="ro-RO"/>
              </w:rPr>
              <w:t xml:space="preserve"> – venitul total aferent serviciilor de transport și altor servicii decât cele de transport, provenit din prestarea de servicii de către OST în cursul unei perioade de timp specifice dintr-o anumită perioadă de reglementare, în care respectivul OST are dreptul să îl obțină în temeiul unui regim de tarifare fără plafonarea prețului și care este stabilit de către Agenție;</w:t>
            </w:r>
          </w:p>
          <w:p w:rsidR="00833BF7" w:rsidRPr="00043955" w:rsidRDefault="00833BF7" w:rsidP="00DA725A">
            <w:pPr>
              <w:contextualSpacing/>
              <w:jc w:val="both"/>
              <w:rPr>
                <w:sz w:val="18"/>
                <w:szCs w:val="18"/>
                <w:lang w:val="ro-RO"/>
              </w:rPr>
            </w:pPr>
          </w:p>
          <w:p w:rsidR="00D146AC" w:rsidRPr="00043955" w:rsidRDefault="00D146AC" w:rsidP="00DA725A">
            <w:pPr>
              <w:jc w:val="both"/>
              <w:rPr>
                <w:sz w:val="18"/>
                <w:szCs w:val="18"/>
                <w:lang w:val="ro-RO"/>
              </w:rPr>
            </w:pPr>
          </w:p>
          <w:p w:rsidR="00D146AC" w:rsidRPr="00043955" w:rsidRDefault="000E3196" w:rsidP="00DA725A">
            <w:pPr>
              <w:jc w:val="both"/>
              <w:rPr>
                <w:sz w:val="18"/>
                <w:szCs w:val="18"/>
                <w:lang w:val="ro-RO"/>
              </w:rPr>
            </w:pPr>
            <w:r w:rsidRPr="00670674">
              <w:rPr>
                <w:b/>
                <w:sz w:val="18"/>
                <w:szCs w:val="18"/>
                <w:lang w:val="it-IT"/>
              </w:rPr>
              <w:t>s</w:t>
            </w:r>
            <w:r w:rsidR="00D146AC" w:rsidRPr="00043955">
              <w:rPr>
                <w:b/>
                <w:sz w:val="18"/>
                <w:szCs w:val="18"/>
                <w:lang w:val="ro-RO"/>
              </w:rPr>
              <w:t>ervicii de transport</w:t>
            </w:r>
            <w:r w:rsidR="00D146AC" w:rsidRPr="00043955">
              <w:rPr>
                <w:sz w:val="18"/>
                <w:szCs w:val="18"/>
                <w:lang w:val="ro-RO"/>
              </w:rPr>
              <w:t xml:space="preserve"> – serviciile reglementate prestate de OST în cadrul sistemului de intrare /ieșire în scopul transportării gazelor naturale;</w:t>
            </w:r>
          </w:p>
          <w:p w:rsidR="00F44B6B" w:rsidRDefault="00F44B6B" w:rsidP="00DA725A">
            <w:pPr>
              <w:contextualSpacing/>
              <w:jc w:val="both"/>
              <w:rPr>
                <w:b/>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lastRenderedPageBreak/>
              <w:t>alte tarife decât cele de transport</w:t>
            </w:r>
            <w:r w:rsidRPr="00043955">
              <w:rPr>
                <w:sz w:val="18"/>
                <w:szCs w:val="18"/>
                <w:lang w:val="ro-RO"/>
              </w:rPr>
              <w:t xml:space="preserve"> – taxele pe care trebuie să le plătească utilizatorii de sistem pentru serviciile care li se prestează, altele decât cele de transport;</w:t>
            </w:r>
          </w:p>
          <w:p w:rsidR="00F44B6B" w:rsidRPr="00043955" w:rsidRDefault="00F44B6B" w:rsidP="00DA725A">
            <w:pPr>
              <w:jc w:val="both"/>
              <w:rPr>
                <w:sz w:val="18"/>
                <w:szCs w:val="18"/>
                <w:lang w:val="ro-RO"/>
              </w:rPr>
            </w:pPr>
          </w:p>
          <w:p w:rsidR="00D146AC" w:rsidRPr="00043955" w:rsidRDefault="00D146AC" w:rsidP="00DA725A">
            <w:pPr>
              <w:jc w:val="both"/>
              <w:rPr>
                <w:sz w:val="18"/>
                <w:szCs w:val="18"/>
                <w:lang w:val="ro-RO"/>
              </w:rPr>
            </w:pPr>
            <w:r w:rsidRPr="00043955">
              <w:rPr>
                <w:b/>
                <w:sz w:val="18"/>
                <w:szCs w:val="18"/>
                <w:lang w:val="ro-RO"/>
              </w:rPr>
              <w:t>venit-țintă</w:t>
            </w:r>
            <w:r w:rsidRPr="00043955">
              <w:rPr>
                <w:sz w:val="18"/>
                <w:szCs w:val="18"/>
                <w:lang w:val="ro-RO"/>
              </w:rPr>
              <w:t xml:space="preserve"> – suma dintre venitul preconizat aferent serviciilor de transport și venitul preconizat aferent altor servicii decât cele de transport, provenite din prestarea de servicii de către OST în cursul unei perioade specifice dintr-o anumită perioadă reglementată, în cadrul unui regim de tarifare cu plafonarea prețului;</w:t>
            </w:r>
          </w:p>
          <w:p w:rsidR="00D146AC" w:rsidRPr="00043955" w:rsidRDefault="00D146AC" w:rsidP="00DA725A">
            <w:pPr>
              <w:jc w:val="both"/>
              <w:rPr>
                <w:sz w:val="18"/>
                <w:szCs w:val="18"/>
                <w:lang w:val="ro-RO"/>
              </w:rPr>
            </w:pPr>
          </w:p>
          <w:p w:rsidR="00D146AC" w:rsidRPr="00043955" w:rsidRDefault="00D146AC"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alte servicii decât cele de transport</w:t>
            </w:r>
            <w:r w:rsidRPr="00043955">
              <w:rPr>
                <w:sz w:val="18"/>
                <w:szCs w:val="18"/>
                <w:lang w:val="ro-RO"/>
              </w:rPr>
              <w:t xml:space="preserve"> – serviciile reglementate, altele decât serviciile de transport și altele decât serviciile de echilibrare rețelei de transport,  care sunt prestate de către  OST;</w:t>
            </w:r>
          </w:p>
          <w:p w:rsidR="00D146AC" w:rsidRDefault="00D146AC" w:rsidP="00DA725A">
            <w:pPr>
              <w:jc w:val="both"/>
              <w:rPr>
                <w:sz w:val="18"/>
                <w:szCs w:val="18"/>
                <w:lang w:val="ro-RO"/>
              </w:rPr>
            </w:pPr>
          </w:p>
          <w:p w:rsidR="00F44B6B" w:rsidRPr="00043955" w:rsidRDefault="00F44B6B"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coeficient de multiplicare</w:t>
            </w:r>
            <w:r w:rsidRPr="00043955">
              <w:rPr>
                <w:sz w:val="18"/>
                <w:szCs w:val="18"/>
                <w:lang w:val="ro-RO"/>
              </w:rPr>
              <w:t xml:space="preserve"> – coeficientul aplicat proporției respective din prețul de referință pentru a calcula prețul de rezervă pentru un PSC neanuală;</w:t>
            </w:r>
          </w:p>
          <w:p w:rsidR="00D146AC" w:rsidRPr="00043955" w:rsidRDefault="00D146AC" w:rsidP="00DA725A">
            <w:pPr>
              <w:jc w:val="both"/>
              <w:rPr>
                <w:sz w:val="18"/>
                <w:szCs w:val="18"/>
                <w:lang w:val="ro-RO"/>
              </w:rPr>
            </w:pPr>
          </w:p>
          <w:p w:rsidR="00D146AC" w:rsidRDefault="00D146AC" w:rsidP="00DA725A">
            <w:pPr>
              <w:contextualSpacing/>
              <w:jc w:val="both"/>
              <w:rPr>
                <w:b/>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regim de tarifare cu plafonarea prețului</w:t>
            </w:r>
            <w:r w:rsidRPr="00043955">
              <w:rPr>
                <w:sz w:val="18"/>
                <w:szCs w:val="18"/>
                <w:lang w:val="ro-RO"/>
              </w:rPr>
              <w:t xml:space="preserve"> – regim de reglementare în cadrul căruia se stabilește de către Agenție un tarif maxim pentru serviciul de transport bazat pe venitul-țintă;</w:t>
            </w:r>
          </w:p>
          <w:p w:rsidR="00D146AC" w:rsidRDefault="00D146AC" w:rsidP="00DA725A">
            <w:pPr>
              <w:contextualSpacing/>
              <w:jc w:val="both"/>
              <w:rPr>
                <w:b/>
                <w:sz w:val="18"/>
                <w:szCs w:val="18"/>
                <w:lang w:val="ro-RO"/>
              </w:rPr>
            </w:pPr>
          </w:p>
          <w:p w:rsidR="00D146AC" w:rsidRDefault="00D146AC" w:rsidP="00DA725A">
            <w:pPr>
              <w:contextualSpacing/>
              <w:jc w:val="both"/>
              <w:rPr>
                <w:b/>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factor de cost</w:t>
            </w:r>
            <w:r w:rsidRPr="00043955">
              <w:rPr>
                <w:sz w:val="18"/>
                <w:szCs w:val="18"/>
                <w:lang w:val="ro-RO"/>
              </w:rPr>
              <w:t xml:space="preserve"> – determinant-cheie al activității operatorului de transport și de sistem, corelat cu costurile respectivului OST, cum ar fi distanța sau capacitatea tehnică;</w:t>
            </w:r>
          </w:p>
          <w:p w:rsidR="00D146AC" w:rsidRPr="00043955" w:rsidRDefault="00D146AC" w:rsidP="00DA725A">
            <w:pPr>
              <w:jc w:val="both"/>
              <w:rPr>
                <w:sz w:val="18"/>
                <w:szCs w:val="18"/>
                <w:lang w:val="ro-RO"/>
              </w:rPr>
            </w:pPr>
          </w:p>
          <w:p w:rsidR="00D146AC" w:rsidRPr="00043955" w:rsidRDefault="00D146AC" w:rsidP="00DA725A">
            <w:pPr>
              <w:jc w:val="both"/>
              <w:rPr>
                <w:sz w:val="18"/>
                <w:szCs w:val="18"/>
                <w:lang w:val="ro-RO"/>
              </w:rPr>
            </w:pPr>
          </w:p>
          <w:p w:rsidR="00D146AC" w:rsidRDefault="00D146AC" w:rsidP="00DA725A">
            <w:pPr>
              <w:contextualSpacing/>
              <w:jc w:val="both"/>
              <w:rPr>
                <w:sz w:val="18"/>
                <w:szCs w:val="18"/>
                <w:lang w:val="ro-RO"/>
              </w:rPr>
            </w:pPr>
            <w:r w:rsidRPr="00043955">
              <w:rPr>
                <w:b/>
                <w:sz w:val="18"/>
                <w:szCs w:val="18"/>
                <w:lang w:val="ro-RO"/>
              </w:rPr>
              <w:t>grup de puncte de intrare sau de ieșire</w:t>
            </w:r>
            <w:r w:rsidRPr="00043955">
              <w:rPr>
                <w:sz w:val="18"/>
                <w:szCs w:val="18"/>
                <w:lang w:val="ro-RO"/>
              </w:rPr>
              <w:t xml:space="preserve"> – grup omogen de puncte sau un grup de puncte de intrare sau de puncte de ieșire situate unul în vecinătatea celuilalt și care sunt considerate drept un singur punct de intrare sau, respectiv, un singur punct de ieșire, în scopul aplicării metodologiei de stabilire a prețurilor de referință;</w:t>
            </w:r>
          </w:p>
          <w:p w:rsidR="004E0BBE" w:rsidRDefault="004E0BBE" w:rsidP="00DA725A">
            <w:pPr>
              <w:contextualSpacing/>
              <w:jc w:val="both"/>
              <w:rPr>
                <w:sz w:val="18"/>
                <w:szCs w:val="18"/>
                <w:lang w:val="ro-RO"/>
              </w:rPr>
            </w:pPr>
          </w:p>
          <w:p w:rsidR="00F42E2D" w:rsidRPr="00043955" w:rsidRDefault="00F42E2D" w:rsidP="00DA725A">
            <w:pPr>
              <w:contextualSpacing/>
              <w:jc w:val="both"/>
              <w:rPr>
                <w:sz w:val="18"/>
                <w:szCs w:val="18"/>
                <w:lang w:val="ro-RO"/>
              </w:rPr>
            </w:pPr>
          </w:p>
          <w:p w:rsidR="00D146AC" w:rsidRDefault="00D146AC" w:rsidP="00DA725A">
            <w:pPr>
              <w:jc w:val="both"/>
              <w:rPr>
                <w:sz w:val="18"/>
                <w:szCs w:val="18"/>
                <w:lang w:val="ro-RO"/>
              </w:rPr>
            </w:pPr>
            <w:r w:rsidRPr="00043955">
              <w:rPr>
                <w:b/>
                <w:sz w:val="18"/>
                <w:szCs w:val="18"/>
                <w:lang w:val="ro-RO"/>
              </w:rPr>
              <w:t>scenariu de flux</w:t>
            </w:r>
            <w:r w:rsidRPr="00043955">
              <w:rPr>
                <w:sz w:val="18"/>
                <w:szCs w:val="18"/>
                <w:lang w:val="ro-RO"/>
              </w:rPr>
              <w:t xml:space="preserve"> –  combinație între un punct de intrare și un punct de ieșire care reflectă utilizarea sistemului de transport în conformitate cu modele probabile privind oferta și cererea și pentru care există cel puțin o rută de conducte ce permite intrarea fluxului de gaze naturale în rețeaua de transport în respectivul punct de intrare și ieșirea sa din rețeaua de transport în respectivul punct de ieșire, indiferent dacă capacitatea este sau nu contractată în respectivul punct de intrare sau în respectivul punct de ieșire;</w:t>
            </w:r>
          </w:p>
          <w:p w:rsidR="00F42E2D" w:rsidRDefault="00F42E2D" w:rsidP="00DA725A">
            <w:pPr>
              <w:jc w:val="both"/>
              <w:rPr>
                <w:sz w:val="18"/>
                <w:szCs w:val="18"/>
                <w:lang w:val="ro-RO"/>
              </w:rPr>
            </w:pPr>
          </w:p>
          <w:p w:rsidR="00F42E2D" w:rsidRPr="00043955" w:rsidRDefault="00F42E2D" w:rsidP="00DA725A">
            <w:pPr>
              <w:jc w:val="both"/>
              <w:rPr>
                <w:sz w:val="18"/>
                <w:szCs w:val="18"/>
                <w:lang w:val="ro-RO"/>
              </w:rPr>
            </w:pPr>
          </w:p>
          <w:p w:rsidR="00D146AC" w:rsidRPr="00AC425B" w:rsidRDefault="00D146AC" w:rsidP="00DA725A">
            <w:pPr>
              <w:contextualSpacing/>
              <w:jc w:val="both"/>
              <w:rPr>
                <w:sz w:val="18"/>
                <w:szCs w:val="18"/>
                <w:lang w:val="ro-RO"/>
              </w:rPr>
            </w:pPr>
            <w:r w:rsidRPr="00043955">
              <w:rPr>
                <w:b/>
                <w:sz w:val="18"/>
                <w:szCs w:val="18"/>
                <w:lang w:val="ro-RO"/>
              </w:rPr>
              <w:t>coeficient sezonier</w:t>
            </w:r>
            <w:r w:rsidRPr="00043955">
              <w:rPr>
                <w:sz w:val="18"/>
                <w:szCs w:val="18"/>
                <w:lang w:val="ro-RO"/>
              </w:rPr>
              <w:t xml:space="preserve"> – </w:t>
            </w:r>
            <w:r w:rsidRPr="00AC425B">
              <w:rPr>
                <w:sz w:val="18"/>
                <w:szCs w:val="18"/>
                <w:lang w:val="ro-RO"/>
              </w:rPr>
              <w:t>coeficient care reflectă variația cererii în cursul anului, care poate fi aplicat în combinație cu coeficientul de multiplicare relevant;</w:t>
            </w:r>
          </w:p>
          <w:p w:rsidR="00D146AC" w:rsidRPr="00AC425B" w:rsidRDefault="00D146AC" w:rsidP="00DA725A">
            <w:pPr>
              <w:jc w:val="both"/>
              <w:rPr>
                <w:sz w:val="18"/>
                <w:szCs w:val="18"/>
                <w:lang w:val="ro-RO"/>
              </w:rPr>
            </w:pPr>
            <w:r w:rsidRPr="00AC425B">
              <w:rPr>
                <w:b/>
                <w:sz w:val="18"/>
                <w:szCs w:val="18"/>
                <w:lang w:val="ro-RO"/>
              </w:rPr>
              <w:t>prețul de plătit fix</w:t>
            </w:r>
            <w:r w:rsidRPr="00AC425B">
              <w:rPr>
                <w:sz w:val="18"/>
                <w:szCs w:val="18"/>
                <w:lang w:val="ro-RO"/>
              </w:rPr>
              <w:t xml:space="preserve"> – preț calculat în conformitate cu pct. 394 subpunct 2), în cazul în care prețul de rezervă nu face obiectul niciunei ajustări;</w:t>
            </w:r>
          </w:p>
          <w:p w:rsidR="00D146AC" w:rsidRDefault="00D146AC" w:rsidP="00DA725A">
            <w:pPr>
              <w:contextualSpacing/>
              <w:jc w:val="both"/>
              <w:rPr>
                <w:sz w:val="18"/>
                <w:szCs w:val="18"/>
                <w:lang w:val="ro-RO"/>
              </w:rPr>
            </w:pPr>
            <w:r w:rsidRPr="00AC425B">
              <w:rPr>
                <w:b/>
                <w:sz w:val="18"/>
                <w:szCs w:val="18"/>
                <w:lang w:val="ro-RO"/>
              </w:rPr>
              <w:t>perioadă tarifară</w:t>
            </w:r>
            <w:r w:rsidRPr="00AC425B">
              <w:rPr>
                <w:sz w:val="18"/>
                <w:szCs w:val="18"/>
                <w:lang w:val="ro-RO"/>
              </w:rPr>
              <w:t xml:space="preserve"> – perioada în cursul căreia este aplicabil un anumit nivel al prețului de referință, cu o durată minimă de un an și cu o durată maximă egală cu durata perioadei de reglementare;</w:t>
            </w:r>
          </w:p>
          <w:p w:rsidR="00F42E2D" w:rsidRPr="00AC425B" w:rsidRDefault="00F42E2D" w:rsidP="00DA725A">
            <w:pPr>
              <w:contextualSpacing/>
              <w:jc w:val="both"/>
              <w:rPr>
                <w:sz w:val="18"/>
                <w:szCs w:val="18"/>
                <w:lang w:val="ro-RO"/>
              </w:rPr>
            </w:pPr>
          </w:p>
          <w:p w:rsidR="00D146AC" w:rsidRDefault="00D146AC" w:rsidP="00DA725A">
            <w:pPr>
              <w:jc w:val="both"/>
              <w:rPr>
                <w:sz w:val="18"/>
                <w:szCs w:val="18"/>
                <w:lang w:val="ro-RO"/>
              </w:rPr>
            </w:pPr>
            <w:r w:rsidRPr="00AC425B">
              <w:rPr>
                <w:b/>
                <w:sz w:val="18"/>
                <w:szCs w:val="18"/>
                <w:lang w:val="ro-RO"/>
              </w:rPr>
              <w:t>cont de reglementare</w:t>
            </w:r>
            <w:r w:rsidRPr="00AC425B">
              <w:rPr>
                <w:sz w:val="18"/>
                <w:szCs w:val="18"/>
                <w:lang w:val="ro-RO"/>
              </w:rPr>
              <w:t xml:space="preserve"> – contul care reunește cel puțin recuperarea parțială și recuperarea în exces a venitului aferent serviciilor de transport în cadrul unui regim de tarifare fără plafonarea prețului;</w:t>
            </w:r>
          </w:p>
          <w:p w:rsidR="00F42E2D" w:rsidRPr="00AC425B" w:rsidRDefault="00F42E2D" w:rsidP="00DA725A">
            <w:pPr>
              <w:jc w:val="both"/>
              <w:rPr>
                <w:sz w:val="18"/>
                <w:szCs w:val="18"/>
                <w:lang w:val="ro-RO"/>
              </w:rPr>
            </w:pPr>
          </w:p>
          <w:p w:rsidR="00D146AC" w:rsidRPr="00AC425B" w:rsidRDefault="00D146AC" w:rsidP="00DA725A">
            <w:pPr>
              <w:contextualSpacing/>
              <w:jc w:val="both"/>
              <w:rPr>
                <w:sz w:val="18"/>
                <w:szCs w:val="18"/>
                <w:lang w:val="ro-RO"/>
              </w:rPr>
            </w:pPr>
            <w:r w:rsidRPr="00AC425B">
              <w:rPr>
                <w:b/>
                <w:sz w:val="18"/>
                <w:szCs w:val="18"/>
                <w:lang w:val="ro-RO"/>
              </w:rPr>
              <w:t>primă de licitație</w:t>
            </w:r>
            <w:r w:rsidRPr="00AC425B">
              <w:rPr>
                <w:sz w:val="18"/>
                <w:szCs w:val="18"/>
                <w:lang w:val="ro-RO"/>
              </w:rPr>
              <w:t xml:space="preserve"> - diferența dintre prețul de închidere și prețul de rezervă în cadrul unei licitații;</w:t>
            </w:r>
          </w:p>
          <w:p w:rsidR="00D146AC" w:rsidRPr="00043955" w:rsidRDefault="00D146AC" w:rsidP="00DA725A">
            <w:pPr>
              <w:contextualSpacing/>
              <w:jc w:val="both"/>
              <w:rPr>
                <w:sz w:val="18"/>
                <w:szCs w:val="18"/>
                <w:lang w:val="ro-RO"/>
              </w:rPr>
            </w:pPr>
            <w:r w:rsidRPr="00AC425B">
              <w:rPr>
                <w:b/>
                <w:sz w:val="18"/>
                <w:szCs w:val="18"/>
                <w:lang w:val="ro-RO"/>
              </w:rPr>
              <w:t>preț de plătit variabil</w:t>
            </w:r>
            <w:r w:rsidRPr="00AC425B">
              <w:rPr>
                <w:sz w:val="18"/>
                <w:szCs w:val="18"/>
                <w:lang w:val="ro-RO"/>
              </w:rPr>
              <w:t xml:space="preserve"> – preț calculat în conformitate cu pct. 394 subpunct 1) , în cazul în care prețul de rezervă</w:t>
            </w:r>
            <w:r w:rsidRPr="00043955">
              <w:rPr>
                <w:sz w:val="18"/>
                <w:szCs w:val="18"/>
                <w:lang w:val="ro-RO"/>
              </w:rPr>
              <w:t xml:space="preserve"> face obiectul unor ajustări, precum reconcilierea veniturilor, ajustarea venitului reglementat sau ajustarea capacității contractate estimate.</w:t>
            </w:r>
          </w:p>
          <w:p w:rsidR="00D146AC" w:rsidRPr="00043955" w:rsidRDefault="00D146AC" w:rsidP="00DA725A">
            <w:pPr>
              <w:jc w:val="both"/>
              <w:rPr>
                <w:sz w:val="18"/>
                <w:szCs w:val="18"/>
                <w:lang w:val="ro-RO"/>
              </w:rPr>
            </w:pP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BB347C" w:rsidRDefault="00BB347C" w:rsidP="00DA725A">
            <w:pPr>
              <w:rPr>
                <w:sz w:val="18"/>
                <w:szCs w:val="18"/>
                <w:lang w:val="it-IT"/>
              </w:rPr>
            </w:pPr>
          </w:p>
          <w:p w:rsidR="00BB347C" w:rsidRDefault="00BB347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61BE9" w:rsidRDefault="00461BE9"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F42E2D" w:rsidRDefault="00F42E2D" w:rsidP="00DA725A">
            <w:pPr>
              <w:rPr>
                <w:sz w:val="18"/>
                <w:szCs w:val="18"/>
                <w:lang w:val="it-IT"/>
              </w:rPr>
            </w:pPr>
          </w:p>
          <w:p w:rsidR="00F42E2D" w:rsidRDefault="00F42E2D"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Default="00D146AC" w:rsidP="00DA725A">
            <w:pPr>
              <w:jc w:val="both"/>
              <w:rPr>
                <w:b/>
                <w:sz w:val="18"/>
                <w:szCs w:val="18"/>
                <w:lang w:val="it-IT"/>
              </w:rPr>
            </w:pPr>
          </w:p>
          <w:p w:rsidR="00D146AC" w:rsidRDefault="00D146AC" w:rsidP="00DA725A">
            <w:pPr>
              <w:jc w:val="both"/>
              <w:rPr>
                <w:b/>
                <w:sz w:val="18"/>
                <w:szCs w:val="18"/>
                <w:lang w:val="it-IT"/>
              </w:rPr>
            </w:pPr>
          </w:p>
          <w:p w:rsidR="004E1AA2" w:rsidRPr="00D82EE4" w:rsidRDefault="004E1AA2"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BB347C" w:rsidRPr="00D82EE4" w:rsidRDefault="00BB347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0D130F" w:rsidRDefault="000D130F" w:rsidP="00DA725A">
            <w:pPr>
              <w:rPr>
                <w:sz w:val="18"/>
                <w:szCs w:val="18"/>
                <w:lang w:val="it-IT"/>
              </w:rPr>
            </w:pPr>
          </w:p>
          <w:p w:rsidR="000D130F" w:rsidRDefault="000D130F" w:rsidP="00DA725A">
            <w:pPr>
              <w:rPr>
                <w:sz w:val="18"/>
                <w:szCs w:val="18"/>
                <w:lang w:val="it-IT"/>
              </w:rPr>
            </w:pPr>
          </w:p>
          <w:p w:rsidR="00833BF7" w:rsidRDefault="00833BF7"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61BE9" w:rsidRDefault="00461BE9" w:rsidP="00DA725A">
            <w:pPr>
              <w:jc w:val="both"/>
              <w:rPr>
                <w:b/>
                <w:sz w:val="18"/>
                <w:szCs w:val="18"/>
                <w:lang w:val="it-IT"/>
              </w:rPr>
            </w:pPr>
          </w:p>
          <w:p w:rsidR="00461BE9" w:rsidRDefault="00461BE9" w:rsidP="00DA725A">
            <w:pPr>
              <w:jc w:val="both"/>
              <w:rPr>
                <w:b/>
                <w:sz w:val="18"/>
                <w:szCs w:val="18"/>
                <w:lang w:val="it-IT"/>
              </w:rPr>
            </w:pPr>
          </w:p>
          <w:p w:rsidR="00461BE9" w:rsidRDefault="00461BE9" w:rsidP="00DA725A">
            <w:pPr>
              <w:jc w:val="both"/>
              <w:rPr>
                <w:b/>
                <w:sz w:val="18"/>
                <w:szCs w:val="18"/>
                <w:lang w:val="it-IT"/>
              </w:rPr>
            </w:pPr>
          </w:p>
          <w:p w:rsidR="00833BF7" w:rsidRDefault="00833BF7"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lastRenderedPageBreak/>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833BF7" w:rsidRPr="00D82EE4" w:rsidRDefault="00833BF7"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Pr="00D82EE4"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FA70A1" w:rsidRDefault="00FA70A1" w:rsidP="00DA725A">
            <w:pPr>
              <w:rPr>
                <w:sz w:val="18"/>
                <w:szCs w:val="18"/>
                <w:lang w:val="it-IT"/>
              </w:rPr>
            </w:pPr>
          </w:p>
          <w:p w:rsidR="00CF5C12"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Default="00D146AC" w:rsidP="00DA725A">
            <w:pPr>
              <w:rPr>
                <w:sz w:val="18"/>
                <w:szCs w:val="18"/>
                <w:lang w:val="it-IT"/>
              </w:rPr>
            </w:pPr>
          </w:p>
          <w:p w:rsidR="00CF5C12" w:rsidRDefault="00CF5C12" w:rsidP="00DA725A">
            <w:pPr>
              <w:rPr>
                <w:sz w:val="18"/>
                <w:szCs w:val="18"/>
                <w:lang w:val="it-IT"/>
              </w:rPr>
            </w:pPr>
          </w:p>
          <w:p w:rsidR="00CF5C12" w:rsidRPr="00D82EE4"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4E0BBE" w:rsidRPr="00D82EE4" w:rsidRDefault="004E0BBE"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4E0BBE" w:rsidRDefault="004E0BBE" w:rsidP="00DA725A">
            <w:pPr>
              <w:rPr>
                <w:sz w:val="18"/>
                <w:szCs w:val="18"/>
                <w:lang w:val="it-IT"/>
              </w:rPr>
            </w:pPr>
          </w:p>
          <w:p w:rsidR="00F42E2D" w:rsidRPr="00D82EE4" w:rsidRDefault="00F42E2D"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Pr="00D82EE4"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Default="00D146AC" w:rsidP="00DA725A">
            <w:pPr>
              <w:rPr>
                <w:sz w:val="18"/>
                <w:szCs w:val="18"/>
                <w:lang w:val="it-IT"/>
              </w:rPr>
            </w:pPr>
          </w:p>
          <w:p w:rsidR="00796A10" w:rsidRPr="00D82EE4" w:rsidRDefault="00796A10"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796A10" w:rsidRDefault="00796A10"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CF5C12"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CF5C12" w:rsidRDefault="00CF5C12" w:rsidP="00DA725A">
            <w:pPr>
              <w:rPr>
                <w:sz w:val="18"/>
                <w:szCs w:val="18"/>
                <w:lang w:val="it-IT"/>
              </w:rPr>
            </w:pPr>
          </w:p>
          <w:p w:rsidR="00F42E2D" w:rsidRPr="00D82EE4" w:rsidRDefault="00F42E2D" w:rsidP="00DA725A">
            <w:pPr>
              <w:rPr>
                <w:sz w:val="18"/>
                <w:szCs w:val="18"/>
                <w:lang w:val="it-IT"/>
              </w:rPr>
            </w:pPr>
          </w:p>
          <w:p w:rsidR="00D146AC" w:rsidRDefault="00D146AC" w:rsidP="00DA725A">
            <w:pPr>
              <w:rPr>
                <w:sz w:val="18"/>
                <w:szCs w:val="18"/>
              </w:rPr>
            </w:pPr>
            <w:r>
              <w:rPr>
                <w:sz w:val="18"/>
                <w:szCs w:val="18"/>
              </w:rPr>
              <w:t>Compatibil</w:t>
            </w:r>
          </w:p>
          <w:p w:rsidR="00CF5C12" w:rsidRDefault="00CF5C12" w:rsidP="00DA725A">
            <w:pPr>
              <w:rPr>
                <w:sz w:val="18"/>
                <w:szCs w:val="18"/>
              </w:rPr>
            </w:pPr>
          </w:p>
          <w:p w:rsidR="00CF5C12" w:rsidRDefault="00CF5C12" w:rsidP="00DA725A">
            <w:pPr>
              <w:rPr>
                <w:sz w:val="18"/>
                <w:szCs w:val="18"/>
              </w:rPr>
            </w:pPr>
          </w:p>
          <w:p w:rsidR="00CF5C12" w:rsidRDefault="00CF5C12" w:rsidP="00DA725A">
            <w:pPr>
              <w:rPr>
                <w:sz w:val="18"/>
                <w:szCs w:val="18"/>
              </w:rPr>
            </w:pPr>
          </w:p>
          <w:p w:rsidR="00CF5C12" w:rsidRDefault="00CF5C12" w:rsidP="00DA725A">
            <w:pPr>
              <w:rPr>
                <w:sz w:val="18"/>
                <w:szCs w:val="18"/>
              </w:rPr>
            </w:pPr>
            <w:r>
              <w:rPr>
                <w:sz w:val="18"/>
                <w:szCs w:val="18"/>
              </w:rPr>
              <w:t>Compatibil</w:t>
            </w:r>
          </w:p>
          <w:p w:rsidR="00CF5C12" w:rsidRDefault="00CF5C12" w:rsidP="00DA725A">
            <w:pPr>
              <w:rPr>
                <w:sz w:val="18"/>
                <w:szCs w:val="18"/>
              </w:rPr>
            </w:pPr>
          </w:p>
          <w:p w:rsidR="00D146AC" w:rsidRDefault="00D146AC" w:rsidP="00DA725A">
            <w:pPr>
              <w:jc w:val="both"/>
              <w:rPr>
                <w:b/>
                <w:sz w:val="18"/>
                <w:szCs w:val="18"/>
              </w:rPr>
            </w:pPr>
          </w:p>
          <w:p w:rsidR="00D146AC" w:rsidRPr="00043955" w:rsidRDefault="00D146AC" w:rsidP="00DA725A">
            <w:pPr>
              <w:rPr>
                <w:b/>
                <w:sz w:val="18"/>
                <w:szCs w:val="18"/>
              </w:rPr>
            </w:pPr>
          </w:p>
        </w:tc>
        <w:tc>
          <w:tcPr>
            <w:tcW w:w="4253" w:type="dxa"/>
          </w:tcPr>
          <w:p w:rsidR="00043B60" w:rsidRPr="00E84D74" w:rsidRDefault="00043B60" w:rsidP="00DA725A">
            <w:pPr>
              <w:autoSpaceDE w:val="0"/>
              <w:autoSpaceDN w:val="0"/>
              <w:adjustRightInd w:val="0"/>
              <w:jc w:val="center"/>
              <w:rPr>
                <w:b/>
                <w:bCs/>
                <w:i/>
                <w:iCs/>
                <w:sz w:val="18"/>
                <w:szCs w:val="18"/>
              </w:rPr>
            </w:pPr>
            <w:r w:rsidRPr="00E84D74">
              <w:rPr>
                <w:b/>
                <w:bCs/>
                <w:i/>
                <w:iCs/>
                <w:sz w:val="18"/>
                <w:szCs w:val="18"/>
              </w:rPr>
              <w:lastRenderedPageBreak/>
              <w:t>Article 3</w:t>
            </w:r>
          </w:p>
          <w:p w:rsidR="00043B60" w:rsidRPr="00E84D74" w:rsidRDefault="00043B60" w:rsidP="00DA725A">
            <w:pPr>
              <w:autoSpaceDE w:val="0"/>
              <w:autoSpaceDN w:val="0"/>
              <w:adjustRightInd w:val="0"/>
              <w:jc w:val="center"/>
              <w:rPr>
                <w:b/>
                <w:bCs/>
                <w:sz w:val="18"/>
                <w:szCs w:val="18"/>
              </w:rPr>
            </w:pPr>
            <w:r w:rsidRPr="00E84D74">
              <w:rPr>
                <w:b/>
                <w:bCs/>
                <w:sz w:val="18"/>
                <w:szCs w:val="18"/>
              </w:rPr>
              <w:t>Definitions</w:t>
            </w:r>
          </w:p>
          <w:p w:rsidR="00043B60" w:rsidRPr="00E84D74" w:rsidRDefault="00043B60" w:rsidP="00DA725A">
            <w:pPr>
              <w:autoSpaceDE w:val="0"/>
              <w:autoSpaceDN w:val="0"/>
              <w:adjustRightInd w:val="0"/>
              <w:rPr>
                <w:sz w:val="18"/>
                <w:szCs w:val="18"/>
              </w:rPr>
            </w:pPr>
            <w:r w:rsidRPr="00E84D74">
              <w:rPr>
                <w:sz w:val="18"/>
                <w:szCs w:val="18"/>
              </w:rPr>
              <w:t>For the purposes of this Regulation, the definitions in Article 2 of Regulation (EC) No 715/2009, Article</w:t>
            </w:r>
          </w:p>
          <w:p w:rsidR="00043B60" w:rsidRPr="00E84D74" w:rsidRDefault="00043B60" w:rsidP="00DA725A">
            <w:pPr>
              <w:autoSpaceDE w:val="0"/>
              <w:autoSpaceDN w:val="0"/>
              <w:adjustRightInd w:val="0"/>
              <w:rPr>
                <w:sz w:val="18"/>
                <w:szCs w:val="18"/>
              </w:rPr>
            </w:pPr>
            <w:r w:rsidRPr="00E84D74">
              <w:rPr>
                <w:sz w:val="18"/>
                <w:szCs w:val="18"/>
              </w:rPr>
              <w:t xml:space="preserve">3 of </w:t>
            </w:r>
            <w:r w:rsidRPr="00E84D74">
              <w:rPr>
                <w:b/>
                <w:bCs/>
                <w:sz w:val="18"/>
                <w:szCs w:val="18"/>
              </w:rPr>
              <w:t xml:space="preserve">Commission </w:t>
            </w:r>
            <w:r w:rsidRPr="00E84D74">
              <w:rPr>
                <w:sz w:val="18"/>
                <w:szCs w:val="18"/>
              </w:rPr>
              <w:t xml:space="preserve">Regulation (EU) 2017/459, </w:t>
            </w:r>
            <w:r w:rsidRPr="00E84D74">
              <w:rPr>
                <w:b/>
                <w:bCs/>
                <w:sz w:val="18"/>
                <w:szCs w:val="18"/>
              </w:rPr>
              <w:t xml:space="preserve">&lt;…&gt; </w:t>
            </w:r>
            <w:r w:rsidRPr="00E84D74">
              <w:rPr>
                <w:sz w:val="18"/>
                <w:szCs w:val="18"/>
              </w:rPr>
              <w:t>, Article 2 of Commission Regulation (EU) 2015/703</w:t>
            </w:r>
          </w:p>
          <w:p w:rsidR="00043B60" w:rsidRPr="00E84D74" w:rsidRDefault="00043B60" w:rsidP="00DA725A">
            <w:pPr>
              <w:autoSpaceDE w:val="0"/>
              <w:autoSpaceDN w:val="0"/>
              <w:adjustRightInd w:val="0"/>
              <w:rPr>
                <w:sz w:val="18"/>
                <w:szCs w:val="18"/>
              </w:rPr>
            </w:pPr>
            <w:r w:rsidRPr="00E84D74">
              <w:rPr>
                <w:sz w:val="18"/>
                <w:szCs w:val="18"/>
              </w:rPr>
              <w:t>as well as Article 2 of Directive 2009/73/EC shall apply. In addition, the following definitions shall apply:</w:t>
            </w: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r w:rsidRPr="00E84D74">
              <w:rPr>
                <w:sz w:val="18"/>
                <w:szCs w:val="18"/>
              </w:rPr>
              <w:t>(1) ‘</w:t>
            </w:r>
            <w:r w:rsidRPr="00E84D74">
              <w:rPr>
                <w:b/>
                <w:sz w:val="18"/>
                <w:szCs w:val="18"/>
              </w:rPr>
              <w:t>reference price’</w:t>
            </w:r>
            <w:r w:rsidRPr="00E84D74">
              <w:rPr>
                <w:sz w:val="18"/>
                <w:szCs w:val="18"/>
              </w:rPr>
              <w:t xml:space="preserve"> means the price for a capacity product for firm capacity with a duration of one year,</w:t>
            </w:r>
          </w:p>
          <w:p w:rsidR="00043B60" w:rsidRPr="00E84D74" w:rsidRDefault="00043B60" w:rsidP="00DA725A">
            <w:pPr>
              <w:autoSpaceDE w:val="0"/>
              <w:autoSpaceDN w:val="0"/>
              <w:adjustRightInd w:val="0"/>
              <w:rPr>
                <w:sz w:val="18"/>
                <w:szCs w:val="18"/>
              </w:rPr>
            </w:pPr>
            <w:r w:rsidRPr="00E84D74">
              <w:rPr>
                <w:sz w:val="18"/>
                <w:szCs w:val="18"/>
              </w:rPr>
              <w:t xml:space="preserve">which is applicable at entry and exit points and which is used to set capacity-based transmission tariffs; </w:t>
            </w: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r w:rsidRPr="00E84D74">
              <w:rPr>
                <w:sz w:val="18"/>
                <w:szCs w:val="18"/>
              </w:rPr>
              <w:t>(2) ‘</w:t>
            </w:r>
            <w:r w:rsidRPr="00E84D74">
              <w:rPr>
                <w:b/>
                <w:sz w:val="18"/>
                <w:szCs w:val="18"/>
              </w:rPr>
              <w:t>reference price methodology’</w:t>
            </w:r>
            <w:r w:rsidRPr="00E84D74">
              <w:rPr>
                <w:sz w:val="18"/>
                <w:szCs w:val="18"/>
              </w:rPr>
              <w:t xml:space="preserve"> means the methodology applied to the part of the transmission services revenue to be recovered from capacity-based transmission tariffs with the aim of deriving reference prices;</w:t>
            </w:r>
          </w:p>
          <w:p w:rsidR="00043B60" w:rsidRPr="00E84D74" w:rsidRDefault="00043B60" w:rsidP="00DA725A">
            <w:pPr>
              <w:autoSpaceDE w:val="0"/>
              <w:autoSpaceDN w:val="0"/>
              <w:adjustRightInd w:val="0"/>
              <w:rPr>
                <w:sz w:val="18"/>
                <w:szCs w:val="18"/>
              </w:rPr>
            </w:pPr>
            <w:r w:rsidRPr="00E84D74">
              <w:rPr>
                <w:sz w:val="18"/>
                <w:szCs w:val="18"/>
              </w:rPr>
              <w:lastRenderedPageBreak/>
              <w:t>(3) ‘</w:t>
            </w:r>
            <w:r w:rsidRPr="00E84D74">
              <w:rPr>
                <w:b/>
                <w:sz w:val="18"/>
                <w:szCs w:val="18"/>
              </w:rPr>
              <w:t>non-price cap regime’</w:t>
            </w:r>
            <w:r w:rsidRPr="00E84D74">
              <w:rPr>
                <w:sz w:val="18"/>
                <w:szCs w:val="18"/>
              </w:rPr>
              <w:t xml:space="preserve"> means a regulatory regime, such as the revenue cap, rate of return and cost</w:t>
            </w:r>
          </w:p>
          <w:p w:rsidR="00043B60" w:rsidRPr="00E84D74" w:rsidRDefault="00043B60" w:rsidP="00DA725A">
            <w:pPr>
              <w:autoSpaceDE w:val="0"/>
              <w:autoSpaceDN w:val="0"/>
              <w:adjustRightInd w:val="0"/>
              <w:rPr>
                <w:sz w:val="18"/>
                <w:szCs w:val="18"/>
              </w:rPr>
            </w:pPr>
            <w:r w:rsidRPr="00E84D74">
              <w:rPr>
                <w:sz w:val="18"/>
                <w:szCs w:val="18"/>
              </w:rPr>
              <w:t>plus regime, under which the allowed revenue for the transmission system operator is set in accordance</w:t>
            </w:r>
          </w:p>
          <w:p w:rsidR="00043B60" w:rsidRPr="00E84D74" w:rsidRDefault="00043B60" w:rsidP="00DA725A">
            <w:pPr>
              <w:autoSpaceDE w:val="0"/>
              <w:autoSpaceDN w:val="0"/>
              <w:adjustRightInd w:val="0"/>
              <w:rPr>
                <w:sz w:val="18"/>
                <w:szCs w:val="18"/>
              </w:rPr>
            </w:pPr>
            <w:r w:rsidRPr="00E84D74">
              <w:rPr>
                <w:sz w:val="18"/>
                <w:szCs w:val="18"/>
              </w:rPr>
              <w:t>with Article 41(6)(a) of Directive 2009/73/EC;</w:t>
            </w: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r w:rsidRPr="00E84D74">
              <w:rPr>
                <w:sz w:val="18"/>
                <w:szCs w:val="18"/>
              </w:rPr>
              <w:t>(4) ‘</w:t>
            </w:r>
            <w:r w:rsidRPr="00E84D74">
              <w:rPr>
                <w:b/>
                <w:sz w:val="18"/>
                <w:szCs w:val="18"/>
              </w:rPr>
              <w:t>non-transmission services revenue’</w:t>
            </w:r>
            <w:r w:rsidRPr="00E84D74">
              <w:rPr>
                <w:sz w:val="18"/>
                <w:szCs w:val="18"/>
              </w:rPr>
              <w:t xml:space="preserve"> means the part of the allowed or target revenue which is recovered</w:t>
            </w:r>
          </w:p>
          <w:p w:rsidR="00D146AC" w:rsidRPr="00E84D74" w:rsidRDefault="00043B60" w:rsidP="00DA725A">
            <w:pPr>
              <w:jc w:val="both"/>
              <w:rPr>
                <w:sz w:val="18"/>
                <w:szCs w:val="18"/>
              </w:rPr>
            </w:pPr>
            <w:r w:rsidRPr="00E84D74">
              <w:rPr>
                <w:sz w:val="18"/>
                <w:szCs w:val="18"/>
              </w:rPr>
              <w:t>by non-transmission tariffs;</w:t>
            </w:r>
          </w:p>
          <w:p w:rsidR="0084298F" w:rsidRPr="00E84D74" w:rsidRDefault="0084298F" w:rsidP="00DA725A">
            <w:pPr>
              <w:autoSpaceDE w:val="0"/>
              <w:autoSpaceDN w:val="0"/>
              <w:adjustRightInd w:val="0"/>
              <w:rPr>
                <w:sz w:val="18"/>
                <w:szCs w:val="18"/>
              </w:rPr>
            </w:pPr>
            <w:r w:rsidRPr="00E84D74">
              <w:rPr>
                <w:sz w:val="18"/>
                <w:szCs w:val="18"/>
              </w:rPr>
              <w:t>(5) ‘</w:t>
            </w:r>
            <w:r w:rsidRPr="00E84D74">
              <w:rPr>
                <w:b/>
                <w:sz w:val="18"/>
                <w:szCs w:val="18"/>
              </w:rPr>
              <w:t>regulatory period’</w:t>
            </w:r>
            <w:r w:rsidRPr="00E84D74">
              <w:rPr>
                <w:sz w:val="18"/>
                <w:szCs w:val="18"/>
              </w:rPr>
              <w:t xml:space="preserve"> means the time period for which the general rules for the allowed or target revenue</w:t>
            </w:r>
            <w:r w:rsidR="00461BE9">
              <w:rPr>
                <w:sz w:val="18"/>
                <w:szCs w:val="18"/>
              </w:rPr>
              <w:t xml:space="preserve"> </w:t>
            </w:r>
            <w:r w:rsidRPr="00E84D74">
              <w:rPr>
                <w:sz w:val="18"/>
                <w:szCs w:val="18"/>
              </w:rPr>
              <w:t>are set in accordance with Article 41(6)(a) of Directive 2009/73/EC;</w:t>
            </w:r>
          </w:p>
          <w:p w:rsidR="0084298F" w:rsidRPr="00E84D74" w:rsidRDefault="0084298F" w:rsidP="00DA725A">
            <w:pPr>
              <w:autoSpaceDE w:val="0"/>
              <w:autoSpaceDN w:val="0"/>
              <w:adjustRightInd w:val="0"/>
              <w:rPr>
                <w:sz w:val="18"/>
                <w:szCs w:val="18"/>
              </w:rPr>
            </w:pPr>
            <w:r w:rsidRPr="00E84D74">
              <w:rPr>
                <w:sz w:val="18"/>
                <w:szCs w:val="18"/>
              </w:rPr>
              <w:t xml:space="preserve">(6) </w:t>
            </w:r>
            <w:r w:rsidRPr="00E84D74">
              <w:rPr>
                <w:b/>
                <w:sz w:val="18"/>
                <w:szCs w:val="18"/>
              </w:rPr>
              <w:t>‘transmission services revenue’</w:t>
            </w:r>
            <w:r w:rsidRPr="00E84D74">
              <w:rPr>
                <w:sz w:val="18"/>
                <w:szCs w:val="18"/>
              </w:rPr>
              <w:t xml:space="preserve"> means the part of the allowed or target revenue which is recovered</w:t>
            </w:r>
          </w:p>
          <w:p w:rsidR="0084298F" w:rsidRPr="00E84D74" w:rsidRDefault="0084298F" w:rsidP="00DA725A">
            <w:pPr>
              <w:autoSpaceDE w:val="0"/>
              <w:autoSpaceDN w:val="0"/>
              <w:adjustRightInd w:val="0"/>
              <w:rPr>
                <w:sz w:val="18"/>
                <w:szCs w:val="18"/>
              </w:rPr>
            </w:pPr>
            <w:r w:rsidRPr="00E84D74">
              <w:rPr>
                <w:sz w:val="18"/>
                <w:szCs w:val="18"/>
              </w:rPr>
              <w:t>by transmission tariffs;</w:t>
            </w:r>
          </w:p>
          <w:p w:rsidR="00953051" w:rsidRPr="00E84D74" w:rsidRDefault="00953051"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(7) ‘</w:t>
            </w:r>
            <w:r w:rsidRPr="00E84D74">
              <w:rPr>
                <w:b/>
                <w:sz w:val="18"/>
                <w:szCs w:val="18"/>
              </w:rPr>
              <w:t>transmission tariffs’</w:t>
            </w:r>
            <w:r w:rsidRPr="00E84D74">
              <w:rPr>
                <w:sz w:val="18"/>
                <w:szCs w:val="18"/>
              </w:rPr>
              <w:t xml:space="preserve"> means the charges payable by network users for transmission services provided</w:t>
            </w:r>
          </w:p>
          <w:p w:rsidR="0084298F" w:rsidRPr="00E84D74" w:rsidRDefault="0084298F" w:rsidP="00DA725A">
            <w:pPr>
              <w:autoSpaceDE w:val="0"/>
              <w:autoSpaceDN w:val="0"/>
              <w:adjustRightInd w:val="0"/>
              <w:rPr>
                <w:sz w:val="18"/>
                <w:szCs w:val="18"/>
              </w:rPr>
            </w:pPr>
            <w:r w:rsidRPr="00E84D74">
              <w:rPr>
                <w:sz w:val="18"/>
                <w:szCs w:val="18"/>
              </w:rPr>
              <w:t>to them;</w:t>
            </w:r>
          </w:p>
          <w:p w:rsidR="0084298F" w:rsidRPr="00E84D74" w:rsidRDefault="0084298F" w:rsidP="00DA725A">
            <w:pPr>
              <w:autoSpaceDE w:val="0"/>
              <w:autoSpaceDN w:val="0"/>
              <w:adjustRightInd w:val="0"/>
              <w:rPr>
                <w:sz w:val="18"/>
                <w:szCs w:val="18"/>
              </w:rPr>
            </w:pPr>
            <w:r w:rsidRPr="00E84D74">
              <w:rPr>
                <w:sz w:val="18"/>
                <w:szCs w:val="18"/>
              </w:rPr>
              <w:t>(8) ‘</w:t>
            </w:r>
            <w:r w:rsidRPr="00E84D74">
              <w:rPr>
                <w:b/>
                <w:sz w:val="18"/>
                <w:szCs w:val="18"/>
              </w:rPr>
              <w:t>intra-system network use’</w:t>
            </w:r>
            <w:r w:rsidRPr="00E84D74">
              <w:rPr>
                <w:sz w:val="18"/>
                <w:szCs w:val="18"/>
              </w:rPr>
              <w:t xml:space="preserve"> means transporting gas within an entry-exit system to customers connected</w:t>
            </w:r>
          </w:p>
          <w:p w:rsidR="0084298F" w:rsidRPr="00E84D74" w:rsidRDefault="0084298F" w:rsidP="00DA725A">
            <w:pPr>
              <w:autoSpaceDE w:val="0"/>
              <w:autoSpaceDN w:val="0"/>
              <w:adjustRightInd w:val="0"/>
              <w:rPr>
                <w:sz w:val="18"/>
                <w:szCs w:val="18"/>
              </w:rPr>
            </w:pPr>
            <w:r w:rsidRPr="00E84D74">
              <w:rPr>
                <w:sz w:val="18"/>
                <w:szCs w:val="18"/>
              </w:rPr>
              <w:t>to that same entry-exit system;</w:t>
            </w:r>
          </w:p>
          <w:p w:rsidR="0084298F" w:rsidRPr="00E84D74" w:rsidRDefault="0084298F" w:rsidP="00DA725A">
            <w:pPr>
              <w:autoSpaceDE w:val="0"/>
              <w:autoSpaceDN w:val="0"/>
              <w:adjustRightInd w:val="0"/>
              <w:rPr>
                <w:sz w:val="18"/>
                <w:szCs w:val="18"/>
              </w:rPr>
            </w:pPr>
            <w:r w:rsidRPr="00E84D74">
              <w:rPr>
                <w:sz w:val="18"/>
                <w:szCs w:val="18"/>
              </w:rPr>
              <w:t xml:space="preserve">(9) </w:t>
            </w:r>
            <w:r w:rsidRPr="00E84D74">
              <w:rPr>
                <w:b/>
                <w:sz w:val="18"/>
                <w:szCs w:val="18"/>
              </w:rPr>
              <w:t>‘cross-system network use’</w:t>
            </w:r>
            <w:r w:rsidRPr="00E84D74">
              <w:rPr>
                <w:sz w:val="18"/>
                <w:szCs w:val="18"/>
              </w:rPr>
              <w:t xml:space="preserve"> means transporting gas within an entry-exit system to customers connected</w:t>
            </w:r>
          </w:p>
          <w:p w:rsidR="00833BF7" w:rsidRDefault="0084298F" w:rsidP="00833BF7">
            <w:pPr>
              <w:autoSpaceDE w:val="0"/>
              <w:autoSpaceDN w:val="0"/>
              <w:adjustRightInd w:val="0"/>
              <w:rPr>
                <w:sz w:val="18"/>
                <w:szCs w:val="18"/>
              </w:rPr>
            </w:pPr>
            <w:r w:rsidRPr="00E84D74">
              <w:rPr>
                <w:sz w:val="18"/>
                <w:szCs w:val="18"/>
              </w:rPr>
              <w:t>to another entry-exit system;</w:t>
            </w:r>
          </w:p>
          <w:p w:rsidR="0084298F" w:rsidRPr="00E84D74" w:rsidRDefault="0084298F" w:rsidP="00833BF7">
            <w:pPr>
              <w:autoSpaceDE w:val="0"/>
              <w:autoSpaceDN w:val="0"/>
              <w:adjustRightInd w:val="0"/>
              <w:jc w:val="both"/>
              <w:rPr>
                <w:sz w:val="18"/>
                <w:szCs w:val="18"/>
              </w:rPr>
            </w:pPr>
            <w:r w:rsidRPr="00E84D74">
              <w:rPr>
                <w:sz w:val="18"/>
                <w:szCs w:val="18"/>
              </w:rPr>
              <w:t>(10) ‘</w:t>
            </w:r>
            <w:r w:rsidRPr="00E84D74">
              <w:rPr>
                <w:b/>
                <w:sz w:val="18"/>
                <w:szCs w:val="18"/>
              </w:rPr>
              <w:t>homogeneous group of points’</w:t>
            </w:r>
            <w:r w:rsidRPr="00E84D74">
              <w:rPr>
                <w:sz w:val="18"/>
                <w:szCs w:val="18"/>
              </w:rPr>
              <w:t xml:space="preserve"> means a group of one of the following types of points: entry interconnection</w:t>
            </w:r>
          </w:p>
          <w:p w:rsidR="0084298F" w:rsidRPr="00E84D74" w:rsidRDefault="0084298F" w:rsidP="00833BF7">
            <w:pPr>
              <w:autoSpaceDE w:val="0"/>
              <w:autoSpaceDN w:val="0"/>
              <w:adjustRightInd w:val="0"/>
              <w:jc w:val="both"/>
              <w:rPr>
                <w:sz w:val="18"/>
                <w:szCs w:val="18"/>
              </w:rPr>
            </w:pPr>
            <w:r w:rsidRPr="00E84D74">
              <w:rPr>
                <w:sz w:val="18"/>
                <w:szCs w:val="18"/>
              </w:rPr>
              <w:t>points, exit interconnection points, domestic entry points, domestic exit points, entry points</w:t>
            </w:r>
            <w:r w:rsidR="00770753" w:rsidRPr="00E84D74">
              <w:rPr>
                <w:sz w:val="18"/>
                <w:szCs w:val="18"/>
              </w:rPr>
              <w:t xml:space="preserve"> </w:t>
            </w:r>
            <w:r w:rsidRPr="00E84D74">
              <w:rPr>
                <w:sz w:val="18"/>
                <w:szCs w:val="18"/>
              </w:rPr>
              <w:t>from storage facilities, exit points to storage facilities, entry points from liquefied natural gas facilities</w:t>
            </w:r>
            <w:r w:rsidR="00770753" w:rsidRPr="00E84D74">
              <w:rPr>
                <w:sz w:val="18"/>
                <w:szCs w:val="18"/>
              </w:rPr>
              <w:t xml:space="preserve"> </w:t>
            </w:r>
            <w:r w:rsidRPr="00E84D74">
              <w:rPr>
                <w:sz w:val="18"/>
                <w:szCs w:val="18"/>
              </w:rPr>
              <w:t>(hereinafter, referred to as ‘LNG facilities’), exit points to LNG facilities and entry points from production</w:t>
            </w:r>
            <w:r w:rsidR="00770753" w:rsidRPr="00E84D74">
              <w:rPr>
                <w:sz w:val="18"/>
                <w:szCs w:val="18"/>
              </w:rPr>
              <w:t xml:space="preserve"> </w:t>
            </w:r>
            <w:r w:rsidRPr="00E84D74">
              <w:rPr>
                <w:sz w:val="18"/>
                <w:szCs w:val="18"/>
              </w:rPr>
              <w:t>facilities;</w:t>
            </w:r>
          </w:p>
          <w:p w:rsidR="0084298F" w:rsidRPr="00E84D74" w:rsidRDefault="0084298F" w:rsidP="00833BF7">
            <w:pPr>
              <w:autoSpaceDE w:val="0"/>
              <w:autoSpaceDN w:val="0"/>
              <w:adjustRightInd w:val="0"/>
              <w:jc w:val="both"/>
              <w:rPr>
                <w:sz w:val="18"/>
                <w:szCs w:val="18"/>
              </w:rPr>
            </w:pPr>
            <w:r w:rsidRPr="00E84D74">
              <w:rPr>
                <w:sz w:val="18"/>
                <w:szCs w:val="18"/>
              </w:rPr>
              <w:t>(11) ‘</w:t>
            </w:r>
            <w:r w:rsidRPr="00E84D74">
              <w:rPr>
                <w:b/>
                <w:sz w:val="18"/>
                <w:szCs w:val="18"/>
              </w:rPr>
              <w:t>allowed revenue’</w:t>
            </w:r>
            <w:r w:rsidRPr="00E84D74">
              <w:rPr>
                <w:sz w:val="18"/>
                <w:szCs w:val="18"/>
              </w:rPr>
              <w:t xml:space="preserve"> means the sum of transmission services revenue and non-transmission services</w:t>
            </w:r>
            <w:r w:rsidR="00770753" w:rsidRPr="00E84D74">
              <w:rPr>
                <w:sz w:val="18"/>
                <w:szCs w:val="18"/>
              </w:rPr>
              <w:t xml:space="preserve"> </w:t>
            </w:r>
            <w:r w:rsidRPr="00E84D74">
              <w:rPr>
                <w:sz w:val="18"/>
                <w:szCs w:val="18"/>
              </w:rPr>
              <w:t>revenue for the provision of services by the transmission system operator for a specific time period within</w:t>
            </w:r>
            <w:r w:rsidR="00770753" w:rsidRPr="00E84D74">
              <w:rPr>
                <w:sz w:val="18"/>
                <w:szCs w:val="18"/>
              </w:rPr>
              <w:t xml:space="preserve"> </w:t>
            </w:r>
            <w:r w:rsidRPr="00E84D74">
              <w:rPr>
                <w:sz w:val="18"/>
                <w:szCs w:val="18"/>
              </w:rPr>
              <w:t>a given regulatory period which such transmission system operator is entitled to obtain under a non-price</w:t>
            </w:r>
            <w:r w:rsidR="00770753" w:rsidRPr="00E84D74">
              <w:rPr>
                <w:sz w:val="18"/>
                <w:szCs w:val="18"/>
              </w:rPr>
              <w:t xml:space="preserve"> </w:t>
            </w:r>
            <w:r w:rsidRPr="00E84D74">
              <w:rPr>
                <w:sz w:val="18"/>
                <w:szCs w:val="18"/>
              </w:rPr>
              <w:t>cap regime and which is set in accordance with Article 41(6)(a) of Directive 2009/73/EC;</w:t>
            </w:r>
          </w:p>
          <w:p w:rsidR="0084298F" w:rsidRPr="00E84D74" w:rsidRDefault="0084298F" w:rsidP="00DA725A">
            <w:pPr>
              <w:autoSpaceDE w:val="0"/>
              <w:autoSpaceDN w:val="0"/>
              <w:adjustRightInd w:val="0"/>
              <w:rPr>
                <w:sz w:val="18"/>
                <w:szCs w:val="18"/>
              </w:rPr>
            </w:pPr>
            <w:r w:rsidRPr="00E84D74">
              <w:rPr>
                <w:sz w:val="18"/>
                <w:szCs w:val="18"/>
              </w:rPr>
              <w:t>(12) ‘</w:t>
            </w:r>
            <w:r w:rsidRPr="00E84D74">
              <w:rPr>
                <w:b/>
                <w:sz w:val="18"/>
                <w:szCs w:val="18"/>
              </w:rPr>
              <w:t>transmission services’</w:t>
            </w:r>
            <w:r w:rsidRPr="00E84D74">
              <w:rPr>
                <w:sz w:val="18"/>
                <w:szCs w:val="18"/>
              </w:rPr>
              <w:t xml:space="preserve"> means the regulated services that are provided by the transmission system</w:t>
            </w:r>
            <w:r w:rsidR="00770753" w:rsidRPr="00E84D74">
              <w:rPr>
                <w:sz w:val="18"/>
                <w:szCs w:val="18"/>
              </w:rPr>
              <w:t xml:space="preserve"> </w:t>
            </w:r>
            <w:r w:rsidRPr="00E84D74">
              <w:rPr>
                <w:sz w:val="18"/>
                <w:szCs w:val="18"/>
              </w:rPr>
              <w:t>operator within the entry-exit system for the purpose of transmission;</w:t>
            </w:r>
          </w:p>
          <w:p w:rsidR="0084298F" w:rsidRPr="00E84D74" w:rsidRDefault="0084298F" w:rsidP="00DA725A">
            <w:pPr>
              <w:autoSpaceDE w:val="0"/>
              <w:autoSpaceDN w:val="0"/>
              <w:adjustRightInd w:val="0"/>
              <w:rPr>
                <w:sz w:val="18"/>
                <w:szCs w:val="18"/>
              </w:rPr>
            </w:pPr>
            <w:r w:rsidRPr="00E84D74">
              <w:rPr>
                <w:sz w:val="18"/>
                <w:szCs w:val="18"/>
              </w:rPr>
              <w:lastRenderedPageBreak/>
              <w:t>(13) ‘</w:t>
            </w:r>
            <w:r w:rsidRPr="00E84D74">
              <w:rPr>
                <w:b/>
                <w:sz w:val="18"/>
                <w:szCs w:val="18"/>
              </w:rPr>
              <w:t>non-transmission tariffs’</w:t>
            </w:r>
            <w:r w:rsidRPr="00E84D74">
              <w:rPr>
                <w:sz w:val="18"/>
                <w:szCs w:val="18"/>
              </w:rPr>
              <w:t xml:space="preserve"> means the charges payable by network users for non-transmission services</w:t>
            </w:r>
            <w:r w:rsidR="00770753" w:rsidRPr="00E84D74">
              <w:rPr>
                <w:sz w:val="18"/>
                <w:szCs w:val="18"/>
              </w:rPr>
              <w:t xml:space="preserve"> </w:t>
            </w:r>
            <w:r w:rsidRPr="00E84D74">
              <w:rPr>
                <w:sz w:val="18"/>
                <w:szCs w:val="18"/>
              </w:rPr>
              <w:t>provided to them;</w:t>
            </w:r>
          </w:p>
          <w:p w:rsidR="0084298F" w:rsidRPr="00E84D74" w:rsidRDefault="0084298F" w:rsidP="00DA725A">
            <w:pPr>
              <w:autoSpaceDE w:val="0"/>
              <w:autoSpaceDN w:val="0"/>
              <w:adjustRightInd w:val="0"/>
              <w:rPr>
                <w:sz w:val="18"/>
                <w:szCs w:val="18"/>
              </w:rPr>
            </w:pPr>
            <w:r w:rsidRPr="00E84D74">
              <w:rPr>
                <w:sz w:val="18"/>
                <w:szCs w:val="18"/>
              </w:rPr>
              <w:t>(14) ‘</w:t>
            </w:r>
            <w:r w:rsidRPr="00E84D74">
              <w:rPr>
                <w:b/>
                <w:sz w:val="18"/>
                <w:szCs w:val="18"/>
              </w:rPr>
              <w:t>target revenue’</w:t>
            </w:r>
            <w:r w:rsidRPr="00E84D74">
              <w:rPr>
                <w:sz w:val="18"/>
                <w:szCs w:val="18"/>
              </w:rPr>
              <w:t xml:space="preserve"> means the sum of expected transmission services revenue calculated in accordance</w:t>
            </w:r>
          </w:p>
          <w:p w:rsidR="0084298F" w:rsidRPr="00E84D74" w:rsidRDefault="0084298F" w:rsidP="00DA725A">
            <w:pPr>
              <w:autoSpaceDE w:val="0"/>
              <w:autoSpaceDN w:val="0"/>
              <w:adjustRightInd w:val="0"/>
              <w:rPr>
                <w:sz w:val="18"/>
                <w:szCs w:val="18"/>
              </w:rPr>
            </w:pPr>
            <w:r w:rsidRPr="00E84D74">
              <w:rPr>
                <w:sz w:val="18"/>
                <w:szCs w:val="18"/>
              </w:rPr>
              <w:t>with the principles set out in Article 13(1) of Regulation (EC) No 715/2009 and expected non-transmission</w:t>
            </w:r>
            <w:r w:rsidR="009262D6">
              <w:rPr>
                <w:sz w:val="18"/>
                <w:szCs w:val="18"/>
              </w:rPr>
              <w:t xml:space="preserve"> </w:t>
            </w:r>
            <w:r w:rsidRPr="00E84D74">
              <w:rPr>
                <w:sz w:val="18"/>
                <w:szCs w:val="18"/>
              </w:rPr>
              <w:t>services revenue for the provision of services by the transmission system operator for a specific time</w:t>
            </w:r>
            <w:r w:rsidR="009262D6">
              <w:rPr>
                <w:sz w:val="18"/>
                <w:szCs w:val="18"/>
              </w:rPr>
              <w:t xml:space="preserve"> </w:t>
            </w:r>
            <w:r w:rsidRPr="00E84D74">
              <w:rPr>
                <w:sz w:val="18"/>
                <w:szCs w:val="18"/>
              </w:rPr>
              <w:t>period within a given regulatory period under a price cap regime;</w:t>
            </w:r>
          </w:p>
          <w:p w:rsidR="00F80A03" w:rsidRPr="00E84D74" w:rsidRDefault="00F80A03"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(15) ‘</w:t>
            </w:r>
            <w:r w:rsidRPr="00E84D74">
              <w:rPr>
                <w:b/>
                <w:sz w:val="18"/>
                <w:szCs w:val="18"/>
              </w:rPr>
              <w:t>non-transmission services</w:t>
            </w:r>
            <w:r w:rsidRPr="00E84D74">
              <w:rPr>
                <w:sz w:val="18"/>
                <w:szCs w:val="18"/>
              </w:rPr>
              <w:t>’ means the regulated services other than transmission services and other</w:t>
            </w:r>
          </w:p>
          <w:p w:rsidR="0084298F" w:rsidRPr="00E84D74" w:rsidRDefault="0084298F" w:rsidP="00DA725A">
            <w:pPr>
              <w:autoSpaceDE w:val="0"/>
              <w:autoSpaceDN w:val="0"/>
              <w:adjustRightInd w:val="0"/>
              <w:rPr>
                <w:sz w:val="18"/>
                <w:szCs w:val="18"/>
              </w:rPr>
            </w:pPr>
            <w:r w:rsidRPr="00E84D74">
              <w:rPr>
                <w:sz w:val="18"/>
                <w:szCs w:val="18"/>
              </w:rPr>
              <w:t xml:space="preserve">than services </w:t>
            </w:r>
            <w:r w:rsidRPr="00E84D74">
              <w:rPr>
                <w:b/>
                <w:bCs/>
                <w:sz w:val="18"/>
                <w:szCs w:val="18"/>
              </w:rPr>
              <w:t xml:space="preserve">related to the balancing of the transmission network </w:t>
            </w:r>
            <w:r w:rsidRPr="00E84D74">
              <w:rPr>
                <w:sz w:val="18"/>
                <w:szCs w:val="18"/>
              </w:rPr>
              <w:t>that are provided by the</w:t>
            </w:r>
            <w:r w:rsidR="00770753" w:rsidRPr="00E84D74">
              <w:rPr>
                <w:sz w:val="18"/>
                <w:szCs w:val="18"/>
              </w:rPr>
              <w:t xml:space="preserve"> </w:t>
            </w:r>
            <w:r w:rsidRPr="00E84D74">
              <w:rPr>
                <w:sz w:val="18"/>
                <w:szCs w:val="18"/>
              </w:rPr>
              <w:t>transmission system operator;</w:t>
            </w:r>
          </w:p>
          <w:p w:rsidR="0084298F" w:rsidRPr="00E84D74" w:rsidRDefault="0084298F" w:rsidP="00DA725A">
            <w:pPr>
              <w:autoSpaceDE w:val="0"/>
              <w:autoSpaceDN w:val="0"/>
              <w:adjustRightInd w:val="0"/>
              <w:rPr>
                <w:sz w:val="18"/>
                <w:szCs w:val="18"/>
              </w:rPr>
            </w:pPr>
            <w:r w:rsidRPr="00E84D74">
              <w:rPr>
                <w:sz w:val="18"/>
                <w:szCs w:val="18"/>
              </w:rPr>
              <w:t>(16) ‘</w:t>
            </w:r>
            <w:r w:rsidRPr="00E84D74">
              <w:rPr>
                <w:b/>
                <w:sz w:val="18"/>
                <w:szCs w:val="18"/>
              </w:rPr>
              <w:t>multiplier</w:t>
            </w:r>
            <w:r w:rsidRPr="00E84D74">
              <w:rPr>
                <w:sz w:val="18"/>
                <w:szCs w:val="18"/>
              </w:rPr>
              <w:t>’ means the factor applied to the respective proportion of the reference price in order to</w:t>
            </w:r>
          </w:p>
          <w:p w:rsidR="0084298F" w:rsidRPr="00E84D74" w:rsidRDefault="0084298F" w:rsidP="00DA725A">
            <w:pPr>
              <w:autoSpaceDE w:val="0"/>
              <w:autoSpaceDN w:val="0"/>
              <w:adjustRightInd w:val="0"/>
              <w:rPr>
                <w:sz w:val="18"/>
                <w:szCs w:val="18"/>
              </w:rPr>
            </w:pPr>
            <w:r w:rsidRPr="00E84D74">
              <w:rPr>
                <w:sz w:val="18"/>
                <w:szCs w:val="18"/>
              </w:rPr>
              <w:t>calculate the reserve price for a non-yearly standard capacity product;</w:t>
            </w:r>
          </w:p>
          <w:p w:rsidR="0084298F" w:rsidRPr="00E84D74" w:rsidRDefault="0084298F" w:rsidP="00DA725A">
            <w:pPr>
              <w:autoSpaceDE w:val="0"/>
              <w:autoSpaceDN w:val="0"/>
              <w:adjustRightInd w:val="0"/>
              <w:rPr>
                <w:sz w:val="18"/>
                <w:szCs w:val="18"/>
              </w:rPr>
            </w:pPr>
            <w:r w:rsidRPr="00E84D74">
              <w:rPr>
                <w:sz w:val="18"/>
                <w:szCs w:val="18"/>
              </w:rPr>
              <w:t>(17) ‘</w:t>
            </w:r>
            <w:r w:rsidRPr="00E84D74">
              <w:rPr>
                <w:b/>
                <w:sz w:val="18"/>
                <w:szCs w:val="18"/>
              </w:rPr>
              <w:t>price cap regime’</w:t>
            </w:r>
            <w:r w:rsidRPr="00E84D74">
              <w:rPr>
                <w:sz w:val="18"/>
                <w:szCs w:val="18"/>
              </w:rPr>
              <w:t xml:space="preserve"> means a regulatory regime under which a maximum transmission tariff based on</w:t>
            </w:r>
            <w:r w:rsidR="00770753" w:rsidRPr="00E84D74">
              <w:rPr>
                <w:sz w:val="18"/>
                <w:szCs w:val="18"/>
              </w:rPr>
              <w:t xml:space="preserve"> </w:t>
            </w:r>
            <w:r w:rsidRPr="00E84D74">
              <w:rPr>
                <w:sz w:val="18"/>
                <w:szCs w:val="18"/>
              </w:rPr>
              <w:t>the target revenue is set in accordance with Article 41(6)(a) of Directive 2009/73/EC;</w:t>
            </w:r>
          </w:p>
          <w:p w:rsidR="00F80A03" w:rsidRPr="00E84D74" w:rsidRDefault="00F80A03"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 xml:space="preserve">(18) </w:t>
            </w:r>
            <w:r w:rsidRPr="00E84D74">
              <w:rPr>
                <w:b/>
                <w:sz w:val="18"/>
                <w:szCs w:val="18"/>
              </w:rPr>
              <w:t>‘cost driver’</w:t>
            </w:r>
            <w:r w:rsidRPr="00E84D74">
              <w:rPr>
                <w:sz w:val="18"/>
                <w:szCs w:val="18"/>
              </w:rPr>
              <w:t xml:space="preserve"> means a key determinant of the transmission system operator’s activity which is correlated</w:t>
            </w:r>
          </w:p>
          <w:p w:rsidR="0084298F" w:rsidRPr="00E84D74" w:rsidRDefault="0084298F" w:rsidP="00DA725A">
            <w:pPr>
              <w:autoSpaceDE w:val="0"/>
              <w:autoSpaceDN w:val="0"/>
              <w:adjustRightInd w:val="0"/>
              <w:rPr>
                <w:sz w:val="18"/>
                <w:szCs w:val="18"/>
              </w:rPr>
            </w:pPr>
            <w:r w:rsidRPr="00E84D74">
              <w:rPr>
                <w:sz w:val="18"/>
                <w:szCs w:val="18"/>
              </w:rPr>
              <w:t>to the costs of that transmission system operator, such as distance or technical capacity;</w:t>
            </w:r>
          </w:p>
          <w:p w:rsidR="0084298F" w:rsidRPr="00E84D74" w:rsidRDefault="0084298F" w:rsidP="00DA725A">
            <w:pPr>
              <w:autoSpaceDE w:val="0"/>
              <w:autoSpaceDN w:val="0"/>
              <w:adjustRightInd w:val="0"/>
              <w:rPr>
                <w:sz w:val="18"/>
                <w:szCs w:val="18"/>
              </w:rPr>
            </w:pPr>
            <w:r w:rsidRPr="00E84D74">
              <w:rPr>
                <w:sz w:val="18"/>
                <w:szCs w:val="18"/>
              </w:rPr>
              <w:t>(19) ‘</w:t>
            </w:r>
            <w:r w:rsidRPr="00E84D74">
              <w:rPr>
                <w:b/>
                <w:sz w:val="18"/>
                <w:szCs w:val="18"/>
              </w:rPr>
              <w:t>cluster of entry or exit points’</w:t>
            </w:r>
            <w:r w:rsidRPr="00E84D74">
              <w:rPr>
                <w:sz w:val="18"/>
                <w:szCs w:val="18"/>
              </w:rPr>
              <w:t xml:space="preserve"> means a homogeneous group of points or group of entry points or of</w:t>
            </w:r>
          </w:p>
          <w:p w:rsidR="0084298F" w:rsidRPr="00E84D74" w:rsidRDefault="0084298F" w:rsidP="00DA725A">
            <w:pPr>
              <w:autoSpaceDE w:val="0"/>
              <w:autoSpaceDN w:val="0"/>
              <w:adjustRightInd w:val="0"/>
              <w:rPr>
                <w:sz w:val="18"/>
                <w:szCs w:val="18"/>
              </w:rPr>
            </w:pPr>
            <w:r w:rsidRPr="00E84D74">
              <w:rPr>
                <w:sz w:val="18"/>
                <w:szCs w:val="18"/>
              </w:rPr>
              <w:t>exit points located within the vicinity of each other and which are considered as, respectively, one entry</w:t>
            </w:r>
          </w:p>
          <w:p w:rsidR="0084298F" w:rsidRPr="00E84D74" w:rsidRDefault="0084298F" w:rsidP="00DA725A">
            <w:pPr>
              <w:autoSpaceDE w:val="0"/>
              <w:autoSpaceDN w:val="0"/>
              <w:adjustRightInd w:val="0"/>
              <w:rPr>
                <w:sz w:val="18"/>
                <w:szCs w:val="18"/>
              </w:rPr>
            </w:pPr>
            <w:r w:rsidRPr="00E84D74">
              <w:rPr>
                <w:sz w:val="18"/>
                <w:szCs w:val="18"/>
              </w:rPr>
              <w:t>point or one exit point for the application of the reference price methodology;</w:t>
            </w:r>
          </w:p>
          <w:p w:rsidR="0084298F" w:rsidRPr="00E84D74" w:rsidRDefault="0084298F" w:rsidP="00DA725A">
            <w:pPr>
              <w:autoSpaceDE w:val="0"/>
              <w:autoSpaceDN w:val="0"/>
              <w:adjustRightInd w:val="0"/>
              <w:rPr>
                <w:sz w:val="18"/>
                <w:szCs w:val="18"/>
              </w:rPr>
            </w:pPr>
            <w:r w:rsidRPr="00E84D74">
              <w:rPr>
                <w:sz w:val="18"/>
                <w:szCs w:val="18"/>
              </w:rPr>
              <w:t xml:space="preserve">(20) </w:t>
            </w:r>
            <w:r w:rsidRPr="00E84D74">
              <w:rPr>
                <w:b/>
                <w:sz w:val="18"/>
                <w:szCs w:val="18"/>
              </w:rPr>
              <w:t>‘flow scenario’</w:t>
            </w:r>
            <w:r w:rsidRPr="00E84D74">
              <w:rPr>
                <w:sz w:val="18"/>
                <w:szCs w:val="18"/>
              </w:rPr>
              <w:t xml:space="preserve"> means a combination of an entry point and an exit point which reflects the use of the transmission system according to likely supply and demand patterns and for which there is at least</w:t>
            </w:r>
            <w:r w:rsidR="00F80A03" w:rsidRPr="00E84D74">
              <w:rPr>
                <w:sz w:val="18"/>
                <w:szCs w:val="18"/>
              </w:rPr>
              <w:t xml:space="preserve"> </w:t>
            </w:r>
            <w:r w:rsidRPr="00E84D74">
              <w:rPr>
                <w:sz w:val="18"/>
                <w:szCs w:val="18"/>
              </w:rPr>
              <w:t>one pipeline route allowing to flow gas into the transmission network at that entry point and out of the</w:t>
            </w:r>
            <w:r w:rsidR="00F80A03" w:rsidRPr="00E84D74">
              <w:rPr>
                <w:sz w:val="18"/>
                <w:szCs w:val="18"/>
              </w:rPr>
              <w:t xml:space="preserve"> </w:t>
            </w:r>
            <w:r w:rsidRPr="00E84D74">
              <w:rPr>
                <w:sz w:val="18"/>
                <w:szCs w:val="18"/>
              </w:rPr>
              <w:t>transmission network at that exit point, irrespective of whether the capacity is contracted at that entry</w:t>
            </w:r>
            <w:r w:rsidR="00F80A03" w:rsidRPr="00E84D74">
              <w:rPr>
                <w:sz w:val="18"/>
                <w:szCs w:val="18"/>
              </w:rPr>
              <w:t xml:space="preserve"> </w:t>
            </w:r>
            <w:r w:rsidRPr="00E84D74">
              <w:rPr>
                <w:sz w:val="18"/>
                <w:szCs w:val="18"/>
              </w:rPr>
              <w:t>point and that exit point;</w:t>
            </w:r>
          </w:p>
          <w:p w:rsidR="0084298F" w:rsidRPr="00E84D74" w:rsidRDefault="0084298F" w:rsidP="00DA725A">
            <w:pPr>
              <w:autoSpaceDE w:val="0"/>
              <w:autoSpaceDN w:val="0"/>
              <w:adjustRightInd w:val="0"/>
              <w:rPr>
                <w:sz w:val="18"/>
                <w:szCs w:val="18"/>
              </w:rPr>
            </w:pPr>
            <w:r w:rsidRPr="00E84D74">
              <w:rPr>
                <w:sz w:val="18"/>
                <w:szCs w:val="18"/>
              </w:rPr>
              <w:lastRenderedPageBreak/>
              <w:t>(21) ‘</w:t>
            </w:r>
            <w:r w:rsidRPr="00E84D74">
              <w:rPr>
                <w:b/>
                <w:sz w:val="18"/>
                <w:szCs w:val="18"/>
              </w:rPr>
              <w:t>seasonal factor’</w:t>
            </w:r>
            <w:r w:rsidRPr="00E84D74">
              <w:rPr>
                <w:sz w:val="18"/>
                <w:szCs w:val="18"/>
              </w:rPr>
              <w:t xml:space="preserve"> means the factor reflecting the variation of demand within the year which may be</w:t>
            </w:r>
          </w:p>
          <w:p w:rsidR="0084298F" w:rsidRPr="00E84D74" w:rsidRDefault="0084298F" w:rsidP="00DA725A">
            <w:pPr>
              <w:autoSpaceDE w:val="0"/>
              <w:autoSpaceDN w:val="0"/>
              <w:adjustRightInd w:val="0"/>
              <w:rPr>
                <w:sz w:val="18"/>
                <w:szCs w:val="18"/>
              </w:rPr>
            </w:pPr>
            <w:r w:rsidRPr="00E84D74">
              <w:rPr>
                <w:sz w:val="18"/>
                <w:szCs w:val="18"/>
              </w:rPr>
              <w:t>applied in combination with the relevant multiplier;</w:t>
            </w:r>
          </w:p>
          <w:p w:rsidR="0084298F" w:rsidRDefault="0084298F" w:rsidP="00DA725A">
            <w:pPr>
              <w:autoSpaceDE w:val="0"/>
              <w:autoSpaceDN w:val="0"/>
              <w:adjustRightInd w:val="0"/>
              <w:rPr>
                <w:sz w:val="18"/>
                <w:szCs w:val="18"/>
              </w:rPr>
            </w:pPr>
            <w:r w:rsidRPr="00E84D74">
              <w:rPr>
                <w:sz w:val="18"/>
                <w:szCs w:val="18"/>
              </w:rPr>
              <w:t>(22) ‘</w:t>
            </w:r>
            <w:r w:rsidRPr="00E84D74">
              <w:rPr>
                <w:b/>
                <w:sz w:val="18"/>
                <w:szCs w:val="18"/>
              </w:rPr>
              <w:t>fixed payable price’</w:t>
            </w:r>
            <w:r w:rsidRPr="00E84D74">
              <w:rPr>
                <w:sz w:val="18"/>
                <w:szCs w:val="18"/>
              </w:rPr>
              <w:t xml:space="preserve"> means a price calculated in accordance with Article 24(b) where the reserve</w:t>
            </w:r>
            <w:r w:rsidR="00F80A03" w:rsidRPr="00E84D74">
              <w:rPr>
                <w:sz w:val="18"/>
                <w:szCs w:val="18"/>
              </w:rPr>
              <w:t xml:space="preserve"> </w:t>
            </w:r>
            <w:r w:rsidRPr="00E84D74">
              <w:rPr>
                <w:sz w:val="18"/>
                <w:szCs w:val="18"/>
              </w:rPr>
              <w:t>price is not subject to any adjustments;</w:t>
            </w:r>
          </w:p>
          <w:p w:rsidR="0084298F" w:rsidRPr="00E84D74" w:rsidRDefault="0084298F" w:rsidP="00DA725A">
            <w:pPr>
              <w:autoSpaceDE w:val="0"/>
              <w:autoSpaceDN w:val="0"/>
              <w:adjustRightInd w:val="0"/>
              <w:rPr>
                <w:sz w:val="18"/>
                <w:szCs w:val="18"/>
              </w:rPr>
            </w:pPr>
            <w:r w:rsidRPr="00E84D74">
              <w:rPr>
                <w:sz w:val="18"/>
                <w:szCs w:val="18"/>
              </w:rPr>
              <w:t xml:space="preserve">(23) </w:t>
            </w:r>
            <w:r w:rsidRPr="00E84D74">
              <w:rPr>
                <w:b/>
                <w:sz w:val="18"/>
                <w:szCs w:val="18"/>
              </w:rPr>
              <w:t>‘tariff period’</w:t>
            </w:r>
            <w:r w:rsidRPr="00E84D74">
              <w:rPr>
                <w:sz w:val="18"/>
                <w:szCs w:val="18"/>
              </w:rPr>
              <w:t xml:space="preserve"> means the time period during which a particular level of reference price is applicable,</w:t>
            </w:r>
            <w:r w:rsidR="00F80A03" w:rsidRPr="00E84D74">
              <w:rPr>
                <w:sz w:val="18"/>
                <w:szCs w:val="18"/>
              </w:rPr>
              <w:t xml:space="preserve"> </w:t>
            </w:r>
            <w:r w:rsidRPr="00E84D74">
              <w:rPr>
                <w:sz w:val="18"/>
                <w:szCs w:val="18"/>
              </w:rPr>
              <w:t>which minimum duration is one year and maximum duration is the duration of the regulatory period;</w:t>
            </w:r>
          </w:p>
          <w:p w:rsidR="0084298F" w:rsidRPr="00E84D74" w:rsidRDefault="0084298F" w:rsidP="00DA725A">
            <w:pPr>
              <w:autoSpaceDE w:val="0"/>
              <w:autoSpaceDN w:val="0"/>
              <w:adjustRightInd w:val="0"/>
              <w:rPr>
                <w:sz w:val="18"/>
                <w:szCs w:val="18"/>
              </w:rPr>
            </w:pPr>
            <w:r w:rsidRPr="00E84D74">
              <w:rPr>
                <w:sz w:val="18"/>
                <w:szCs w:val="18"/>
              </w:rPr>
              <w:t>(24)</w:t>
            </w:r>
            <w:r w:rsidRPr="00E84D74">
              <w:rPr>
                <w:b/>
                <w:sz w:val="18"/>
                <w:szCs w:val="18"/>
              </w:rPr>
              <w:t xml:space="preserve"> ‘regulatory account’</w:t>
            </w:r>
            <w:r w:rsidRPr="00E84D74">
              <w:rPr>
                <w:sz w:val="18"/>
                <w:szCs w:val="18"/>
              </w:rPr>
              <w:t xml:space="preserve"> means the account aggregating at least under- and over-recovery of the transmission</w:t>
            </w:r>
            <w:r w:rsidR="00F80A03" w:rsidRPr="00E84D74">
              <w:rPr>
                <w:sz w:val="18"/>
                <w:szCs w:val="18"/>
              </w:rPr>
              <w:t xml:space="preserve"> </w:t>
            </w:r>
            <w:r w:rsidRPr="00E84D74">
              <w:rPr>
                <w:sz w:val="18"/>
                <w:szCs w:val="18"/>
              </w:rPr>
              <w:t>services revenue under a non-price cap regime;</w:t>
            </w:r>
          </w:p>
          <w:p w:rsidR="0084298F" w:rsidRPr="00E84D74" w:rsidRDefault="0084298F" w:rsidP="00DA725A">
            <w:pPr>
              <w:autoSpaceDE w:val="0"/>
              <w:autoSpaceDN w:val="0"/>
              <w:adjustRightInd w:val="0"/>
              <w:rPr>
                <w:sz w:val="18"/>
                <w:szCs w:val="18"/>
              </w:rPr>
            </w:pPr>
            <w:r w:rsidRPr="00E84D74">
              <w:rPr>
                <w:sz w:val="18"/>
                <w:szCs w:val="18"/>
              </w:rPr>
              <w:t xml:space="preserve">(25) </w:t>
            </w:r>
            <w:r w:rsidRPr="00E84D74">
              <w:rPr>
                <w:b/>
                <w:sz w:val="18"/>
                <w:szCs w:val="18"/>
              </w:rPr>
              <w:t>‘auction premium’</w:t>
            </w:r>
            <w:r w:rsidRPr="00E84D74">
              <w:rPr>
                <w:sz w:val="18"/>
                <w:szCs w:val="18"/>
              </w:rPr>
              <w:t xml:space="preserve"> means the difference between the clearing price and the reserve price in an</w:t>
            </w:r>
            <w:r w:rsidR="00F80A03" w:rsidRPr="00E84D74">
              <w:rPr>
                <w:sz w:val="18"/>
                <w:szCs w:val="18"/>
              </w:rPr>
              <w:t xml:space="preserve"> </w:t>
            </w:r>
            <w:r w:rsidRPr="00E84D74">
              <w:rPr>
                <w:sz w:val="18"/>
                <w:szCs w:val="18"/>
              </w:rPr>
              <w:t>auction;</w:t>
            </w:r>
          </w:p>
          <w:p w:rsidR="0084298F" w:rsidRPr="00E84D74" w:rsidRDefault="0084298F" w:rsidP="00DA725A">
            <w:pPr>
              <w:autoSpaceDE w:val="0"/>
              <w:autoSpaceDN w:val="0"/>
              <w:adjustRightInd w:val="0"/>
              <w:rPr>
                <w:sz w:val="18"/>
                <w:szCs w:val="18"/>
              </w:rPr>
            </w:pPr>
            <w:r w:rsidRPr="00E84D74">
              <w:rPr>
                <w:sz w:val="18"/>
                <w:szCs w:val="18"/>
              </w:rPr>
              <w:t xml:space="preserve">(26) </w:t>
            </w:r>
            <w:r w:rsidRPr="00E84D74">
              <w:rPr>
                <w:b/>
                <w:sz w:val="18"/>
                <w:szCs w:val="18"/>
              </w:rPr>
              <w:t>‘floating payable price’</w:t>
            </w:r>
            <w:r w:rsidRPr="00E84D74">
              <w:rPr>
                <w:sz w:val="18"/>
                <w:szCs w:val="18"/>
              </w:rPr>
              <w:t xml:space="preserve"> means a price calculated in accordance with Article 24(a) where the reserve</w:t>
            </w:r>
          </w:p>
          <w:p w:rsidR="0084298F" w:rsidRPr="00E84D74" w:rsidRDefault="0084298F" w:rsidP="00DA725A">
            <w:pPr>
              <w:autoSpaceDE w:val="0"/>
              <w:autoSpaceDN w:val="0"/>
              <w:adjustRightInd w:val="0"/>
              <w:rPr>
                <w:sz w:val="18"/>
                <w:szCs w:val="18"/>
              </w:rPr>
            </w:pPr>
            <w:r w:rsidRPr="00E84D74">
              <w:rPr>
                <w:sz w:val="18"/>
                <w:szCs w:val="18"/>
              </w:rPr>
              <w:t>price is subject to adjustments such as revenue reconciliation, adjustment of the allowed revenue or</w:t>
            </w:r>
          </w:p>
          <w:p w:rsidR="0084298F" w:rsidRPr="00E84D74" w:rsidRDefault="0084298F" w:rsidP="00DA725A">
            <w:pPr>
              <w:jc w:val="both"/>
              <w:rPr>
                <w:b/>
                <w:sz w:val="18"/>
                <w:szCs w:val="18"/>
              </w:rPr>
            </w:pPr>
            <w:r w:rsidRPr="00E84D74">
              <w:rPr>
                <w:sz w:val="18"/>
                <w:szCs w:val="18"/>
              </w:rPr>
              <w:t>adjustment of the forecasted contracted capacity</w:t>
            </w:r>
            <w:r w:rsidRPr="00E84D74">
              <w:rPr>
                <w:rFonts w:ascii="FrutigerNextPro-Light" w:hAnsi="FrutigerNextPro-Light" w:cs="FrutigerNextPro-Light"/>
                <w:sz w:val="18"/>
                <w:szCs w:val="18"/>
              </w:rPr>
              <w:t>.</w:t>
            </w:r>
          </w:p>
        </w:tc>
      </w:tr>
      <w:tr w:rsidR="003C7F18" w:rsidRPr="00C27D66" w:rsidTr="00FC3840">
        <w:trPr>
          <w:trHeight w:val="1240"/>
        </w:trPr>
        <w:tc>
          <w:tcPr>
            <w:tcW w:w="5245" w:type="dxa"/>
          </w:tcPr>
          <w:p w:rsidR="003C7F18" w:rsidRPr="00380C00" w:rsidRDefault="003C7F18" w:rsidP="00DA725A">
            <w:pPr>
              <w:rPr>
                <w:i/>
                <w:iCs/>
                <w:sz w:val="18"/>
                <w:szCs w:val="18"/>
              </w:rPr>
            </w:pPr>
          </w:p>
        </w:tc>
        <w:tc>
          <w:tcPr>
            <w:tcW w:w="4962" w:type="dxa"/>
          </w:tcPr>
          <w:p w:rsidR="007C0239" w:rsidRPr="00380C00" w:rsidRDefault="007C0239" w:rsidP="007C0239">
            <w:pPr>
              <w:jc w:val="center"/>
              <w:rPr>
                <w:b/>
                <w:sz w:val="18"/>
                <w:szCs w:val="18"/>
                <w:lang w:val="it-IT"/>
              </w:rPr>
            </w:pPr>
            <w:r w:rsidRPr="00380C00">
              <w:rPr>
                <w:b/>
                <w:bCs/>
                <w:sz w:val="18"/>
                <w:szCs w:val="18"/>
                <w:lang w:val="it-IT"/>
              </w:rPr>
              <w:t>Secţiunea 2</w:t>
            </w:r>
          </w:p>
          <w:p w:rsidR="007C0239" w:rsidRPr="00043955" w:rsidRDefault="007C0239" w:rsidP="007C0239">
            <w:pPr>
              <w:jc w:val="center"/>
              <w:rPr>
                <w:b/>
                <w:sz w:val="18"/>
                <w:szCs w:val="18"/>
                <w:lang w:val="ro-RO"/>
              </w:rPr>
            </w:pPr>
            <w:r w:rsidRPr="00043955">
              <w:rPr>
                <w:b/>
                <w:sz w:val="18"/>
                <w:szCs w:val="18"/>
                <w:lang w:val="ro-RO"/>
              </w:rPr>
              <w:t>Servicii de transport și  altele decît cele de transport și tarifele pentru acestea</w:t>
            </w:r>
          </w:p>
          <w:p w:rsidR="007C0239" w:rsidRPr="00043955" w:rsidRDefault="007C0239" w:rsidP="007C0239">
            <w:pPr>
              <w:jc w:val="both"/>
              <w:rPr>
                <w:b/>
                <w:sz w:val="18"/>
                <w:szCs w:val="18"/>
                <w:lang w:val="ro-RO"/>
              </w:rPr>
            </w:pPr>
          </w:p>
          <w:p w:rsidR="007C0239" w:rsidRPr="00380C00" w:rsidRDefault="007C0239" w:rsidP="007C0239">
            <w:pPr>
              <w:tabs>
                <w:tab w:val="left" w:pos="567"/>
                <w:tab w:val="left" w:pos="851"/>
              </w:tabs>
              <w:jc w:val="both"/>
              <w:outlineLvl w:val="0"/>
              <w:rPr>
                <w:sz w:val="18"/>
                <w:szCs w:val="18"/>
                <w:lang w:val="it-IT"/>
              </w:rPr>
            </w:pPr>
            <w:r w:rsidRPr="00380C00">
              <w:rPr>
                <w:b/>
                <w:bCs/>
                <w:sz w:val="18"/>
                <w:szCs w:val="18"/>
                <w:lang w:val="it-IT"/>
              </w:rPr>
              <w:t>318.</w:t>
            </w:r>
            <w:r w:rsidRPr="00380C00">
              <w:rPr>
                <w:sz w:val="18"/>
                <w:szCs w:val="18"/>
                <w:lang w:val="it-IT"/>
              </w:rPr>
              <w:t xml:space="preserve"> Prezentul Titlu stabileşte normele privind structurile tarifare armonizate pentru transportul gazelor naturale, inclusiv norme privind aplicarea metodei de calculare a preţurilor de referinţă, cerinţele conexe în materie de consultare şi de publicare, precum şi norme privind calcularea preţurilor de rezervă pentru PCS.</w:t>
            </w:r>
          </w:p>
          <w:p w:rsidR="003C7F18" w:rsidRPr="00043955" w:rsidRDefault="007C0239" w:rsidP="007C0239">
            <w:pPr>
              <w:tabs>
                <w:tab w:val="left" w:pos="567"/>
                <w:tab w:val="left" w:pos="851"/>
              </w:tabs>
              <w:jc w:val="both"/>
              <w:outlineLvl w:val="0"/>
              <w:rPr>
                <w:sz w:val="18"/>
                <w:szCs w:val="18"/>
                <w:lang w:val="ro-RO"/>
              </w:rPr>
            </w:pPr>
            <w:r w:rsidRPr="00380C00">
              <w:rPr>
                <w:b/>
                <w:bCs/>
                <w:sz w:val="18"/>
                <w:szCs w:val="18"/>
                <w:lang w:val="it-IT"/>
              </w:rPr>
              <w:t>319.</w:t>
            </w:r>
            <w:r w:rsidRPr="00380C00">
              <w:rPr>
                <w:sz w:val="18"/>
                <w:szCs w:val="18"/>
                <w:lang w:val="it-IT"/>
              </w:rPr>
              <w:t xml:space="preserve"> Prezentul Titlu se aplică tuturor punctelor de intrare şi tuturor punctelor de ieşire ale reţelelor de transport al gazelor naturale, cu excepţia Capitolelor III, V şi VI, pct.403-406, 413, 414 şi a capitolului IX din prezentul Titlu, care se aplică numai punctelor de interconectare. Capitolele III, V şi VI, pct.403-406 şi Capitolul IX din prezentul Titlu se aplică punctelor de intrare spre ţările terţe sau punctelor de ieşire către ţările terţe sau ambelor tipuri de puncte, în cazul în care Agenţia ia decizia de a aplica la punctele respective, Titlul IV din prezentul Cod. </w:t>
            </w:r>
          </w:p>
        </w:tc>
        <w:tc>
          <w:tcPr>
            <w:tcW w:w="1275" w:type="dxa"/>
          </w:tcPr>
          <w:p w:rsidR="003C7F18" w:rsidRPr="00D82EE4" w:rsidRDefault="003C7F18" w:rsidP="00DA725A">
            <w:pPr>
              <w:jc w:val="both"/>
              <w:rPr>
                <w:b/>
                <w:sz w:val="18"/>
                <w:szCs w:val="18"/>
                <w:lang w:val="ro-RO"/>
              </w:rPr>
            </w:pPr>
          </w:p>
        </w:tc>
        <w:tc>
          <w:tcPr>
            <w:tcW w:w="4253" w:type="dxa"/>
          </w:tcPr>
          <w:p w:rsidR="003C7F18" w:rsidRPr="00380C00" w:rsidRDefault="003C7F18" w:rsidP="00DA725A">
            <w:pPr>
              <w:autoSpaceDE w:val="0"/>
              <w:autoSpaceDN w:val="0"/>
              <w:adjustRightInd w:val="0"/>
              <w:jc w:val="center"/>
              <w:rPr>
                <w:b/>
                <w:bCs/>
                <w:i/>
                <w:iCs/>
                <w:sz w:val="18"/>
                <w:szCs w:val="18"/>
                <w:lang w:val="it-IT"/>
              </w:rPr>
            </w:pPr>
          </w:p>
        </w:tc>
      </w:tr>
      <w:tr w:rsidR="00D146AC" w:rsidRPr="00B3313F" w:rsidTr="00FC3840">
        <w:trPr>
          <w:trHeight w:val="416"/>
        </w:trPr>
        <w:tc>
          <w:tcPr>
            <w:tcW w:w="5245" w:type="dxa"/>
          </w:tcPr>
          <w:p w:rsidR="00D146AC" w:rsidRPr="00D82EE4" w:rsidRDefault="00D146AC" w:rsidP="00FF264D">
            <w:pPr>
              <w:shd w:val="clear" w:color="auto" w:fill="FFFFFF"/>
              <w:jc w:val="center"/>
              <w:rPr>
                <w:i/>
                <w:iCs/>
                <w:sz w:val="18"/>
                <w:szCs w:val="18"/>
                <w:lang w:val="it-IT"/>
              </w:rPr>
            </w:pPr>
            <w:r w:rsidRPr="00D82EE4">
              <w:rPr>
                <w:i/>
                <w:iCs/>
                <w:sz w:val="18"/>
                <w:szCs w:val="18"/>
                <w:lang w:val="it-IT"/>
              </w:rPr>
              <w:t>Articolul 4</w:t>
            </w:r>
          </w:p>
          <w:p w:rsidR="00D146AC" w:rsidRPr="00D82EE4" w:rsidRDefault="00D146AC" w:rsidP="00FF264D">
            <w:pPr>
              <w:shd w:val="clear" w:color="auto" w:fill="FFFFFF"/>
              <w:jc w:val="center"/>
              <w:rPr>
                <w:b/>
                <w:bCs/>
                <w:sz w:val="18"/>
                <w:szCs w:val="18"/>
                <w:lang w:val="it-IT"/>
              </w:rPr>
            </w:pPr>
            <w:r w:rsidRPr="00D82EE4">
              <w:rPr>
                <w:b/>
                <w:bCs/>
                <w:sz w:val="18"/>
                <w:szCs w:val="18"/>
                <w:lang w:val="it-IT"/>
              </w:rPr>
              <w:t>Servicii și tarife de transport și alte servicii și tarife decât cele de transport</w:t>
            </w:r>
          </w:p>
          <w:p w:rsidR="00D146AC" w:rsidRPr="00D82EE4" w:rsidRDefault="00D146AC" w:rsidP="00DA725A">
            <w:pPr>
              <w:shd w:val="clear" w:color="auto" w:fill="FFFFFF"/>
              <w:jc w:val="both"/>
              <w:rPr>
                <w:sz w:val="18"/>
                <w:szCs w:val="18"/>
                <w:lang w:val="it-IT"/>
              </w:rPr>
            </w:pPr>
            <w:r w:rsidRPr="00D82EE4">
              <w:rPr>
                <w:sz w:val="18"/>
                <w:szCs w:val="18"/>
                <w:lang w:val="it-IT"/>
              </w:rPr>
              <w:t>(1)   Un anumit serviciu este considerat un serviciu de transport dacă sunt îndeplinite ambele criterii de mai jos: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CF1EB5">
              <w:tc>
                <w:tcPr>
                  <w:tcW w:w="200" w:type="dxa"/>
                  <w:shd w:val="clear" w:color="auto" w:fill="FFFFFF"/>
                  <w:hideMark/>
                </w:tcPr>
                <w:p w:rsidR="00D146AC" w:rsidRPr="00043955" w:rsidRDefault="00D146AC" w:rsidP="00DA725A">
                  <w:pPr>
                    <w:jc w:val="both"/>
                    <w:rPr>
                      <w:sz w:val="18"/>
                      <w:szCs w:val="18"/>
                    </w:rPr>
                  </w:pPr>
                  <w:r w:rsidRPr="00043955">
                    <w:rPr>
                      <w:sz w:val="18"/>
                      <w:szCs w:val="18"/>
                    </w:rPr>
                    <w:lastRenderedPageBreak/>
                    <w:t>(a)</w:t>
                  </w:r>
                </w:p>
              </w:tc>
              <w:tc>
                <w:tcPr>
                  <w:tcW w:w="9155" w:type="dxa"/>
                  <w:shd w:val="clear" w:color="auto" w:fill="FFFFFF"/>
                  <w:hideMark/>
                </w:tcPr>
                <w:p w:rsidR="00D146AC" w:rsidRPr="00043955" w:rsidRDefault="00D146AC" w:rsidP="00DA725A">
                  <w:pPr>
                    <w:jc w:val="both"/>
                    <w:rPr>
                      <w:sz w:val="18"/>
                      <w:szCs w:val="18"/>
                      <w:lang w:val="en-GB"/>
                    </w:rPr>
                  </w:pPr>
                  <w:r w:rsidRPr="00043955">
                    <w:rPr>
                      <w:sz w:val="18"/>
                      <w:szCs w:val="18"/>
                      <w:lang w:val="en-GB"/>
                    </w:rPr>
                    <w:t>costurile aferente serviciului respectiv sunt influențate de următorii factori de cost: capacitatea contractată tehnică sau estimată și distanța;</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43955" w:rsidTr="00CF1EB5">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Pr="00043955" w:rsidRDefault="00D146AC" w:rsidP="00DA725A">
                  <w:pPr>
                    <w:jc w:val="both"/>
                    <w:rPr>
                      <w:sz w:val="18"/>
                      <w:szCs w:val="18"/>
                      <w:lang w:val="en-GB"/>
                    </w:rPr>
                  </w:pPr>
                  <w:r w:rsidRPr="00043955">
                    <w:rPr>
                      <w:sz w:val="18"/>
                      <w:szCs w:val="18"/>
                      <w:lang w:val="en-GB"/>
                    </w:rPr>
                    <w:t>costurile serviciului respectiv sunt legate de investițiile în infrastructura care face parte din baza reglementată a activelor pentru furnizarea de servicii de transport, precum și de funcționarea acestei infrastructuri.</w:t>
                  </w:r>
                </w:p>
              </w:tc>
            </w:tr>
          </w:tbl>
          <w:p w:rsidR="00D146AC" w:rsidRDefault="00D146AC" w:rsidP="00DA725A">
            <w:pPr>
              <w:shd w:val="clear" w:color="auto" w:fill="FFFFFF"/>
              <w:jc w:val="both"/>
              <w:rPr>
                <w:sz w:val="18"/>
                <w:szCs w:val="18"/>
                <w:lang w:val="it-IT"/>
              </w:rPr>
            </w:pPr>
            <w:r w:rsidRPr="00D82EE4">
              <w:rPr>
                <w:sz w:val="18"/>
                <w:szCs w:val="18"/>
                <w:lang w:val="it-IT"/>
              </w:rPr>
              <w:t>Dacă oricare dintre criteriile stabilite la literele (a) și (b) nu este îndeplinit, un serviciu dat poate fi considerat fie un serviciu de transport, fie un alt serviciu decât de transport, în funcție de constatările consultării periodice efectuate de către operatorul sau operatorii de transport și de sistem sau de către autoritatea națională de reglementare și în funcție de decizia autorității naționale de reglementare, după cum se prevede la articolele 26 și 27.</w:t>
            </w:r>
          </w:p>
          <w:p w:rsidR="00B06A7D" w:rsidRDefault="00B06A7D" w:rsidP="00DA725A">
            <w:pPr>
              <w:shd w:val="clear" w:color="auto" w:fill="FFFFFF"/>
              <w:jc w:val="both"/>
              <w:rPr>
                <w:sz w:val="18"/>
                <w:szCs w:val="18"/>
                <w:lang w:val="it-IT"/>
              </w:rPr>
            </w:pPr>
          </w:p>
          <w:p w:rsidR="00B06A7D" w:rsidRPr="00D82EE4" w:rsidRDefault="00B06A7D" w:rsidP="00DA725A">
            <w:pPr>
              <w:shd w:val="clear" w:color="auto" w:fill="FFFFFF"/>
              <w:jc w:val="both"/>
              <w:rPr>
                <w:sz w:val="18"/>
                <w:szCs w:val="18"/>
                <w:lang w:val="it-IT"/>
              </w:rPr>
            </w:pPr>
          </w:p>
          <w:p w:rsidR="00D146AC" w:rsidRPr="00B06A7D" w:rsidRDefault="00D146AC" w:rsidP="00B06A7D">
            <w:pPr>
              <w:shd w:val="clear" w:color="auto" w:fill="FFFFFF"/>
              <w:jc w:val="both"/>
              <w:rPr>
                <w:sz w:val="18"/>
                <w:szCs w:val="18"/>
                <w:lang w:val="it-IT"/>
              </w:rPr>
            </w:pPr>
            <w:r w:rsidRPr="00B06A7D">
              <w:rPr>
                <w:sz w:val="18"/>
                <w:szCs w:val="18"/>
                <w:lang w:val="it-IT"/>
              </w:rPr>
              <w:t>Tarifele de transport pot fi stabilite astfel încât să țină seama de condițiile privind produsele de capacitate fermă.</w:t>
            </w:r>
          </w:p>
          <w:p w:rsidR="00B06A7D" w:rsidRPr="00B06A7D" w:rsidRDefault="00B06A7D" w:rsidP="00B06A7D">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(3)   Venitul aferent serviciilor de transport se recuperează prin tarife de transport bazate pe capacitate.</w:t>
            </w:r>
          </w:p>
          <w:p w:rsidR="00D146AC" w:rsidRPr="00D82EE4" w:rsidRDefault="00D146AC" w:rsidP="00DA725A">
            <w:pPr>
              <w:shd w:val="clear" w:color="auto" w:fill="FFFFFF"/>
              <w:jc w:val="both"/>
              <w:rPr>
                <w:sz w:val="18"/>
                <w:szCs w:val="18"/>
                <w:lang w:val="it-IT"/>
              </w:rPr>
            </w:pPr>
            <w:r w:rsidRPr="00D82EE4">
              <w:rPr>
                <w:sz w:val="18"/>
                <w:szCs w:val="18"/>
                <w:lang w:val="it-IT"/>
              </w:rPr>
              <w:t>În mod excepțional, sub rezerva aprobării din partea autorității naționale de reglementare, o parte din venitul aferent serviciilor de transport poate fi recuperată numai prin următoarele tarife de transport volumetrice, care sunt stabilite separat unele de altele: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CF1EB5">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043955" w:rsidRDefault="00D146AC" w:rsidP="00DA725A">
                  <w:pPr>
                    <w:jc w:val="both"/>
                    <w:rPr>
                      <w:sz w:val="18"/>
                      <w:szCs w:val="18"/>
                      <w:lang w:val="en-GB"/>
                    </w:rPr>
                  </w:pPr>
                  <w:r w:rsidRPr="00043955">
                    <w:rPr>
                      <w:sz w:val="18"/>
                      <w:szCs w:val="18"/>
                      <w:lang w:val="en-GB"/>
                    </w:rPr>
                    <w:t>o taxă bazată pe flux, care trebuie să respecte toate criteriile expuse în continuare:</w:t>
                  </w: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C27D66" w:rsidTr="00CF1EB5">
                    <w:tc>
                      <w:tcPr>
                        <w:tcW w:w="22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076"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percepută în vederea acoperirii costurilor generate în principal de cantitatea fluxului de gaze;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43955" w:rsidTr="00CF1EB5">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043955" w:rsidRDefault="00D146AC" w:rsidP="00DA725A">
                        <w:pPr>
                          <w:jc w:val="both"/>
                          <w:rPr>
                            <w:sz w:val="18"/>
                            <w:szCs w:val="18"/>
                            <w:lang w:val="en-GB"/>
                          </w:rPr>
                        </w:pPr>
                        <w:r w:rsidRPr="00043955">
                          <w:rPr>
                            <w:sz w:val="18"/>
                            <w:szCs w:val="18"/>
                            <w:lang w:val="en-GB"/>
                          </w:rPr>
                          <w:t>este calculată pe baza fluxurilor previzionate sau istorice ori pe baza ambelor tipuri de fluxuri și este stabilită în așa fel încât să fie aceeași la toate punctele de intrare și aceeași la toate punctele de ieșire;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63"/>
                    <w:gridCol w:w="4625"/>
                  </w:tblGrid>
                  <w:tr w:rsidR="00D146AC" w:rsidRPr="00C27D66" w:rsidTr="00CF1EB5">
                    <w:tc>
                      <w:tcPr>
                        <w:tcW w:w="662"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8634"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exprimată în termeni monetari sau în natură;</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043955" w:rsidTr="00CF1EB5">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o taxă complementară pentru recuperarea veniturilor, care trebuie să respecte toate criteriile expuse în continuare:</w:t>
                  </w:r>
                </w:p>
                <w:tbl>
                  <w:tblPr>
                    <w:tblW w:w="5000" w:type="pct"/>
                    <w:tblLayout w:type="fixed"/>
                    <w:tblCellMar>
                      <w:left w:w="0" w:type="dxa"/>
                      <w:right w:w="0" w:type="dxa"/>
                    </w:tblCellMar>
                    <w:tblLook w:val="04A0" w:firstRow="1" w:lastRow="0" w:firstColumn="1" w:lastColumn="0" w:noHBand="0" w:noVBand="1"/>
                  </w:tblPr>
                  <w:tblGrid>
                    <w:gridCol w:w="150"/>
                    <w:gridCol w:w="4837"/>
                  </w:tblGrid>
                  <w:tr w:rsidR="00D146AC" w:rsidRPr="00C27D66" w:rsidTr="00CF1EB5">
                    <w:tc>
                      <w:tcPr>
                        <w:tcW w:w="263" w:type="dxa"/>
                        <w:shd w:val="clear" w:color="auto" w:fill="auto"/>
                        <w:hideMark/>
                      </w:tcPr>
                      <w:p w:rsidR="00D146AC" w:rsidRPr="00043955" w:rsidRDefault="00D146AC" w:rsidP="00DA725A">
                        <w:pPr>
                          <w:jc w:val="both"/>
                          <w:rPr>
                            <w:sz w:val="18"/>
                            <w:szCs w:val="18"/>
                          </w:rPr>
                        </w:pPr>
                        <w:r w:rsidRPr="00043955">
                          <w:rPr>
                            <w:sz w:val="18"/>
                            <w:szCs w:val="18"/>
                          </w:rPr>
                          <w:t>(i)</w:t>
                        </w:r>
                      </w:p>
                    </w:tc>
                    <w:tc>
                      <w:tcPr>
                        <w:tcW w:w="9030"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percepută în scopul gestionării recuperării parțiale sau în exces a veniturilor;</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9"/>
                    <w:gridCol w:w="4838"/>
                  </w:tblGrid>
                  <w:tr w:rsidR="00D146AC" w:rsidRPr="00C27D66" w:rsidTr="00CF1EB5">
                    <w:tc>
                      <w:tcPr>
                        <w:tcW w:w="261"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32"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calculată pe baza alocărilor de capacitate și a fluxurilor previzionate sau istorice ori pe baza ambelor;</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92"/>
                    <w:gridCol w:w="4695"/>
                  </w:tblGrid>
                  <w:tr w:rsidR="00D146AC" w:rsidRPr="00C27D66" w:rsidTr="00CF1EB5">
                    <w:tc>
                      <w:tcPr>
                        <w:tcW w:w="529"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8764"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aplicată la alte puncte decât la punctele de interconectare;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8"/>
                    <w:gridCol w:w="4839"/>
                  </w:tblGrid>
                  <w:tr w:rsidR="00D146AC" w:rsidRPr="00043955" w:rsidTr="00CF1EB5">
                    <w:tc>
                      <w:tcPr>
                        <w:tcW w:w="260" w:type="dxa"/>
                        <w:shd w:val="clear" w:color="auto" w:fill="auto"/>
                        <w:hideMark/>
                      </w:tcPr>
                      <w:p w:rsidR="00D146AC" w:rsidRPr="00043955" w:rsidRDefault="00D146AC" w:rsidP="00DA725A">
                        <w:pPr>
                          <w:jc w:val="both"/>
                          <w:rPr>
                            <w:sz w:val="18"/>
                            <w:szCs w:val="18"/>
                          </w:rPr>
                        </w:pPr>
                        <w:r w:rsidRPr="00043955">
                          <w:rPr>
                            <w:sz w:val="18"/>
                            <w:szCs w:val="18"/>
                          </w:rPr>
                          <w:t>(iv)</w:t>
                        </w:r>
                      </w:p>
                    </w:tc>
                    <w:tc>
                      <w:tcPr>
                        <w:tcW w:w="9033" w:type="dxa"/>
                        <w:shd w:val="clear" w:color="auto" w:fill="auto"/>
                        <w:hideMark/>
                      </w:tcPr>
                      <w:p w:rsidR="00D146AC" w:rsidRDefault="00D146AC" w:rsidP="00DA725A">
                        <w:pPr>
                          <w:jc w:val="both"/>
                          <w:rPr>
                            <w:sz w:val="18"/>
                            <w:szCs w:val="18"/>
                            <w:lang w:val="en-GB"/>
                          </w:rPr>
                        </w:pPr>
                        <w:r w:rsidRPr="00043955">
                          <w:rPr>
                            <w:sz w:val="18"/>
                            <w:szCs w:val="18"/>
                            <w:lang w:val="en-GB"/>
                          </w:rPr>
                          <w:t>este aplicată după ce autoritatea națională de reglementare a realizat o evaluare a măsurii în care taxa respectivă reflectă costurile și a impactului ei asupra subvențiilor încrucișate între punctele de interconectare și alte puncte decât punctele de interconectare.</w:t>
                        </w:r>
                      </w:p>
                      <w:p w:rsidR="00F42E2D" w:rsidRDefault="00F42E2D" w:rsidP="00DA725A">
                        <w:pPr>
                          <w:jc w:val="both"/>
                          <w:rPr>
                            <w:sz w:val="18"/>
                            <w:szCs w:val="18"/>
                            <w:lang w:val="en-GB"/>
                          </w:rPr>
                        </w:pPr>
                      </w:p>
                      <w:p w:rsidR="00F42E2D" w:rsidRDefault="00F42E2D" w:rsidP="00DA725A">
                        <w:pPr>
                          <w:jc w:val="both"/>
                          <w:rPr>
                            <w:sz w:val="18"/>
                            <w:szCs w:val="18"/>
                            <w:lang w:val="en-GB"/>
                          </w:rPr>
                        </w:pPr>
                      </w:p>
                      <w:p w:rsidR="00F42E2D" w:rsidRDefault="00F42E2D" w:rsidP="00DA725A">
                        <w:pPr>
                          <w:jc w:val="both"/>
                          <w:rPr>
                            <w:sz w:val="18"/>
                            <w:szCs w:val="18"/>
                            <w:lang w:val="en-GB"/>
                          </w:rPr>
                        </w:pPr>
                      </w:p>
                      <w:p w:rsidR="00F42E2D" w:rsidRDefault="00F42E2D" w:rsidP="00DA725A">
                        <w:pPr>
                          <w:jc w:val="both"/>
                          <w:rPr>
                            <w:sz w:val="18"/>
                            <w:szCs w:val="18"/>
                            <w:lang w:val="en-GB"/>
                          </w:rPr>
                        </w:pPr>
                      </w:p>
                      <w:p w:rsidR="00F42E2D" w:rsidRPr="00043955" w:rsidRDefault="00F42E2D" w:rsidP="00DA725A">
                        <w:pPr>
                          <w:jc w:val="both"/>
                          <w:rPr>
                            <w:sz w:val="18"/>
                            <w:szCs w:val="18"/>
                            <w:lang w:val="en-GB"/>
                          </w:rPr>
                        </w:pPr>
                      </w:p>
                    </w:tc>
                  </w:tr>
                </w:tbl>
                <w:p w:rsidR="00D146AC" w:rsidRPr="00043955" w:rsidRDefault="00D146AC" w:rsidP="00DA725A">
                  <w:pPr>
                    <w:jc w:val="both"/>
                    <w:rPr>
                      <w:sz w:val="18"/>
                      <w:szCs w:val="18"/>
                      <w:lang w:val="en-GB"/>
                    </w:rPr>
                  </w:pPr>
                </w:p>
              </w:tc>
            </w:tr>
          </w:tbl>
          <w:p w:rsidR="00D146AC" w:rsidRPr="00043955" w:rsidRDefault="00D146AC" w:rsidP="00DA725A">
            <w:pPr>
              <w:shd w:val="clear" w:color="auto" w:fill="FFFFFF"/>
              <w:jc w:val="both"/>
              <w:rPr>
                <w:sz w:val="18"/>
                <w:szCs w:val="18"/>
              </w:rPr>
            </w:pPr>
            <w:r w:rsidRPr="00043955">
              <w:rPr>
                <w:sz w:val="18"/>
                <w:szCs w:val="18"/>
                <w:lang w:val="en-GB"/>
              </w:rPr>
              <w:lastRenderedPageBreak/>
              <w:t xml:space="preserve">(4)   Venitul aferent altor servicii decât cele de transport se recuperează prin alte tarife decât cele de transport, aplicabile pentru un anumit serviciu care nu este un serviciu de transport. </w:t>
            </w:r>
            <w:r w:rsidRPr="00043955">
              <w:rPr>
                <w:sz w:val="18"/>
                <w:szCs w:val="18"/>
              </w:rPr>
              <w:t>Aceste tarife trebuie: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829"/>
            </w:tblGrid>
            <w:tr w:rsidR="00D146AC" w:rsidRPr="00C27D66" w:rsidTr="00CF1EB5">
              <w:tc>
                <w:tcPr>
                  <w:tcW w:w="357"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9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să reflecte costurile, să fie nediscriminatorii, obiective și transparente;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43955" w:rsidTr="00CF1EB5">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Pr="00043955" w:rsidRDefault="00D146AC" w:rsidP="00DA725A">
                  <w:pPr>
                    <w:jc w:val="both"/>
                    <w:rPr>
                      <w:sz w:val="18"/>
                      <w:szCs w:val="18"/>
                      <w:lang w:val="en-GB"/>
                    </w:rPr>
                  </w:pPr>
                  <w:r w:rsidRPr="00043955">
                    <w:rPr>
                      <w:sz w:val="18"/>
                      <w:szCs w:val="18"/>
                      <w:lang w:val="en-GB"/>
                    </w:rPr>
                    <w:t>să fie facturate beneficiarilor unui anumit serviciu, altul decât serviciile de transport, în scopul reducerii la minimum a subvențiilor încrucișate între utilizatorii rețelei dintr-un stat membru și/sau din afara acestuia.</w:t>
                  </w:r>
                </w:p>
              </w:tc>
            </w:tr>
          </w:tbl>
          <w:p w:rsidR="00D146AC" w:rsidRPr="00D82EE4" w:rsidRDefault="00D146AC" w:rsidP="00DA725A">
            <w:pPr>
              <w:shd w:val="clear" w:color="auto" w:fill="FFFFFF"/>
              <w:jc w:val="both"/>
              <w:rPr>
                <w:i/>
                <w:iCs/>
                <w:sz w:val="18"/>
                <w:szCs w:val="18"/>
                <w:lang w:val="it-IT"/>
              </w:rPr>
            </w:pPr>
            <w:r w:rsidRPr="00D82EE4">
              <w:rPr>
                <w:sz w:val="18"/>
                <w:szCs w:val="18"/>
                <w:lang w:val="it-IT"/>
              </w:rPr>
              <w:t>Dacă, potrivit autorității naționale de reglementare, un anumit serviciu care nu este un serviciu de transport aduce beneficii tuturor utilizatorilor rețelei, costurile aferente serviciului respectiv se recuperează de la toți utilizatorii rețelei.</w:t>
            </w:r>
          </w:p>
        </w:tc>
        <w:tc>
          <w:tcPr>
            <w:tcW w:w="4962" w:type="dxa"/>
          </w:tcPr>
          <w:p w:rsidR="00CF1A1F" w:rsidRPr="00380C00" w:rsidRDefault="00CF1A1F" w:rsidP="000C6F7D">
            <w:pPr>
              <w:tabs>
                <w:tab w:val="left" w:pos="567"/>
                <w:tab w:val="left" w:pos="851"/>
              </w:tabs>
              <w:jc w:val="center"/>
              <w:outlineLvl w:val="0"/>
              <w:rPr>
                <w:sz w:val="18"/>
                <w:szCs w:val="18"/>
                <w:lang w:val="it-IT"/>
              </w:rPr>
            </w:pPr>
            <w:r w:rsidRPr="00380C00">
              <w:rPr>
                <w:b/>
                <w:bCs/>
                <w:sz w:val="18"/>
                <w:szCs w:val="18"/>
                <w:lang w:val="it-IT"/>
              </w:rPr>
              <w:lastRenderedPageBreak/>
              <w:t>Secţiunea 2</w:t>
            </w:r>
          </w:p>
          <w:p w:rsidR="00CF1A1F" w:rsidRPr="00380C00" w:rsidRDefault="00CF1A1F" w:rsidP="000C6F7D">
            <w:pPr>
              <w:tabs>
                <w:tab w:val="left" w:pos="567"/>
                <w:tab w:val="left" w:pos="851"/>
              </w:tabs>
              <w:jc w:val="center"/>
              <w:outlineLvl w:val="0"/>
              <w:rPr>
                <w:sz w:val="18"/>
                <w:szCs w:val="18"/>
                <w:lang w:val="it-IT"/>
              </w:rPr>
            </w:pPr>
            <w:r w:rsidRPr="00380C00">
              <w:rPr>
                <w:b/>
                <w:bCs/>
                <w:sz w:val="18"/>
                <w:szCs w:val="18"/>
                <w:lang w:val="it-IT"/>
              </w:rPr>
              <w:t>Serviciile de transport, alte servicii decît cele</w:t>
            </w:r>
            <w:r w:rsidR="000C6F7D" w:rsidRPr="00670674">
              <w:rPr>
                <w:sz w:val="18"/>
                <w:szCs w:val="18"/>
                <w:lang w:val="it-IT"/>
              </w:rPr>
              <w:t xml:space="preserve"> </w:t>
            </w:r>
            <w:r w:rsidRPr="00380C00">
              <w:rPr>
                <w:b/>
                <w:bCs/>
                <w:sz w:val="18"/>
                <w:szCs w:val="18"/>
                <w:lang w:val="it-IT"/>
              </w:rPr>
              <w:t>de transport şi tarifele pentru acestea</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 </w:t>
            </w: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lastRenderedPageBreak/>
              <w:t>320.</w:t>
            </w:r>
            <w:r w:rsidRPr="00380C00">
              <w:rPr>
                <w:sz w:val="18"/>
                <w:szCs w:val="18"/>
                <w:lang w:val="it-IT"/>
              </w:rPr>
              <w:t xml:space="preserve"> Un anumit serviciu este considerat un serviciu de transport al gazelor naturale dacă sunt îndeplinite criteriile de mai jos:</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1) costurile aferente serviciului respectiv sunt influenţate de următorii factori de cost: capacitatea tehnică sau capacitatea contractată prognozată şi distanţa;</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2) costurile serviciului respectiv sunt legate de investiţiile în infrastructura care face parte din baza reglementată a activelor pentru prestarea serviciilor de transport, precum şi de funcţionarea acestei infrastructuri.</w:t>
            </w:r>
          </w:p>
          <w:p w:rsidR="00D21C14" w:rsidRPr="00380C00" w:rsidRDefault="00D21C14" w:rsidP="00CF1A1F">
            <w:pPr>
              <w:tabs>
                <w:tab w:val="left" w:pos="567"/>
                <w:tab w:val="left" w:pos="851"/>
              </w:tabs>
              <w:jc w:val="both"/>
              <w:outlineLvl w:val="0"/>
              <w:rPr>
                <w:b/>
                <w:bCs/>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321.</w:t>
            </w:r>
            <w:r w:rsidRPr="00380C00">
              <w:rPr>
                <w:sz w:val="18"/>
                <w:szCs w:val="18"/>
                <w:lang w:val="it-IT"/>
              </w:rPr>
              <w:t xml:space="preserve"> Dacă oricare dintre criteriile stabilite la pct.320 nu sunt îndeplinite, un serviciu poate fi considerat un serviciu de transport, fie un alt serviciu decât de transport, în funcţie de rezultatele consultării periodice efectuate de către Agenţie sau de către OST desemnat de Agenţie, în conformitate pct.395-419.</w:t>
            </w:r>
          </w:p>
          <w:p w:rsidR="00CF1A1F" w:rsidRDefault="00CF1A1F" w:rsidP="00CF1A1F">
            <w:pPr>
              <w:tabs>
                <w:tab w:val="left" w:pos="567"/>
                <w:tab w:val="left" w:pos="851"/>
              </w:tabs>
              <w:jc w:val="both"/>
              <w:outlineLvl w:val="0"/>
              <w:rPr>
                <w:sz w:val="18"/>
                <w:szCs w:val="18"/>
                <w:lang w:val="it-IT"/>
              </w:rPr>
            </w:pPr>
            <w:r w:rsidRPr="00380C00">
              <w:rPr>
                <w:sz w:val="18"/>
                <w:szCs w:val="18"/>
                <w:lang w:val="it-IT"/>
              </w:rPr>
              <w:t> </w:t>
            </w:r>
          </w:p>
          <w:p w:rsidR="00B06A7D" w:rsidRPr="00380C00" w:rsidRDefault="00B06A7D" w:rsidP="00CF1A1F">
            <w:pPr>
              <w:tabs>
                <w:tab w:val="left" w:pos="567"/>
                <w:tab w:val="left" w:pos="851"/>
              </w:tabs>
              <w:jc w:val="both"/>
              <w:outlineLvl w:val="0"/>
              <w:rPr>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322.</w:t>
            </w:r>
            <w:r w:rsidRPr="00380C00">
              <w:rPr>
                <w:sz w:val="18"/>
                <w:szCs w:val="18"/>
                <w:lang w:val="it-IT"/>
              </w:rPr>
              <w:t xml:space="preserve"> Tarifele pentru serviciul de transport pot fi stabilite astfel încât să ţină cont de condiţiile aplicabile produselor de capacitate fermă.</w:t>
            </w: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323.</w:t>
            </w:r>
            <w:r w:rsidRPr="00380C00">
              <w:rPr>
                <w:sz w:val="18"/>
                <w:szCs w:val="18"/>
                <w:lang w:val="it-IT"/>
              </w:rPr>
              <w:t xml:space="preserve"> Venitul reglementat al OST pentru serviciul de transport al gazelor naturale se obţine prin aplicarea tarifului pentru serviciul de transport al gazelor naturale bazat pe capacitate.</w:t>
            </w:r>
          </w:p>
          <w:p w:rsidR="00D21C14" w:rsidRPr="00380C00" w:rsidRDefault="00D21C14" w:rsidP="00CF1A1F">
            <w:pPr>
              <w:tabs>
                <w:tab w:val="left" w:pos="567"/>
                <w:tab w:val="left" w:pos="851"/>
              </w:tabs>
              <w:jc w:val="both"/>
              <w:outlineLvl w:val="0"/>
              <w:rPr>
                <w:b/>
                <w:bCs/>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324.</w:t>
            </w:r>
            <w:r w:rsidRPr="00380C00">
              <w:rPr>
                <w:sz w:val="18"/>
                <w:szCs w:val="18"/>
                <w:lang w:val="it-IT"/>
              </w:rPr>
              <w:t xml:space="preserve"> Ca excepţie, în baza Hotărârii ANRE, o parte din venitul din prestarea serviciului de transport al gazelor naturale poate fi obţinut prin aplicarea tarifelor volumetrice, care sunt calculate separat unele de altele:</w:t>
            </w:r>
          </w:p>
          <w:p w:rsidR="00CF1A1F" w:rsidRPr="00CF1A1F" w:rsidRDefault="00CF1A1F" w:rsidP="00CF1A1F">
            <w:pPr>
              <w:tabs>
                <w:tab w:val="left" w:pos="567"/>
                <w:tab w:val="left" w:pos="851"/>
              </w:tabs>
              <w:jc w:val="both"/>
              <w:outlineLvl w:val="0"/>
              <w:rPr>
                <w:sz w:val="18"/>
                <w:szCs w:val="18"/>
              </w:rPr>
            </w:pPr>
            <w:r w:rsidRPr="00CF1A1F">
              <w:rPr>
                <w:sz w:val="18"/>
                <w:szCs w:val="18"/>
              </w:rPr>
              <w:t>1) o plată bazată pe flux, care trebuie să respecte următoarele criterii:</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a) este percepută în vederea acoperirii costurilor generate în principal de fluxul de gaze naturale;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b) este calculată pe baza fluxurilor de gaze naturale prognozate sau istorice ori pe baza ambelor tipuri de fluxuri şi este stabilită în aşa fel încât să fie aceeaşi la toate punctele de intrare şi la toate punctele de ieşire;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c) este exprimată în termeni monetari sau în natură;</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2) o plată complementară pentru recuperarea veniturilor, care trebuie să respecte următoarele criterii:</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a) este percepută în scopul gestionării recuperării parţiale sau în exces a veniturilor;</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b) este calculată pe baza alocărilor de capacitate şi a fluxurilor prognozate sau istorice ori pe baza ambelor;</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c) este aplicată la alte puncte decât la punctele de interconectare;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 xml:space="preserve">d) este aplicată după ce Agenţia a realizat o evaluare în ce măsură plata respectivă reflectă costurile şi impactul ei asupra subvenţiilor </w:t>
            </w:r>
            <w:r w:rsidRPr="00380C00">
              <w:rPr>
                <w:sz w:val="18"/>
                <w:szCs w:val="18"/>
                <w:lang w:val="it-IT"/>
              </w:rPr>
              <w:lastRenderedPageBreak/>
              <w:t>încrucişate între punctele de interconectare şi alte puncte decât punctele de interconectare.</w:t>
            </w:r>
          </w:p>
          <w:p w:rsidR="00861153" w:rsidRDefault="00861153" w:rsidP="00CF1A1F">
            <w:pPr>
              <w:tabs>
                <w:tab w:val="left" w:pos="567"/>
                <w:tab w:val="left" w:pos="851"/>
              </w:tabs>
              <w:jc w:val="both"/>
              <w:outlineLvl w:val="0"/>
              <w:rPr>
                <w:b/>
                <w:bCs/>
                <w:sz w:val="18"/>
                <w:szCs w:val="18"/>
                <w:lang w:val="it-IT"/>
              </w:rPr>
            </w:pPr>
          </w:p>
          <w:p w:rsidR="00F42E2D" w:rsidRPr="00380C00" w:rsidRDefault="00F42E2D" w:rsidP="00CF1A1F">
            <w:pPr>
              <w:tabs>
                <w:tab w:val="left" w:pos="567"/>
                <w:tab w:val="left" w:pos="851"/>
              </w:tabs>
              <w:jc w:val="both"/>
              <w:outlineLvl w:val="0"/>
              <w:rPr>
                <w:b/>
                <w:bCs/>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325.</w:t>
            </w:r>
            <w:r w:rsidRPr="00380C00">
              <w:rPr>
                <w:sz w:val="18"/>
                <w:szCs w:val="18"/>
                <w:lang w:val="it-IT"/>
              </w:rPr>
              <w:t xml:space="preserve"> Venitul din prestarea altor servicii decât cele de transport se recuperează prin alte tarife decât cele de transport, aplicabile pentru un anumit serviciu care nu este un serviciu de transport. Aceste tarife trebuie: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 xml:space="preserve">1) să reflecte costurile, să fie nediscriminatorii, obiective şi transparente; </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2) să fie facturate beneficiarilor unui anumit serviciu, altul decât serviciile de transport, în scopul reducerii la minimum a subvenţiilor încrucişate între utilizatori de sistem dintr-o Parte Contractantă sau din afara acestuia.</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 </w:t>
            </w:r>
            <w:r w:rsidRPr="00380C00">
              <w:rPr>
                <w:b/>
                <w:bCs/>
                <w:sz w:val="18"/>
                <w:szCs w:val="18"/>
                <w:lang w:val="it-IT"/>
              </w:rPr>
              <w:t>326.</w:t>
            </w:r>
            <w:r w:rsidRPr="00380C00">
              <w:rPr>
                <w:sz w:val="18"/>
                <w:szCs w:val="18"/>
                <w:lang w:val="it-IT"/>
              </w:rPr>
              <w:t xml:space="preserve"> Dacă, potrivit Agenţiei un anumit serviciu aduce beneficii tuturor utilizatorilor de sistem, costurile aferente serviciului respectiv se recuperează de la toţi utilizatorii de sistem. </w:t>
            </w:r>
          </w:p>
          <w:p w:rsidR="00D146AC" w:rsidRPr="00380C00" w:rsidRDefault="00D146AC" w:rsidP="00DA725A">
            <w:pPr>
              <w:jc w:val="both"/>
              <w:rPr>
                <w:sz w:val="18"/>
                <w:szCs w:val="18"/>
                <w:lang w:val="it-IT"/>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930FB1" w:rsidRDefault="00930FB1"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B06A7D" w:rsidRDefault="00B06A7D"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B06A7D" w:rsidRDefault="00B06A7D" w:rsidP="00DA725A">
            <w:pPr>
              <w:rPr>
                <w:sz w:val="18"/>
                <w:szCs w:val="18"/>
                <w:lang w:val="it-IT"/>
              </w:rPr>
            </w:pPr>
          </w:p>
          <w:p w:rsidR="00B06A7D" w:rsidRDefault="00B06A7D" w:rsidP="00DA725A">
            <w:pPr>
              <w:rPr>
                <w:sz w:val="18"/>
                <w:szCs w:val="18"/>
                <w:lang w:val="it-IT"/>
              </w:rPr>
            </w:pPr>
          </w:p>
          <w:p w:rsidR="00B06A7D" w:rsidRDefault="00B06A7D" w:rsidP="00DA725A">
            <w:pPr>
              <w:rPr>
                <w:sz w:val="18"/>
                <w:szCs w:val="18"/>
                <w:lang w:val="it-IT"/>
              </w:rPr>
            </w:pPr>
          </w:p>
          <w:p w:rsidR="00B06A7D" w:rsidRDefault="00B06A7D" w:rsidP="00DA725A">
            <w:pPr>
              <w:rPr>
                <w:sz w:val="18"/>
                <w:szCs w:val="18"/>
                <w:lang w:val="it-IT"/>
              </w:rPr>
            </w:pPr>
          </w:p>
          <w:p w:rsidR="00F42E2D" w:rsidRDefault="00F42E2D" w:rsidP="00DA725A">
            <w:pPr>
              <w:rPr>
                <w:sz w:val="18"/>
                <w:szCs w:val="18"/>
                <w:lang w:val="it-IT"/>
              </w:rPr>
            </w:pPr>
          </w:p>
          <w:p w:rsidR="00930FB1" w:rsidRDefault="00930FB1"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930FB1" w:rsidRDefault="00930FB1" w:rsidP="00DA725A">
            <w:pPr>
              <w:jc w:val="both"/>
              <w:rPr>
                <w:b/>
                <w:sz w:val="18"/>
                <w:szCs w:val="18"/>
                <w:lang w:val="it-IT"/>
              </w:rPr>
            </w:pPr>
          </w:p>
          <w:p w:rsidR="00930FB1" w:rsidRDefault="00930FB1" w:rsidP="00DA725A">
            <w:pPr>
              <w:jc w:val="both"/>
              <w:rPr>
                <w:b/>
                <w:sz w:val="18"/>
                <w:szCs w:val="18"/>
                <w:lang w:val="it-IT"/>
              </w:rPr>
            </w:pPr>
          </w:p>
          <w:p w:rsidR="00930FB1" w:rsidRDefault="00930FB1" w:rsidP="00DA725A">
            <w:pPr>
              <w:jc w:val="both"/>
              <w:rPr>
                <w:b/>
                <w:sz w:val="18"/>
                <w:szCs w:val="18"/>
                <w:lang w:val="it-IT"/>
              </w:rPr>
            </w:pPr>
          </w:p>
          <w:p w:rsidR="00930FB1" w:rsidRPr="00D82EE4" w:rsidRDefault="00930FB1"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930FB1" w:rsidRPr="00D82EE4" w:rsidRDefault="00930FB1" w:rsidP="00930FB1">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tc>
        <w:tc>
          <w:tcPr>
            <w:tcW w:w="4253" w:type="dxa"/>
          </w:tcPr>
          <w:p w:rsidR="0084298F" w:rsidRPr="00E84D74" w:rsidRDefault="0084298F" w:rsidP="00DA725A">
            <w:pPr>
              <w:autoSpaceDE w:val="0"/>
              <w:autoSpaceDN w:val="0"/>
              <w:adjustRightInd w:val="0"/>
              <w:jc w:val="center"/>
              <w:rPr>
                <w:b/>
                <w:bCs/>
                <w:i/>
                <w:iCs/>
                <w:sz w:val="18"/>
                <w:szCs w:val="18"/>
              </w:rPr>
            </w:pPr>
            <w:r w:rsidRPr="00E84D74">
              <w:rPr>
                <w:b/>
                <w:bCs/>
                <w:i/>
                <w:iCs/>
                <w:sz w:val="18"/>
                <w:szCs w:val="18"/>
              </w:rPr>
              <w:lastRenderedPageBreak/>
              <w:t>Article 4</w:t>
            </w:r>
          </w:p>
          <w:p w:rsidR="0084298F" w:rsidRPr="00E84D74" w:rsidRDefault="0084298F" w:rsidP="00DA725A">
            <w:pPr>
              <w:autoSpaceDE w:val="0"/>
              <w:autoSpaceDN w:val="0"/>
              <w:adjustRightInd w:val="0"/>
              <w:jc w:val="center"/>
              <w:rPr>
                <w:b/>
                <w:bCs/>
                <w:sz w:val="18"/>
                <w:szCs w:val="18"/>
              </w:rPr>
            </w:pPr>
            <w:r w:rsidRPr="00E84D74">
              <w:rPr>
                <w:b/>
                <w:bCs/>
                <w:sz w:val="18"/>
                <w:szCs w:val="18"/>
              </w:rPr>
              <w:t>Transmission and non-transmission services and tariffs</w:t>
            </w:r>
          </w:p>
          <w:p w:rsidR="0084298F" w:rsidRPr="00E84D74" w:rsidRDefault="0084298F" w:rsidP="00DA725A">
            <w:pPr>
              <w:autoSpaceDE w:val="0"/>
              <w:autoSpaceDN w:val="0"/>
              <w:adjustRightInd w:val="0"/>
              <w:rPr>
                <w:sz w:val="18"/>
                <w:szCs w:val="18"/>
              </w:rPr>
            </w:pPr>
            <w:r w:rsidRPr="00E84D74">
              <w:rPr>
                <w:sz w:val="18"/>
                <w:szCs w:val="18"/>
              </w:rPr>
              <w:t>1. A given service shall be considered a transmission services where both of the following criteria are met:</w:t>
            </w:r>
          </w:p>
          <w:p w:rsidR="0084298F" w:rsidRPr="00E84D74" w:rsidRDefault="0084298F" w:rsidP="00DA725A">
            <w:pPr>
              <w:autoSpaceDE w:val="0"/>
              <w:autoSpaceDN w:val="0"/>
              <w:adjustRightInd w:val="0"/>
              <w:rPr>
                <w:sz w:val="18"/>
                <w:szCs w:val="18"/>
              </w:rPr>
            </w:pPr>
            <w:r w:rsidRPr="00E84D74">
              <w:rPr>
                <w:sz w:val="18"/>
                <w:szCs w:val="18"/>
              </w:rPr>
              <w:lastRenderedPageBreak/>
              <w:t>(a) the costs of such service are caused by the cost drivers of both technical or forecasted contracted</w:t>
            </w:r>
            <w:r w:rsidR="008A453A" w:rsidRPr="00E84D74">
              <w:rPr>
                <w:sz w:val="18"/>
                <w:szCs w:val="18"/>
              </w:rPr>
              <w:t xml:space="preserve"> </w:t>
            </w:r>
            <w:r w:rsidRPr="00E84D74">
              <w:rPr>
                <w:sz w:val="18"/>
                <w:szCs w:val="18"/>
              </w:rPr>
              <w:t>capacity and distance;</w:t>
            </w:r>
          </w:p>
          <w:p w:rsidR="0084298F" w:rsidRPr="00E84D74" w:rsidRDefault="0084298F" w:rsidP="00DA725A">
            <w:pPr>
              <w:autoSpaceDE w:val="0"/>
              <w:autoSpaceDN w:val="0"/>
              <w:adjustRightInd w:val="0"/>
              <w:rPr>
                <w:sz w:val="18"/>
                <w:szCs w:val="18"/>
              </w:rPr>
            </w:pPr>
            <w:r w:rsidRPr="00E84D74">
              <w:rPr>
                <w:sz w:val="18"/>
                <w:szCs w:val="18"/>
              </w:rPr>
              <w:t>(b) the costs of such service are related to the investment in and operation of the infrastructure which is</w:t>
            </w:r>
            <w:r w:rsidR="008A453A" w:rsidRPr="00E84D74">
              <w:rPr>
                <w:sz w:val="18"/>
                <w:szCs w:val="18"/>
              </w:rPr>
              <w:t xml:space="preserve"> </w:t>
            </w:r>
            <w:r w:rsidRPr="00E84D74">
              <w:rPr>
                <w:sz w:val="18"/>
                <w:szCs w:val="18"/>
              </w:rPr>
              <w:t>part of the regulated asset base for the provision of transmission services.</w:t>
            </w:r>
          </w:p>
          <w:p w:rsidR="00766CFE" w:rsidRPr="00E84D74" w:rsidRDefault="00766CFE"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Where any of the criteria set out in points (a) and (b) are not complied with, a given service may be</w:t>
            </w:r>
            <w:r w:rsidR="008A453A" w:rsidRPr="00E84D74">
              <w:rPr>
                <w:sz w:val="18"/>
                <w:szCs w:val="18"/>
              </w:rPr>
              <w:t xml:space="preserve"> </w:t>
            </w:r>
            <w:r w:rsidRPr="00E84D74">
              <w:rPr>
                <w:sz w:val="18"/>
                <w:szCs w:val="18"/>
              </w:rPr>
              <w:t>attributed to either transmission or non-transmission services subject to the findings of the periodic</w:t>
            </w:r>
            <w:r w:rsidR="008A453A" w:rsidRPr="00E84D74">
              <w:rPr>
                <w:sz w:val="18"/>
                <w:szCs w:val="18"/>
              </w:rPr>
              <w:t xml:space="preserve"> </w:t>
            </w:r>
            <w:r w:rsidRPr="00E84D74">
              <w:rPr>
                <w:sz w:val="18"/>
                <w:szCs w:val="18"/>
              </w:rPr>
              <w:t>consultation by the transmission system operator(s) or the national regulatory authority and decision by</w:t>
            </w:r>
            <w:r w:rsidR="008A453A" w:rsidRPr="00E84D74">
              <w:rPr>
                <w:sz w:val="18"/>
                <w:szCs w:val="18"/>
              </w:rPr>
              <w:t xml:space="preserve"> </w:t>
            </w:r>
            <w:r w:rsidRPr="00E84D74">
              <w:rPr>
                <w:sz w:val="18"/>
                <w:szCs w:val="18"/>
              </w:rPr>
              <w:t>the national regulatory authority, as set out in Articles 26 and 27.</w:t>
            </w:r>
          </w:p>
          <w:p w:rsidR="0084298F" w:rsidRDefault="0084298F" w:rsidP="00DA725A">
            <w:pPr>
              <w:autoSpaceDE w:val="0"/>
              <w:autoSpaceDN w:val="0"/>
              <w:adjustRightInd w:val="0"/>
              <w:rPr>
                <w:sz w:val="18"/>
                <w:szCs w:val="18"/>
              </w:rPr>
            </w:pPr>
            <w:r w:rsidRPr="00E84D74">
              <w:rPr>
                <w:sz w:val="18"/>
                <w:szCs w:val="18"/>
              </w:rPr>
              <w:t>2. Transmission tariffs may be set in a manner as to take into account the conditions for firm capacity</w:t>
            </w:r>
            <w:r w:rsidR="008A453A" w:rsidRPr="00E84D74">
              <w:rPr>
                <w:sz w:val="18"/>
                <w:szCs w:val="18"/>
              </w:rPr>
              <w:t xml:space="preserve"> </w:t>
            </w:r>
            <w:r w:rsidRPr="00E84D74">
              <w:rPr>
                <w:sz w:val="18"/>
                <w:szCs w:val="18"/>
              </w:rPr>
              <w:t>products.</w:t>
            </w:r>
          </w:p>
          <w:p w:rsidR="0084298F" w:rsidRPr="00E84D74" w:rsidRDefault="0084298F" w:rsidP="00DA725A">
            <w:pPr>
              <w:autoSpaceDE w:val="0"/>
              <w:autoSpaceDN w:val="0"/>
              <w:adjustRightInd w:val="0"/>
              <w:rPr>
                <w:sz w:val="18"/>
                <w:szCs w:val="18"/>
              </w:rPr>
            </w:pPr>
            <w:r w:rsidRPr="00E84D74">
              <w:rPr>
                <w:sz w:val="18"/>
                <w:szCs w:val="18"/>
              </w:rPr>
              <w:t>3. The transmission services revenue shall be recovered by capacity-based transmission tariffs.</w:t>
            </w:r>
          </w:p>
          <w:p w:rsidR="0084298F" w:rsidRPr="00E84D74" w:rsidRDefault="0084298F" w:rsidP="00DA725A">
            <w:pPr>
              <w:autoSpaceDE w:val="0"/>
              <w:autoSpaceDN w:val="0"/>
              <w:adjustRightInd w:val="0"/>
              <w:rPr>
                <w:sz w:val="18"/>
                <w:szCs w:val="18"/>
              </w:rPr>
            </w:pPr>
            <w:r w:rsidRPr="00E84D74">
              <w:rPr>
                <w:sz w:val="18"/>
                <w:szCs w:val="18"/>
              </w:rPr>
              <w:t>As an exception, subject to the approval of the national regulatory authority, a part of the</w:t>
            </w:r>
            <w:r w:rsidR="00D54EEB" w:rsidRPr="00E84D74">
              <w:rPr>
                <w:sz w:val="18"/>
                <w:szCs w:val="18"/>
              </w:rPr>
              <w:t xml:space="preserve"> </w:t>
            </w:r>
            <w:r w:rsidRPr="00E84D74">
              <w:rPr>
                <w:sz w:val="18"/>
                <w:szCs w:val="18"/>
              </w:rPr>
              <w:t>transmission</w:t>
            </w:r>
            <w:r w:rsidR="00766CFE" w:rsidRPr="00E84D74">
              <w:rPr>
                <w:sz w:val="18"/>
                <w:szCs w:val="18"/>
              </w:rPr>
              <w:t xml:space="preserve"> </w:t>
            </w:r>
            <w:r w:rsidRPr="00E84D74">
              <w:rPr>
                <w:sz w:val="18"/>
                <w:szCs w:val="18"/>
              </w:rPr>
              <w:t>services revenue may be recovered only by the following commodity-based transmission tariffs which</w:t>
            </w:r>
            <w:r w:rsidR="00766CFE" w:rsidRPr="00E84D74">
              <w:rPr>
                <w:sz w:val="18"/>
                <w:szCs w:val="18"/>
              </w:rPr>
              <w:t xml:space="preserve"> </w:t>
            </w:r>
            <w:r w:rsidRPr="00E84D74">
              <w:rPr>
                <w:sz w:val="18"/>
                <w:szCs w:val="18"/>
              </w:rPr>
              <w:t>are set separately from each other:</w:t>
            </w:r>
          </w:p>
          <w:p w:rsidR="0084298F" w:rsidRPr="00E84D74" w:rsidRDefault="0084298F" w:rsidP="00DA725A">
            <w:pPr>
              <w:autoSpaceDE w:val="0"/>
              <w:autoSpaceDN w:val="0"/>
              <w:adjustRightInd w:val="0"/>
              <w:rPr>
                <w:sz w:val="18"/>
                <w:szCs w:val="18"/>
              </w:rPr>
            </w:pPr>
            <w:r w:rsidRPr="00E84D74">
              <w:rPr>
                <w:sz w:val="18"/>
                <w:szCs w:val="18"/>
              </w:rPr>
              <w:t>(a) a flow-based charge, which shall comply with all of the following criteria:</w:t>
            </w:r>
          </w:p>
          <w:p w:rsidR="00727BD0" w:rsidRPr="00E84D74" w:rsidRDefault="00727BD0"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(i) levied for the purpose of covering the costs mainly driven by the quantity of the gas flow;</w:t>
            </w:r>
          </w:p>
          <w:p w:rsidR="007E16BD" w:rsidRPr="00E84D74" w:rsidRDefault="0084298F" w:rsidP="00DA725A">
            <w:pPr>
              <w:jc w:val="both"/>
              <w:rPr>
                <w:sz w:val="18"/>
                <w:szCs w:val="18"/>
              </w:rPr>
            </w:pPr>
            <w:r w:rsidRPr="00E84D74">
              <w:rPr>
                <w:sz w:val="18"/>
                <w:szCs w:val="18"/>
              </w:rPr>
              <w:t>(ii) calculated on the basis of forecasted or historical flows, or both, and set in such a way that it</w:t>
            </w:r>
            <w:r w:rsidR="007E16BD" w:rsidRPr="00E84D74">
              <w:rPr>
                <w:sz w:val="18"/>
                <w:szCs w:val="18"/>
              </w:rPr>
              <w:t xml:space="preserve"> is the same at all entry points and the same at all exit points;</w:t>
            </w:r>
          </w:p>
          <w:p w:rsidR="007E16BD" w:rsidRPr="00E84D74" w:rsidRDefault="007E16BD" w:rsidP="00DA725A">
            <w:pPr>
              <w:jc w:val="both"/>
              <w:rPr>
                <w:sz w:val="18"/>
                <w:szCs w:val="18"/>
              </w:rPr>
            </w:pPr>
            <w:r w:rsidRPr="00E84D74">
              <w:rPr>
                <w:sz w:val="18"/>
                <w:szCs w:val="18"/>
              </w:rPr>
              <w:t>(iii) expressed in monetary terms or in kind.</w:t>
            </w:r>
          </w:p>
          <w:p w:rsidR="00727BD0" w:rsidRPr="00E84D74" w:rsidRDefault="00727BD0" w:rsidP="00DA725A">
            <w:pPr>
              <w:jc w:val="both"/>
              <w:rPr>
                <w:sz w:val="18"/>
                <w:szCs w:val="18"/>
              </w:rPr>
            </w:pPr>
          </w:p>
          <w:p w:rsidR="007E16BD" w:rsidRPr="00E84D74" w:rsidRDefault="007E16BD" w:rsidP="00DA725A">
            <w:pPr>
              <w:jc w:val="both"/>
              <w:rPr>
                <w:sz w:val="18"/>
                <w:szCs w:val="18"/>
              </w:rPr>
            </w:pPr>
            <w:r w:rsidRPr="00E84D74">
              <w:rPr>
                <w:sz w:val="18"/>
                <w:szCs w:val="18"/>
              </w:rPr>
              <w:t>(b) a complementary revenue recovery charge, which shall comply with all of the following criteria:</w:t>
            </w:r>
          </w:p>
          <w:p w:rsidR="00727BD0" w:rsidRPr="00E84D74" w:rsidRDefault="00727BD0" w:rsidP="00DA725A">
            <w:pPr>
              <w:jc w:val="both"/>
              <w:rPr>
                <w:sz w:val="18"/>
                <w:szCs w:val="18"/>
              </w:rPr>
            </w:pPr>
          </w:p>
          <w:p w:rsidR="007E16BD" w:rsidRPr="00E84D74" w:rsidRDefault="007E16BD" w:rsidP="00DA725A">
            <w:pPr>
              <w:jc w:val="both"/>
              <w:rPr>
                <w:sz w:val="18"/>
                <w:szCs w:val="18"/>
              </w:rPr>
            </w:pPr>
            <w:r w:rsidRPr="00E84D74">
              <w:rPr>
                <w:sz w:val="18"/>
                <w:szCs w:val="18"/>
              </w:rPr>
              <w:t>(i) evied for the purpose of managing revenue under- and over-recovery;</w:t>
            </w:r>
          </w:p>
          <w:p w:rsidR="007E16BD" w:rsidRPr="00E84D74" w:rsidRDefault="007E16BD" w:rsidP="00DA725A">
            <w:pPr>
              <w:jc w:val="both"/>
              <w:rPr>
                <w:sz w:val="18"/>
                <w:szCs w:val="18"/>
              </w:rPr>
            </w:pPr>
            <w:r w:rsidRPr="00E84D74">
              <w:rPr>
                <w:sz w:val="18"/>
                <w:szCs w:val="18"/>
              </w:rPr>
              <w:t>(ii) calculated on the basis of forecasted or historical capacity allocations and flows, or both;</w:t>
            </w:r>
          </w:p>
          <w:p w:rsidR="007E16BD" w:rsidRPr="00E84D74" w:rsidRDefault="007E16BD" w:rsidP="00DA725A">
            <w:pPr>
              <w:jc w:val="both"/>
              <w:rPr>
                <w:sz w:val="18"/>
                <w:szCs w:val="18"/>
              </w:rPr>
            </w:pPr>
            <w:r w:rsidRPr="00E84D74">
              <w:rPr>
                <w:sz w:val="18"/>
                <w:szCs w:val="18"/>
              </w:rPr>
              <w:t>(iii) applied at points other than interconnection points;</w:t>
            </w:r>
          </w:p>
          <w:p w:rsidR="007E16BD" w:rsidRPr="00E84D74" w:rsidRDefault="007E16BD" w:rsidP="00DA725A">
            <w:pPr>
              <w:jc w:val="both"/>
              <w:rPr>
                <w:sz w:val="18"/>
                <w:szCs w:val="18"/>
              </w:rPr>
            </w:pPr>
            <w:r w:rsidRPr="00E84D74">
              <w:rPr>
                <w:sz w:val="18"/>
                <w:szCs w:val="18"/>
              </w:rPr>
              <w:t>(iv) applied after the national regulatory authority has made an assessment of its cost-reflectivity</w:t>
            </w:r>
            <w:r w:rsidR="000B33E4" w:rsidRPr="00E84D74">
              <w:rPr>
                <w:sz w:val="18"/>
                <w:szCs w:val="18"/>
              </w:rPr>
              <w:t xml:space="preserve"> </w:t>
            </w:r>
            <w:r w:rsidRPr="00E84D74">
              <w:rPr>
                <w:sz w:val="18"/>
                <w:szCs w:val="18"/>
              </w:rPr>
              <w:t xml:space="preserve">and its impact </w:t>
            </w:r>
            <w:r w:rsidRPr="00E84D74">
              <w:rPr>
                <w:sz w:val="18"/>
                <w:szCs w:val="18"/>
              </w:rPr>
              <w:lastRenderedPageBreak/>
              <w:t>on cross-subsidisation between interconnection points and points other than interconnection</w:t>
            </w:r>
          </w:p>
          <w:p w:rsidR="007E16BD" w:rsidRPr="00E84D74" w:rsidRDefault="007E16BD" w:rsidP="00DA725A">
            <w:pPr>
              <w:jc w:val="both"/>
              <w:rPr>
                <w:rFonts w:cs="FrutigerNextPro-Light"/>
                <w:sz w:val="18"/>
                <w:szCs w:val="18"/>
              </w:rPr>
            </w:pPr>
            <w:r w:rsidRPr="00E84D74">
              <w:rPr>
                <w:rFonts w:cs="FrutigerNextPro-Light"/>
                <w:sz w:val="18"/>
                <w:szCs w:val="18"/>
              </w:rPr>
              <w:t>points.</w:t>
            </w:r>
          </w:p>
          <w:p w:rsidR="007E16BD" w:rsidRPr="00E84D74" w:rsidRDefault="007E16BD" w:rsidP="00DA725A">
            <w:pPr>
              <w:jc w:val="both"/>
              <w:rPr>
                <w:rFonts w:cs="FrutigerNextPro-Light"/>
                <w:sz w:val="18"/>
                <w:szCs w:val="18"/>
              </w:rPr>
            </w:pPr>
            <w:r w:rsidRPr="00E84D74">
              <w:rPr>
                <w:rFonts w:cs="FrutigerNextPro-Light"/>
                <w:sz w:val="18"/>
                <w:szCs w:val="18"/>
              </w:rPr>
              <w:t>4. The non-transmission services revenue shall be recovered by non-transmission tariffs applicable for a</w:t>
            </w:r>
          </w:p>
          <w:p w:rsidR="007E16BD" w:rsidRPr="00E84D74" w:rsidRDefault="007E16BD" w:rsidP="00DA725A">
            <w:pPr>
              <w:jc w:val="both"/>
              <w:rPr>
                <w:rFonts w:cs="FrutigerNextPro-Light"/>
                <w:sz w:val="18"/>
                <w:szCs w:val="18"/>
              </w:rPr>
            </w:pPr>
            <w:r w:rsidRPr="00E84D74">
              <w:rPr>
                <w:rFonts w:cs="FrutigerNextPro-Light"/>
                <w:sz w:val="18"/>
                <w:szCs w:val="18"/>
              </w:rPr>
              <w:t>given non-transmission service. Such tariffs shall be as follows:</w:t>
            </w:r>
          </w:p>
          <w:p w:rsidR="007E16BD" w:rsidRPr="00E84D74" w:rsidRDefault="007E16BD" w:rsidP="00DA725A">
            <w:pPr>
              <w:jc w:val="both"/>
              <w:rPr>
                <w:rFonts w:cs="FrutigerNextPro-Light"/>
                <w:sz w:val="18"/>
                <w:szCs w:val="18"/>
              </w:rPr>
            </w:pPr>
            <w:r w:rsidRPr="00E84D74">
              <w:rPr>
                <w:rFonts w:cs="FrutigerNextPro-Light"/>
                <w:sz w:val="18"/>
                <w:szCs w:val="18"/>
              </w:rPr>
              <w:t>(a) cost-reflective, non-discriminatory, objective and transparent;</w:t>
            </w:r>
          </w:p>
          <w:p w:rsidR="007E16BD" w:rsidRPr="00E84D74" w:rsidRDefault="007E16BD" w:rsidP="00DA725A">
            <w:pPr>
              <w:jc w:val="both"/>
              <w:rPr>
                <w:rFonts w:cs="FrutigerNextPro-Light"/>
                <w:sz w:val="18"/>
                <w:szCs w:val="18"/>
              </w:rPr>
            </w:pPr>
            <w:r w:rsidRPr="00E84D74">
              <w:rPr>
                <w:rFonts w:cs="FrutigerNextPro-Light"/>
                <w:sz w:val="18"/>
                <w:szCs w:val="18"/>
              </w:rPr>
              <w:t>(b) charged to the beneficiaries of a given non-transmission service with the aim of minimising cross-subsidisation</w:t>
            </w:r>
            <w:r w:rsidR="00861153">
              <w:rPr>
                <w:rFonts w:cs="FrutigerNextPro-Light"/>
                <w:sz w:val="18"/>
                <w:szCs w:val="18"/>
              </w:rPr>
              <w:t xml:space="preserve"> </w:t>
            </w:r>
            <w:r w:rsidRPr="00E84D74">
              <w:rPr>
                <w:rFonts w:cs="FrutigerNextPro-Light"/>
                <w:sz w:val="18"/>
                <w:szCs w:val="18"/>
              </w:rPr>
              <w:t xml:space="preserve">between network users within or outside a </w:t>
            </w:r>
            <w:r w:rsidRPr="00E84D74">
              <w:rPr>
                <w:rFonts w:cs="FrutigerNextPro-Light"/>
                <w:b/>
                <w:bCs/>
                <w:sz w:val="18"/>
                <w:szCs w:val="18"/>
              </w:rPr>
              <w:t xml:space="preserve">Contracting Party, </w:t>
            </w:r>
            <w:r w:rsidRPr="00E84D74">
              <w:rPr>
                <w:rFonts w:cs="FrutigerNextPro-Light"/>
                <w:sz w:val="18"/>
                <w:szCs w:val="18"/>
              </w:rPr>
              <w:t>or both.</w:t>
            </w:r>
          </w:p>
          <w:p w:rsidR="007E16BD" w:rsidRPr="00E84D74" w:rsidRDefault="007E16BD" w:rsidP="00DA725A">
            <w:pPr>
              <w:jc w:val="both"/>
              <w:rPr>
                <w:rFonts w:cs="FrutigerNextPro-Light"/>
                <w:sz w:val="18"/>
                <w:szCs w:val="18"/>
              </w:rPr>
            </w:pPr>
            <w:r w:rsidRPr="00E84D74">
              <w:rPr>
                <w:rFonts w:cs="FrutigerNextPro-Light"/>
                <w:sz w:val="18"/>
                <w:szCs w:val="18"/>
              </w:rPr>
              <w:t>Where according to the national regulatory authority a given non-transmission service benefits all network</w:t>
            </w:r>
          </w:p>
          <w:p w:rsidR="00D146AC" w:rsidRPr="00E84D74" w:rsidRDefault="007E16BD" w:rsidP="00DA725A">
            <w:pPr>
              <w:jc w:val="both"/>
              <w:rPr>
                <w:b/>
                <w:sz w:val="18"/>
                <w:szCs w:val="18"/>
              </w:rPr>
            </w:pPr>
            <w:r w:rsidRPr="00E84D74">
              <w:rPr>
                <w:rFonts w:cs="FrutigerNextPro-Light"/>
                <w:sz w:val="18"/>
                <w:szCs w:val="18"/>
              </w:rPr>
              <w:t>users, the costs for such service shall be recovered from all network users.</w:t>
            </w:r>
          </w:p>
        </w:tc>
      </w:tr>
      <w:tr w:rsidR="00D146AC" w:rsidRPr="00043955" w:rsidTr="00FC3840">
        <w:trPr>
          <w:trHeight w:val="416"/>
        </w:trPr>
        <w:tc>
          <w:tcPr>
            <w:tcW w:w="5245" w:type="dxa"/>
          </w:tcPr>
          <w:p w:rsidR="00D146AC" w:rsidRPr="000C6F7D" w:rsidRDefault="00D146AC" w:rsidP="000C6F7D">
            <w:pPr>
              <w:shd w:val="clear" w:color="auto" w:fill="FFFFFF"/>
              <w:jc w:val="center"/>
              <w:rPr>
                <w:b/>
                <w:i/>
                <w:iCs/>
                <w:sz w:val="18"/>
                <w:szCs w:val="18"/>
                <w:lang w:val="it-IT"/>
              </w:rPr>
            </w:pPr>
            <w:r w:rsidRPr="000C6F7D">
              <w:rPr>
                <w:b/>
                <w:i/>
                <w:iCs/>
                <w:sz w:val="18"/>
                <w:szCs w:val="18"/>
                <w:lang w:val="it-IT"/>
              </w:rPr>
              <w:lastRenderedPageBreak/>
              <w:t>Articolul 5</w:t>
            </w:r>
          </w:p>
          <w:p w:rsidR="00D146AC" w:rsidRPr="00D82EE4" w:rsidRDefault="00D146AC" w:rsidP="000C6F7D">
            <w:pPr>
              <w:shd w:val="clear" w:color="auto" w:fill="FFFFFF"/>
              <w:jc w:val="center"/>
              <w:rPr>
                <w:b/>
                <w:bCs/>
                <w:sz w:val="18"/>
                <w:szCs w:val="18"/>
                <w:lang w:val="it-IT"/>
              </w:rPr>
            </w:pPr>
            <w:r w:rsidRPr="00D82EE4">
              <w:rPr>
                <w:b/>
                <w:bCs/>
                <w:sz w:val="18"/>
                <w:szCs w:val="18"/>
                <w:lang w:val="it-IT"/>
              </w:rPr>
              <w:t>Evaluări ale alocării costurilor</w:t>
            </w:r>
          </w:p>
          <w:p w:rsidR="00D146AC" w:rsidRPr="00D82EE4" w:rsidRDefault="00D146AC" w:rsidP="00DA725A">
            <w:pPr>
              <w:shd w:val="clear" w:color="auto" w:fill="FFFFFF"/>
              <w:jc w:val="both"/>
              <w:rPr>
                <w:sz w:val="18"/>
                <w:szCs w:val="18"/>
                <w:lang w:val="it-IT"/>
              </w:rPr>
            </w:pPr>
            <w:r w:rsidRPr="00D82EE4">
              <w:rPr>
                <w:sz w:val="18"/>
                <w:szCs w:val="18"/>
                <w:lang w:val="it-IT"/>
              </w:rPr>
              <w:t>(1)   Conform deciziei autorității naționale de reglementare, autoritatea națională de reglementare sau operatorul de transport și de sistem efectuează următoarele evaluări și le publică în cadrul consultării finale menționate la articolul 26:</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6262EB" w:rsidRDefault="00D146AC" w:rsidP="00DA725A">
                  <w:r w:rsidRPr="006262EB">
                    <w:t>(a)</w:t>
                  </w:r>
                </w:p>
              </w:tc>
              <w:tc>
                <w:tcPr>
                  <w:tcW w:w="9296" w:type="dxa"/>
                  <w:shd w:val="clear" w:color="auto" w:fill="FFFFFF"/>
                  <w:hideMark/>
                </w:tcPr>
                <w:p w:rsidR="00D146AC" w:rsidRPr="006262EB" w:rsidRDefault="00D146AC" w:rsidP="00DA725A">
                  <w:r w:rsidRPr="006262EB">
                    <w:t>o evaluare a alocării costurilor referitoare la venitul aferent serviciilor de transport care trebuie recuperat prin tarife de transport bazate pe capacitate și care se bazează exclusiv pe următorii factori de cost:</w:t>
                  </w:r>
                </w:p>
                <w:tbl>
                  <w:tblPr>
                    <w:tblW w:w="5000" w:type="pct"/>
                    <w:tblLayout w:type="fixed"/>
                    <w:tblCellMar>
                      <w:left w:w="0" w:type="dxa"/>
                      <w:right w:w="0" w:type="dxa"/>
                    </w:tblCellMar>
                    <w:tblLook w:val="04A0" w:firstRow="1" w:lastRow="0" w:firstColumn="1" w:lastColumn="0" w:noHBand="0" w:noVBand="1"/>
                  </w:tblPr>
                  <w:tblGrid>
                    <w:gridCol w:w="395"/>
                    <w:gridCol w:w="67"/>
                    <w:gridCol w:w="37"/>
                    <w:gridCol w:w="4489"/>
                  </w:tblGrid>
                  <w:tr w:rsidR="00D146AC" w:rsidRPr="006262EB" w:rsidTr="006262EB">
                    <w:tc>
                      <w:tcPr>
                        <w:tcW w:w="462" w:type="dxa"/>
                        <w:gridSpan w:val="2"/>
                        <w:shd w:val="clear" w:color="auto" w:fill="auto"/>
                        <w:hideMark/>
                      </w:tcPr>
                      <w:p w:rsidR="00D146AC" w:rsidRPr="006262EB" w:rsidRDefault="00D146AC" w:rsidP="00DA725A">
                        <w:r w:rsidRPr="006262EB">
                          <w:t>(i)</w:t>
                        </w:r>
                      </w:p>
                    </w:tc>
                    <w:tc>
                      <w:tcPr>
                        <w:tcW w:w="4526" w:type="dxa"/>
                        <w:gridSpan w:val="2"/>
                        <w:shd w:val="clear" w:color="auto" w:fill="auto"/>
                        <w:hideMark/>
                      </w:tcPr>
                      <w:p w:rsidR="00D146AC" w:rsidRPr="006262EB" w:rsidRDefault="00D146AC" w:rsidP="00DA725A">
                        <w:r w:rsidRPr="006262EB">
                          <w:t>capacitatea tehnică; sau</w:t>
                        </w:r>
                      </w:p>
                    </w:tc>
                  </w:tr>
                  <w:tr w:rsidR="00D146AC" w:rsidRPr="006262EB" w:rsidTr="006262EB">
                    <w:tc>
                      <w:tcPr>
                        <w:tcW w:w="395" w:type="dxa"/>
                        <w:shd w:val="clear" w:color="auto" w:fill="auto"/>
                        <w:hideMark/>
                      </w:tcPr>
                      <w:p w:rsidR="00D146AC" w:rsidRPr="006262EB" w:rsidRDefault="00D146AC" w:rsidP="00DA725A">
                        <w:r w:rsidRPr="006262EB">
                          <w:t>(ii)</w:t>
                        </w:r>
                      </w:p>
                    </w:tc>
                    <w:tc>
                      <w:tcPr>
                        <w:tcW w:w="4593" w:type="dxa"/>
                        <w:gridSpan w:val="3"/>
                        <w:shd w:val="clear" w:color="auto" w:fill="auto"/>
                        <w:hideMark/>
                      </w:tcPr>
                      <w:p w:rsidR="00D146AC" w:rsidRPr="006262EB" w:rsidRDefault="00D146AC" w:rsidP="00DA725A">
                        <w:r w:rsidRPr="006262EB">
                          <w:t>capacitatea contractată estimată; sau</w:t>
                        </w:r>
                      </w:p>
                    </w:tc>
                  </w:tr>
                  <w:tr w:rsidR="00D146AC" w:rsidRPr="006262EB" w:rsidTr="006262EB">
                    <w:tc>
                      <w:tcPr>
                        <w:tcW w:w="499" w:type="dxa"/>
                        <w:gridSpan w:val="3"/>
                        <w:shd w:val="clear" w:color="auto" w:fill="auto"/>
                        <w:hideMark/>
                      </w:tcPr>
                      <w:p w:rsidR="00D146AC" w:rsidRPr="006262EB" w:rsidRDefault="00D146AC" w:rsidP="00DA725A">
                        <w:r w:rsidRPr="006262EB">
                          <w:t>(iii)</w:t>
                        </w:r>
                      </w:p>
                    </w:tc>
                    <w:tc>
                      <w:tcPr>
                        <w:tcW w:w="4489" w:type="dxa"/>
                        <w:shd w:val="clear" w:color="auto" w:fill="auto"/>
                        <w:hideMark/>
                      </w:tcPr>
                      <w:p w:rsidR="00D146AC" w:rsidRPr="006262EB" w:rsidRDefault="00D146AC" w:rsidP="00DA725A">
                        <w:r w:rsidRPr="006262EB">
                          <w:t>capacitatea tehnică și distanța; sau</w:t>
                        </w:r>
                      </w:p>
                    </w:tc>
                  </w:tr>
                  <w:tr w:rsidR="00D146AC" w:rsidRPr="00C27D66" w:rsidTr="006262EB">
                    <w:tc>
                      <w:tcPr>
                        <w:tcW w:w="395" w:type="dxa"/>
                        <w:shd w:val="clear" w:color="auto" w:fill="auto"/>
                        <w:hideMark/>
                      </w:tcPr>
                      <w:p w:rsidR="00D146AC" w:rsidRPr="006262EB" w:rsidRDefault="00D146AC" w:rsidP="00DA725A">
                        <w:r w:rsidRPr="006262EB">
                          <w:t>(iv)</w:t>
                        </w:r>
                      </w:p>
                    </w:tc>
                    <w:tc>
                      <w:tcPr>
                        <w:tcW w:w="4593" w:type="dxa"/>
                        <w:gridSpan w:val="3"/>
                        <w:shd w:val="clear" w:color="auto" w:fill="auto"/>
                        <w:hideMark/>
                      </w:tcPr>
                      <w:p w:rsidR="00D146AC" w:rsidRPr="00AF0E15" w:rsidRDefault="00D146AC" w:rsidP="00DA725A">
                        <w:pPr>
                          <w:rPr>
                            <w:lang w:val="it-IT"/>
                          </w:rPr>
                        </w:pPr>
                        <w:r w:rsidRPr="00AF0E15">
                          <w:rPr>
                            <w:lang w:val="it-IT"/>
                          </w:rPr>
                          <w:t>capacitatea contractată estimată și distanța;</w:t>
                        </w:r>
                      </w:p>
                    </w:tc>
                  </w:tr>
                </w:tbl>
                <w:p w:rsidR="00D146AC" w:rsidRPr="00AF0E15" w:rsidRDefault="00D146AC" w:rsidP="00DA725A">
                  <w:pPr>
                    <w:rPr>
                      <w:lang w:val="it-IT"/>
                    </w:rPr>
                  </w:pPr>
                </w:p>
              </w:tc>
            </w:tr>
          </w:tbl>
          <w:p w:rsidR="00D146AC" w:rsidRPr="00AF0E15" w:rsidRDefault="00D146AC" w:rsidP="00DA725A">
            <w:pPr>
              <w:rPr>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6262EB" w:rsidTr="00B92DDC">
              <w:tc>
                <w:tcPr>
                  <w:tcW w:w="62" w:type="dxa"/>
                  <w:shd w:val="clear" w:color="auto" w:fill="FFFFFF"/>
                  <w:hideMark/>
                </w:tcPr>
                <w:p w:rsidR="00D146AC" w:rsidRPr="006262EB" w:rsidRDefault="00D146AC" w:rsidP="00DA725A">
                  <w:r w:rsidRPr="006262EB">
                    <w:t>(b</w:t>
                  </w:r>
                </w:p>
              </w:tc>
              <w:tc>
                <w:tcPr>
                  <w:tcW w:w="9293" w:type="dxa"/>
                  <w:shd w:val="clear" w:color="auto" w:fill="FFFFFF"/>
                  <w:hideMark/>
                </w:tcPr>
                <w:p w:rsidR="00D146AC" w:rsidRPr="006262EB" w:rsidRDefault="00D146AC" w:rsidP="00DA725A">
                  <w:r w:rsidRPr="006262EB">
                    <w:t>o evaluare a alocării costurilor referitoare la venitul aferent serviciilor de transport care trebuie recuperat prin tarife de transport volumetrice, dacă este cazul, și care se bazează exclusiv pe următorii factori de cost:</w:t>
                  </w:r>
                </w:p>
                <w:tbl>
                  <w:tblPr>
                    <w:tblW w:w="5000" w:type="pct"/>
                    <w:tblLayout w:type="fixed"/>
                    <w:tblCellMar>
                      <w:left w:w="0" w:type="dxa"/>
                      <w:right w:w="0" w:type="dxa"/>
                    </w:tblCellMar>
                    <w:tblLook w:val="04A0" w:firstRow="1" w:lastRow="0" w:firstColumn="1" w:lastColumn="0" w:noHBand="0" w:noVBand="1"/>
                  </w:tblPr>
                  <w:tblGrid>
                    <w:gridCol w:w="357"/>
                    <w:gridCol w:w="22"/>
                    <w:gridCol w:w="4608"/>
                  </w:tblGrid>
                  <w:tr w:rsidR="00D146AC" w:rsidRPr="006262EB" w:rsidTr="006262EB">
                    <w:tc>
                      <w:tcPr>
                        <w:tcW w:w="357" w:type="dxa"/>
                        <w:shd w:val="clear" w:color="auto" w:fill="auto"/>
                        <w:hideMark/>
                      </w:tcPr>
                      <w:p w:rsidR="00D146AC" w:rsidRPr="006262EB" w:rsidRDefault="00D146AC" w:rsidP="00DA725A">
                        <w:r w:rsidRPr="006262EB">
                          <w:t>(i)</w:t>
                        </w:r>
                      </w:p>
                    </w:tc>
                    <w:tc>
                      <w:tcPr>
                        <w:tcW w:w="4630" w:type="dxa"/>
                        <w:gridSpan w:val="2"/>
                        <w:shd w:val="clear" w:color="auto" w:fill="auto"/>
                        <w:hideMark/>
                      </w:tcPr>
                      <w:p w:rsidR="00D146AC" w:rsidRPr="006262EB" w:rsidRDefault="00D146AC" w:rsidP="00DA725A">
                        <w:r w:rsidRPr="006262EB">
                          <w:t>volumul fluxurilor de gaze; sau</w:t>
                        </w:r>
                      </w:p>
                    </w:tc>
                  </w:tr>
                  <w:tr w:rsidR="00D146AC" w:rsidRPr="006262EB" w:rsidTr="006262EB">
                    <w:tc>
                      <w:tcPr>
                        <w:tcW w:w="379" w:type="dxa"/>
                        <w:gridSpan w:val="2"/>
                        <w:shd w:val="clear" w:color="auto" w:fill="auto"/>
                        <w:hideMark/>
                      </w:tcPr>
                      <w:p w:rsidR="00D146AC" w:rsidRPr="006262EB" w:rsidRDefault="00D146AC" w:rsidP="00DA725A">
                        <w:r w:rsidRPr="006262EB">
                          <w:t>(ii)</w:t>
                        </w:r>
                      </w:p>
                    </w:tc>
                    <w:tc>
                      <w:tcPr>
                        <w:tcW w:w="4608" w:type="dxa"/>
                        <w:shd w:val="clear" w:color="auto" w:fill="auto"/>
                        <w:hideMark/>
                      </w:tcPr>
                      <w:p w:rsidR="00D146AC" w:rsidRPr="006262EB" w:rsidRDefault="00D146AC" w:rsidP="00DA725A">
                        <w:r w:rsidRPr="006262EB">
                          <w:t>volumul fluxurilor de gaze și distanța.</w:t>
                        </w:r>
                      </w:p>
                    </w:tc>
                  </w:tr>
                </w:tbl>
                <w:p w:rsidR="00D146AC" w:rsidRPr="006262EB" w:rsidRDefault="00D146AC" w:rsidP="00DA725A"/>
              </w:tc>
            </w:tr>
          </w:tbl>
          <w:p w:rsidR="00D146AC" w:rsidRPr="00043955" w:rsidRDefault="00D146AC" w:rsidP="00DA725A">
            <w:pPr>
              <w:shd w:val="clear" w:color="auto" w:fill="FFFFFF"/>
              <w:jc w:val="both"/>
              <w:rPr>
                <w:sz w:val="18"/>
                <w:szCs w:val="18"/>
              </w:rPr>
            </w:pPr>
            <w:r w:rsidRPr="00043955">
              <w:rPr>
                <w:sz w:val="18"/>
                <w:szCs w:val="18"/>
              </w:rPr>
              <w:t>(2)   Evaluările alocării costurilor indică nivelul subvențiilor încrucișate între utilizarea rețelei în interiorul sistemului și utilizarea rețelei între sisteme, pe baza metodologiei propuse de stabilire a prețurilor de referință.</w:t>
            </w:r>
          </w:p>
          <w:p w:rsidR="00D146AC" w:rsidRPr="00D82EE4" w:rsidRDefault="00D146AC" w:rsidP="00DA725A">
            <w:pPr>
              <w:shd w:val="clear" w:color="auto" w:fill="FFFFFF"/>
              <w:jc w:val="both"/>
              <w:rPr>
                <w:sz w:val="18"/>
                <w:szCs w:val="18"/>
                <w:lang w:val="it-IT"/>
              </w:rPr>
            </w:pPr>
            <w:r w:rsidRPr="00D82EE4">
              <w:rPr>
                <w:sz w:val="18"/>
                <w:szCs w:val="18"/>
                <w:lang w:val="it-IT"/>
              </w:rPr>
              <w:t>(3)   Evaluarea alocării costurilor menționată la alineatul (1) litera (b) se realizează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lastRenderedPageBreak/>
                    <w:t>(a)</w:t>
                  </w:r>
                </w:p>
              </w:tc>
              <w:tc>
                <w:tcPr>
                  <w:tcW w:w="9296" w:type="dxa"/>
                  <w:shd w:val="clear" w:color="auto" w:fill="FFFFFF"/>
                  <w:hideMark/>
                </w:tcPr>
                <w:p w:rsidR="00D146AC" w:rsidRDefault="00D146AC" w:rsidP="00DA725A">
                  <w:pPr>
                    <w:jc w:val="both"/>
                    <w:rPr>
                      <w:sz w:val="18"/>
                      <w:szCs w:val="18"/>
                      <w:lang w:val="it-IT"/>
                    </w:rPr>
                  </w:pPr>
                  <w:r w:rsidRPr="00D82EE4">
                    <w:rPr>
                      <w:sz w:val="18"/>
                      <w:szCs w:val="18"/>
                      <w:lang w:val="it-IT"/>
                    </w:rPr>
                    <w:t>venitul bazat pe capacitate aferent serviciilor de transport care trebuie obținut din utilizarea rețelei în interiorul sistemului atât în toate punctele de intrare, cât și în toate punctele de ieșire se împarte la valoarea factorului (factorilor) de cost relevant (relevanți) privind capacitatea pentru utilizarea rețelei în interiorul sistemului, pentru a calcula rata capacității în interiorul sistemului, care este definită ca unitate monetară per unitate de măsură, de exemplu euro per MWh/zi, în conformitate cu următoarea formulă:</w:t>
                  </w:r>
                </w:p>
                <w:p w:rsidR="00D146AC" w:rsidRPr="00043955" w:rsidRDefault="00D146AC" w:rsidP="00DA725A">
                  <w:pPr>
                    <w:jc w:val="center"/>
                    <w:rPr>
                      <w:sz w:val="18"/>
                      <w:szCs w:val="18"/>
                    </w:rPr>
                  </w:pPr>
                  <w:r w:rsidRPr="00043955">
                    <w:rPr>
                      <w:noProof/>
                      <w:sz w:val="18"/>
                      <w:szCs w:val="18"/>
                      <w:lang w:eastAsia="en-US"/>
                    </w:rPr>
                    <w:drawing>
                      <wp:inline distT="0" distB="0" distL="0" distR="0" wp14:anchorId="6EC83394" wp14:editId="116FAF6D">
                        <wp:extent cx="1452623" cy="396171"/>
                        <wp:effectExtent l="0" t="0" r="0" b="4445"/>
                        <wp:docPr id="22"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9825" cy="409044"/>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04A9A96A" wp14:editId="7BD4FF8D">
                              <wp:extent cx="1171575" cy="352425"/>
                              <wp:effectExtent l="0" t="0" r="9525" b="9525"/>
                              <wp:docPr id="21" name="Picture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1575" cy="352425"/>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pentru capacitate și se facturează pentru utilizarea rețelei în interiorul sistemului;</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355CBF55" wp14:editId="4224E424">
                              <wp:extent cx="990600" cy="352425"/>
                              <wp:effectExtent l="0" t="0" r="0" b="9525"/>
                              <wp:docPr id="20" name="Picture 2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352425"/>
                                      </a:xfrm>
                                      <a:prstGeom prst="rect">
                                        <a:avLst/>
                                      </a:prstGeom>
                                      <a:noFill/>
                                      <a:ln>
                                        <a:noFill/>
                                      </a:ln>
                                    </pic:spPr>
                                  </pic:pic>
                                </a:graphicData>
                              </a:graphic>
                            </wp:inline>
                          </w:drawing>
                        </w:r>
                        <w:r w:rsidRPr="00D82EE4">
                          <w:rPr>
                            <w:sz w:val="18"/>
                            <w:szCs w:val="18"/>
                            <w:lang w:val="it-IT"/>
                          </w:rPr>
                          <w:t> reprezintă valoarea factorului (factorilor) de cost legat (legați) de capacitate pentru utilizarea rețelei în interiorul sistemului, de exemplu suma capacităților zilnice medii estimate, contractate în fiecare punct sau grup de puncte de intrare din interiorul sistemului și în fiecare punct sau grup de puncte de ieșire din interiorul sistemului, și este definită printr-o unitate de măsură, de exemplu MWh/zi.</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venitul bazat pe capacitate aferent serviciilor de transport care trebuie obținut din utilizarea rețelei între sisteme atât în toate punctele de intrare, cât și în toate punctele de ieșire se împarte la valoarea factorului (factorilor) de cost relevant (relevanți) privind capacitatea pentru utilizarea rețelei între sisteme, pentru a calcula rata capacității între sisteme, care este definită ca unitate monetară per unitate de măsură, de exemplu euro per MWh/zi, în conformitate cu următoarea formulă:</w:t>
                  </w:r>
                </w:p>
                <w:p w:rsidR="00D146AC" w:rsidRPr="00043955" w:rsidRDefault="00D146AC" w:rsidP="00DA725A">
                  <w:pPr>
                    <w:jc w:val="center"/>
                    <w:rPr>
                      <w:sz w:val="18"/>
                      <w:szCs w:val="18"/>
                    </w:rPr>
                  </w:pPr>
                  <w:r w:rsidRPr="00043955">
                    <w:rPr>
                      <w:noProof/>
                      <w:sz w:val="18"/>
                      <w:szCs w:val="18"/>
                      <w:lang w:eastAsia="en-US"/>
                    </w:rPr>
                    <w:drawing>
                      <wp:inline distT="0" distB="0" distL="0" distR="0" wp14:anchorId="1C50FEC4" wp14:editId="6A4A55D4">
                        <wp:extent cx="1510496" cy="391610"/>
                        <wp:effectExtent l="0" t="0" r="0" b="8890"/>
                        <wp:docPr id="19" name="Picture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3757" cy="402826"/>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40CBA1CC" wp14:editId="5F0AEBA5">
                              <wp:extent cx="671332" cy="187093"/>
                              <wp:effectExtent l="0" t="0" r="0" b="3810"/>
                              <wp:docPr id="18" name="Picture 1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568" cy="191618"/>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pentru capacitate și se facturează pentru utilizarea rețelei între sisteme;</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40FEFF4B" wp14:editId="1194BEBC">
                              <wp:extent cx="671332" cy="221605"/>
                              <wp:effectExtent l="0" t="0" r="0" b="7620"/>
                              <wp:docPr id="17" name="Picture 1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5339" cy="232831"/>
                                      </a:xfrm>
                                      <a:prstGeom prst="rect">
                                        <a:avLst/>
                                      </a:prstGeom>
                                      <a:noFill/>
                                      <a:ln>
                                        <a:noFill/>
                                      </a:ln>
                                    </pic:spPr>
                                  </pic:pic>
                                </a:graphicData>
                              </a:graphic>
                            </wp:inline>
                          </w:drawing>
                        </w:r>
                        <w:r w:rsidRPr="00D82EE4">
                          <w:rPr>
                            <w:sz w:val="18"/>
                            <w:szCs w:val="18"/>
                            <w:lang w:val="it-IT"/>
                          </w:rPr>
                          <w:t xml:space="preserve"> reprezintă valoarea factorului (factorilor) de cost legat (legați) de capacitate pentru utilizarea rețelei între sisteme, de exemplu suma capacităților zilnice medii estimate, contractate în </w:t>
                        </w:r>
                        <w:r w:rsidRPr="00D82EE4">
                          <w:rPr>
                            <w:sz w:val="18"/>
                            <w:szCs w:val="18"/>
                            <w:lang w:val="it-IT"/>
                          </w:rPr>
                          <w:lastRenderedPageBreak/>
                          <w:t>fiecare punct sau grup de puncte de intrare și de ieșire între sisteme, și este definită printr-o unitate de măsură, de exemplu MWh/zi;</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Default="00D146AC" w:rsidP="00DA725A">
                  <w:pPr>
                    <w:jc w:val="both"/>
                    <w:rPr>
                      <w:sz w:val="18"/>
                      <w:szCs w:val="18"/>
                      <w:lang w:val="it-IT"/>
                    </w:rPr>
                  </w:pPr>
                  <w:r w:rsidRPr="00D82EE4">
                    <w:rPr>
                      <w:sz w:val="18"/>
                      <w:szCs w:val="18"/>
                      <w:lang w:val="it-IT"/>
                    </w:rPr>
                    <w:t>indicele de comparație a alocării costurilor aferente capacității dintre ratele menționate la literele (a) și (b), definit în procente, se calculează în conformitate cu următoarea formulă:</w:t>
                  </w:r>
                </w:p>
                <w:p w:rsidR="000519C5" w:rsidRPr="00D82EE4" w:rsidRDefault="000519C5" w:rsidP="00DA725A">
                  <w:pPr>
                    <w:jc w:val="both"/>
                    <w:rPr>
                      <w:sz w:val="18"/>
                      <w:szCs w:val="18"/>
                      <w:lang w:val="it-IT"/>
                    </w:rPr>
                  </w:pPr>
                </w:p>
                <w:p w:rsidR="00D146AC" w:rsidRDefault="00D146AC" w:rsidP="00DA725A">
                  <w:pPr>
                    <w:jc w:val="center"/>
                    <w:rPr>
                      <w:sz w:val="18"/>
                      <w:szCs w:val="18"/>
                    </w:rPr>
                  </w:pPr>
                  <w:r w:rsidRPr="00043955">
                    <w:rPr>
                      <w:noProof/>
                      <w:sz w:val="18"/>
                      <w:szCs w:val="18"/>
                      <w:lang w:eastAsia="en-US"/>
                    </w:rPr>
                    <w:drawing>
                      <wp:inline distT="0" distB="0" distL="0" distR="0" wp14:anchorId="1265E7A6" wp14:editId="6A748B5E">
                        <wp:extent cx="2581275" cy="383471"/>
                        <wp:effectExtent l="0" t="0" r="0" b="0"/>
                        <wp:docPr id="16"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8259" cy="388965"/>
                                </a:xfrm>
                                <a:prstGeom prst="rect">
                                  <a:avLst/>
                                </a:prstGeom>
                                <a:noFill/>
                                <a:ln>
                                  <a:noFill/>
                                </a:ln>
                              </pic:spPr>
                            </pic:pic>
                          </a:graphicData>
                        </a:graphic>
                      </wp:inline>
                    </w:drawing>
                  </w:r>
                </w:p>
                <w:p w:rsidR="00B06A7D" w:rsidRDefault="00B06A7D" w:rsidP="00DA725A">
                  <w:pPr>
                    <w:jc w:val="center"/>
                    <w:rPr>
                      <w:sz w:val="18"/>
                      <w:szCs w:val="18"/>
                    </w:rPr>
                  </w:pPr>
                </w:p>
                <w:p w:rsidR="00B06A7D" w:rsidRPr="00043955" w:rsidRDefault="00B06A7D" w:rsidP="00DA725A">
                  <w:pPr>
                    <w:jc w:val="center"/>
                    <w:rPr>
                      <w:sz w:val="18"/>
                      <w:szCs w:val="18"/>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(4)   Evaluarea alocării costurilor menționată la alineatul (1) litera (b) se realizează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Default="00D146AC" w:rsidP="00DA725A">
                  <w:pPr>
                    <w:jc w:val="both"/>
                    <w:rPr>
                      <w:sz w:val="18"/>
                      <w:szCs w:val="18"/>
                      <w:lang w:val="it-IT"/>
                    </w:rPr>
                  </w:pPr>
                  <w:r w:rsidRPr="00D82EE4">
                    <w:rPr>
                      <w:sz w:val="18"/>
                      <w:szCs w:val="18"/>
                      <w:lang w:val="it-IT"/>
                    </w:rPr>
                    <w:t>venitul bazat pe produse aferent serviciilor de transport care trebuie obținut din utilizarea rețelei în interiorul sistemului atât în toate punctele de intrare, cât și în toate punctele de ieșire se împarte la valoarea factorului (factorilor) de cost în cauză legat (legați) de produse pentru utilizarea rețelei în interiorul sistemului, pentru a calcula rata produselor in interiorul sistemului, care este definită ca unitate monetară per unitate de măsură, de exemplu euro per MWh, în conformitate cu următoarea formulă:</w:t>
                  </w:r>
                </w:p>
                <w:p w:rsidR="00645258" w:rsidRPr="00D82EE4" w:rsidRDefault="00645258" w:rsidP="00DA725A">
                  <w:pPr>
                    <w:jc w:val="both"/>
                    <w:rPr>
                      <w:sz w:val="18"/>
                      <w:szCs w:val="18"/>
                      <w:lang w:val="it-IT"/>
                    </w:rPr>
                  </w:pPr>
                </w:p>
                <w:p w:rsidR="00D146AC" w:rsidRPr="00043955" w:rsidRDefault="00D146AC" w:rsidP="00DA725A">
                  <w:pPr>
                    <w:jc w:val="center"/>
                    <w:rPr>
                      <w:sz w:val="18"/>
                      <w:szCs w:val="18"/>
                    </w:rPr>
                  </w:pPr>
                  <w:r w:rsidRPr="00043955">
                    <w:rPr>
                      <w:noProof/>
                      <w:sz w:val="18"/>
                      <w:szCs w:val="18"/>
                      <w:lang w:eastAsia="en-US"/>
                    </w:rPr>
                    <w:drawing>
                      <wp:inline distT="0" distB="0" distL="0" distR="0" wp14:anchorId="14137A9B" wp14:editId="4A533D89">
                        <wp:extent cx="1790700" cy="430323"/>
                        <wp:effectExtent l="0" t="0" r="0" b="8255"/>
                        <wp:docPr id="15"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4269" cy="438390"/>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766C9791" wp14:editId="3EFF9DF9">
                              <wp:extent cx="819150" cy="218857"/>
                              <wp:effectExtent l="0" t="0" r="0" b="0"/>
                              <wp:docPr id="1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2610" cy="227797"/>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volumetrice și se facturează pentru utilizarea rețelei în interiorul sistemului;</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6F5C1C84" wp14:editId="3BBEE399">
                              <wp:extent cx="819150" cy="258291"/>
                              <wp:effectExtent l="0" t="0" r="0" b="8890"/>
                              <wp:docPr id="13"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ul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4754" cy="263211"/>
                                      </a:xfrm>
                                      <a:prstGeom prst="rect">
                                        <a:avLst/>
                                      </a:prstGeom>
                                      <a:noFill/>
                                      <a:ln>
                                        <a:noFill/>
                                      </a:ln>
                                    </pic:spPr>
                                  </pic:pic>
                                </a:graphicData>
                              </a:graphic>
                            </wp:inline>
                          </w:drawing>
                        </w:r>
                        <w:r w:rsidRPr="00D82EE4">
                          <w:rPr>
                            <w:sz w:val="18"/>
                            <w:szCs w:val="18"/>
                            <w:lang w:val="it-IT"/>
                          </w:rPr>
                          <w:t> reprezintă valoarea factorului (factorilor) de cost legat (legați) de produse pentru utilizarea rețelei în interiorul sistemului, de exemplu suma fluxurilor zilnice medii estimate contractate în fiecare punct sau grup de puncte de intrare și de ieșire în interiorul sistemului, și este definit printr-o unitate de măsură, de exemplu MWh.</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Default="00D146AC" w:rsidP="00DA725A">
                  <w:pPr>
                    <w:jc w:val="both"/>
                    <w:rPr>
                      <w:sz w:val="18"/>
                      <w:szCs w:val="18"/>
                      <w:lang w:val="it-IT"/>
                    </w:rPr>
                  </w:pPr>
                  <w:r w:rsidRPr="00D82EE4">
                    <w:rPr>
                      <w:sz w:val="18"/>
                      <w:szCs w:val="18"/>
                      <w:lang w:val="it-IT"/>
                    </w:rPr>
                    <w:t>venitul bazat pe produse aferent serviciilor de transport care trebuie obținut din utilizarea rețelei între sisteme atât în toate punctele de intrare, cât și în toate punctele de ieșire se împarte la valoarea factorului (factorilor) de cost relevanți (legați) de produse pentru utilizarea rețelei între sisteme, pentru a calcula rata produselor între sisteme, care este definită ca unitate monetară per unitate de măsură, de exemplu euro per MWh, în conformitate cu următoarea formulă:</w:t>
                  </w:r>
                </w:p>
                <w:p w:rsidR="00645258" w:rsidRDefault="00645258" w:rsidP="00DA725A">
                  <w:pPr>
                    <w:jc w:val="both"/>
                    <w:rPr>
                      <w:sz w:val="18"/>
                      <w:szCs w:val="18"/>
                      <w:lang w:val="it-IT"/>
                    </w:rPr>
                  </w:pPr>
                </w:p>
                <w:p w:rsidR="00645258" w:rsidRDefault="00645258" w:rsidP="00DA725A">
                  <w:pPr>
                    <w:jc w:val="both"/>
                    <w:rPr>
                      <w:sz w:val="18"/>
                      <w:szCs w:val="18"/>
                      <w:lang w:val="it-IT"/>
                    </w:rPr>
                  </w:pPr>
                </w:p>
                <w:p w:rsidR="00645258" w:rsidRPr="00D82EE4" w:rsidRDefault="00645258" w:rsidP="00DA725A">
                  <w:pPr>
                    <w:jc w:val="both"/>
                    <w:rPr>
                      <w:sz w:val="18"/>
                      <w:szCs w:val="18"/>
                      <w:lang w:val="it-IT"/>
                    </w:rPr>
                  </w:pPr>
                </w:p>
                <w:p w:rsidR="00645258" w:rsidRPr="00485F66" w:rsidRDefault="00645258" w:rsidP="007D690F">
                  <w:pPr>
                    <w:jc w:val="center"/>
                    <w:rPr>
                      <w:sz w:val="18"/>
                      <w:szCs w:val="18"/>
                      <w:lang w:val="it-IT"/>
                    </w:rPr>
                  </w:pPr>
                </w:p>
                <w:p w:rsidR="00D146AC" w:rsidRPr="00043955" w:rsidRDefault="00D146AC" w:rsidP="007D690F">
                  <w:pPr>
                    <w:jc w:val="center"/>
                    <w:rPr>
                      <w:sz w:val="18"/>
                      <w:szCs w:val="18"/>
                    </w:rPr>
                  </w:pPr>
                  <w:r w:rsidRPr="00043955">
                    <w:rPr>
                      <w:noProof/>
                      <w:sz w:val="18"/>
                      <w:szCs w:val="18"/>
                      <w:lang w:eastAsia="en-US"/>
                    </w:rPr>
                    <w:drawing>
                      <wp:inline distT="0" distB="0" distL="0" distR="0" wp14:anchorId="252E30F0" wp14:editId="78181E2F">
                        <wp:extent cx="1790700" cy="409501"/>
                        <wp:effectExtent l="0" t="0" r="0" b="0"/>
                        <wp:docPr id="12"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1040" cy="421013"/>
                                </a:xfrm>
                                <a:prstGeom prst="rect">
                                  <a:avLst/>
                                </a:prstGeom>
                                <a:noFill/>
                                <a:ln>
                                  <a:noFill/>
                                </a:ln>
                              </pic:spPr>
                            </pic:pic>
                          </a:graphicData>
                        </a:graphic>
                      </wp:inline>
                    </w:drawing>
                  </w:r>
                </w:p>
                <w:p w:rsidR="00D146AC" w:rsidRDefault="00D146AC" w:rsidP="00DA725A">
                  <w:pPr>
                    <w:jc w:val="both"/>
                    <w:rPr>
                      <w:sz w:val="18"/>
                      <w:szCs w:val="18"/>
                    </w:rPr>
                  </w:pPr>
                  <w:r w:rsidRPr="00043955">
                    <w:rPr>
                      <w:sz w:val="18"/>
                      <w:szCs w:val="18"/>
                    </w:rPr>
                    <w:t>unde:</w:t>
                  </w:r>
                </w:p>
                <w:p w:rsidR="00645258" w:rsidRPr="00043955" w:rsidRDefault="00645258" w:rsidP="00DA725A">
                  <w:pPr>
                    <w:jc w:val="both"/>
                    <w:rPr>
                      <w:sz w:val="18"/>
                      <w:szCs w:val="18"/>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504AD75A" wp14:editId="62346F49">
                              <wp:extent cx="1000125" cy="236671"/>
                              <wp:effectExtent l="0" t="0" r="0" b="0"/>
                              <wp:docPr id="11"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ul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4818" cy="240148"/>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volumetrice și se facturează pentru utilizarea rețelei între sisteme;</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109E2A53" wp14:editId="1ECA6DB9">
                              <wp:extent cx="819150" cy="228772"/>
                              <wp:effectExtent l="0" t="0" r="0" b="0"/>
                              <wp:docPr id="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3981" cy="232914"/>
                                      </a:xfrm>
                                      <a:prstGeom prst="rect">
                                        <a:avLst/>
                                      </a:prstGeom>
                                      <a:noFill/>
                                      <a:ln>
                                        <a:noFill/>
                                      </a:ln>
                                    </pic:spPr>
                                  </pic:pic>
                                </a:graphicData>
                              </a:graphic>
                            </wp:inline>
                          </w:drawing>
                        </w:r>
                        <w:r w:rsidRPr="00D82EE4">
                          <w:rPr>
                            <w:sz w:val="18"/>
                            <w:szCs w:val="18"/>
                            <w:lang w:val="it-IT"/>
                          </w:rPr>
                          <w:t> este valoarea factorului (factorilor) de cost legat (legați) de produse pentru utilizarea rețelei între sisteme, de exemplu suma fluxurilor zilnice medii estimate contractate în fiecare punct sau grup de puncte de intrare și de ieșire între sisteme, și este definită printr-o unitate de măsură, de exemplu MWh;</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Default="00D146AC" w:rsidP="00DA725A">
                  <w:pPr>
                    <w:jc w:val="both"/>
                    <w:rPr>
                      <w:sz w:val="18"/>
                      <w:szCs w:val="18"/>
                      <w:lang w:val="it-IT"/>
                    </w:rPr>
                  </w:pPr>
                  <w:r w:rsidRPr="00D82EE4">
                    <w:rPr>
                      <w:sz w:val="18"/>
                      <w:szCs w:val="18"/>
                      <w:lang w:val="it-IT"/>
                    </w:rPr>
                    <w:t>indicele de comparație a alocării costurilor aferente produselor dintre ratele menționate la literele (a) și (b), definit în procente, se calculează în conformitate cu următoarea formulă:</w:t>
                  </w:r>
                </w:p>
                <w:p w:rsidR="00645258" w:rsidRDefault="00645258" w:rsidP="00DA725A">
                  <w:pPr>
                    <w:jc w:val="both"/>
                    <w:rPr>
                      <w:sz w:val="18"/>
                      <w:szCs w:val="18"/>
                      <w:lang w:val="it-IT"/>
                    </w:rPr>
                  </w:pPr>
                </w:p>
                <w:p w:rsidR="00645258" w:rsidRDefault="00645258" w:rsidP="00DA725A">
                  <w:pPr>
                    <w:jc w:val="both"/>
                    <w:rPr>
                      <w:sz w:val="18"/>
                      <w:szCs w:val="18"/>
                      <w:lang w:val="it-IT"/>
                    </w:rPr>
                  </w:pPr>
                </w:p>
                <w:p w:rsidR="00645258" w:rsidRPr="00D82EE4" w:rsidRDefault="00645258" w:rsidP="00DA725A">
                  <w:pPr>
                    <w:jc w:val="both"/>
                    <w:rPr>
                      <w:sz w:val="18"/>
                      <w:szCs w:val="18"/>
                      <w:lang w:val="it-IT"/>
                    </w:rPr>
                  </w:pPr>
                </w:p>
                <w:p w:rsidR="00D146AC" w:rsidRPr="00043955" w:rsidRDefault="00D146AC" w:rsidP="00DA725A">
                  <w:pPr>
                    <w:jc w:val="both"/>
                    <w:rPr>
                      <w:sz w:val="18"/>
                      <w:szCs w:val="18"/>
                    </w:rPr>
                  </w:pPr>
                  <w:r w:rsidRPr="00043955">
                    <w:rPr>
                      <w:noProof/>
                      <w:sz w:val="18"/>
                      <w:szCs w:val="18"/>
                      <w:lang w:eastAsia="en-US"/>
                    </w:rPr>
                    <w:drawing>
                      <wp:inline distT="0" distB="0" distL="0" distR="0" wp14:anchorId="56E01531" wp14:editId="6D99E179">
                        <wp:extent cx="2486025" cy="322263"/>
                        <wp:effectExtent l="0" t="0" r="0" b="1905"/>
                        <wp:docPr id="9"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36418" cy="328795"/>
                                </a:xfrm>
                                <a:prstGeom prst="rect">
                                  <a:avLst/>
                                </a:prstGeom>
                                <a:noFill/>
                                <a:ln>
                                  <a:noFill/>
                                </a:ln>
                              </pic:spPr>
                            </pic:pic>
                          </a:graphicData>
                        </a:graphic>
                      </wp:inline>
                    </w:drawing>
                  </w:r>
                </w:p>
              </w:tc>
            </w:tr>
          </w:tbl>
          <w:p w:rsidR="00D21FCC" w:rsidRDefault="00D21FCC"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(5)   Venitul aferent serviciilor de transport care trebuie obținut din utilizarea rețelei în interiorul sistemului în punctele de intrare menționate la alineatul (3) litera (a) și la alineatul (4) litera (a) se calculează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volumul capacității alocate sau, respectiv, al fluxurilor atribuite furnizării de servicii de transport utilizatorilor transfrontalieri ai rețelei în toate punctele de intrare este considerat a fi egal cu volumul capacității sau, respectiv, al fluxurilor atribuite furnizării de servicii de transport pentru utilizarea rețelei între sisteme în toate punctele de ieșire;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capacitatea și, respectiv, fluxurile, determinate în conformitate cu litera (a) de la prezentul alineat, se utilizează pentru a calcula venitul aferent serviciilor de transport care trebuie obținut din utilizarea rețelei între sisteme în punctele de intrare;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Pr="00043955" w:rsidRDefault="00D146AC" w:rsidP="00DA725A">
                  <w:pPr>
                    <w:jc w:val="both"/>
                    <w:rPr>
                      <w:sz w:val="18"/>
                      <w:szCs w:val="18"/>
                    </w:rPr>
                  </w:pPr>
                  <w:r w:rsidRPr="00043955">
                    <w:rPr>
                      <w:sz w:val="18"/>
                      <w:szCs w:val="18"/>
                    </w:rPr>
                    <w:t>diferența dintre venitul total aferent serviciilor de transport care trebuie obținut în punctele de intrare și valoarea rezultată menționată la litera (b) de la prezentul alineat este egală cu venitul aferent serviciilor de transport care se obține din utilizarea rețelei în interiorul sistemului în punctele de intrare.</w:t>
                  </w:r>
                </w:p>
              </w:tc>
            </w:tr>
          </w:tbl>
          <w:p w:rsidR="00D21FCC" w:rsidRDefault="00D21FCC" w:rsidP="00DA725A">
            <w:pPr>
              <w:shd w:val="clear" w:color="auto" w:fill="FFFFFF"/>
              <w:jc w:val="both"/>
              <w:rPr>
                <w:sz w:val="18"/>
                <w:szCs w:val="18"/>
              </w:rPr>
            </w:pPr>
          </w:p>
          <w:p w:rsidR="00D146AC" w:rsidRPr="00043955" w:rsidRDefault="00D146AC" w:rsidP="00DA725A">
            <w:pPr>
              <w:shd w:val="clear" w:color="auto" w:fill="FFFFFF"/>
              <w:jc w:val="both"/>
              <w:rPr>
                <w:b/>
                <w:bCs/>
                <w:sz w:val="18"/>
                <w:szCs w:val="18"/>
              </w:rPr>
            </w:pPr>
            <w:r w:rsidRPr="00043955">
              <w:rPr>
                <w:sz w:val="18"/>
                <w:szCs w:val="18"/>
              </w:rPr>
              <w:lastRenderedPageBreak/>
              <w:t>(6)   În cazul în care distanța este utilizată ca factor de cost în combinație cu capacitatea contractată tehnică sau estimată ori cu fluxurile tehnice sau estimate, se utilizează distanța medie ponderată în funcție de capacitate sau, respectiv, distanța medie ponderată în funcție de produse. În cazul în care rezultatele indicilor de comparație a alocării costurilor aferente capacității sau, respectiv, produselor menționați la alineatul (3) litera (c) sau, respectiv, la alineatul (4) litera (c), depășesc 10 procente, autoritatea națională de reglementare furnizează justificarea acestor rezultate în decizia menționată la articolul 27 alineatul (4).</w:t>
            </w:r>
          </w:p>
        </w:tc>
        <w:tc>
          <w:tcPr>
            <w:tcW w:w="4962" w:type="dxa"/>
          </w:tcPr>
          <w:p w:rsidR="00AB12CA" w:rsidRPr="00AB12CA" w:rsidRDefault="00AB12CA" w:rsidP="00AB12CA">
            <w:pPr>
              <w:jc w:val="center"/>
              <w:rPr>
                <w:b/>
                <w:sz w:val="18"/>
                <w:szCs w:val="18"/>
              </w:rPr>
            </w:pPr>
            <w:r w:rsidRPr="00AB12CA">
              <w:rPr>
                <w:b/>
                <w:bCs/>
                <w:sz w:val="18"/>
                <w:szCs w:val="18"/>
              </w:rPr>
              <w:lastRenderedPageBreak/>
              <w:t>Secţiunea 3</w:t>
            </w:r>
          </w:p>
          <w:p w:rsidR="00AB12CA" w:rsidRPr="00AB12CA" w:rsidRDefault="00AB12CA" w:rsidP="00AB12CA">
            <w:pPr>
              <w:jc w:val="center"/>
              <w:rPr>
                <w:b/>
                <w:sz w:val="18"/>
                <w:szCs w:val="18"/>
              </w:rPr>
            </w:pPr>
            <w:r w:rsidRPr="00AB12CA">
              <w:rPr>
                <w:b/>
                <w:bCs/>
                <w:sz w:val="18"/>
                <w:szCs w:val="18"/>
              </w:rPr>
              <w:t>Evaluarea alocării costurilor</w:t>
            </w:r>
          </w:p>
          <w:p w:rsidR="00D146AC" w:rsidRPr="00043955" w:rsidRDefault="00D146AC" w:rsidP="00DA725A">
            <w:pPr>
              <w:jc w:val="both"/>
              <w:rPr>
                <w:b/>
                <w:sz w:val="18"/>
                <w:szCs w:val="18"/>
                <w:lang w:val="ro-RO"/>
              </w:rPr>
            </w:pPr>
          </w:p>
          <w:p w:rsidR="00AB12CA" w:rsidRPr="00AB12CA" w:rsidRDefault="00AB12CA" w:rsidP="00AB12CA">
            <w:pPr>
              <w:tabs>
                <w:tab w:val="left" w:pos="567"/>
                <w:tab w:val="left" w:pos="1134"/>
              </w:tabs>
              <w:jc w:val="both"/>
              <w:outlineLvl w:val="0"/>
              <w:rPr>
                <w:sz w:val="18"/>
                <w:szCs w:val="18"/>
              </w:rPr>
            </w:pPr>
            <w:r w:rsidRPr="00AB12CA">
              <w:rPr>
                <w:b/>
                <w:bCs/>
                <w:sz w:val="18"/>
                <w:szCs w:val="18"/>
              </w:rPr>
              <w:t>327.</w:t>
            </w:r>
            <w:r w:rsidRPr="00AB12CA">
              <w:rPr>
                <w:sz w:val="18"/>
                <w:szCs w:val="18"/>
              </w:rPr>
              <w:t xml:space="preserve"> Agenţia sau OST desemnat de Agenţie efectuează următoarele evaluări şi le publică în cadrul consultării finale menţionate la pct.394-399:</w:t>
            </w:r>
          </w:p>
          <w:p w:rsidR="00AB12CA" w:rsidRPr="00AB12CA" w:rsidRDefault="00AB12CA" w:rsidP="00AB12CA">
            <w:pPr>
              <w:tabs>
                <w:tab w:val="left" w:pos="567"/>
                <w:tab w:val="left" w:pos="1134"/>
              </w:tabs>
              <w:jc w:val="both"/>
              <w:outlineLvl w:val="0"/>
              <w:rPr>
                <w:sz w:val="18"/>
                <w:szCs w:val="18"/>
              </w:rPr>
            </w:pPr>
            <w:r w:rsidRPr="00AB12CA">
              <w:rPr>
                <w:sz w:val="18"/>
                <w:szCs w:val="18"/>
              </w:rPr>
              <w:t>1) o evaluare a alocării costurilor referitoare la venitul aferent serviciilor de transport, care trebuie recuperat prin tarife pentru serviciul de transport bazate pe capacitate şi care se bazează exclusiv pe următorii factori de cost:</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a) capacitatea tehnică;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b) capacitatea contractată prognozată;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c) capacitatea tehnică şi distanţa;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d) capacitatea contractată prognozată şi distanţa.</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2) o evaluare a alocării costurilor referitoare la venitul aferent serviciilor de transport, care trebuie recuperat prin tarife volumetrice, dacă este cazul, şi care se bazează exclusiv pe următorii factori de cost:</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a) volumul fluxurilor de gaze naturale;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b) volumul fluxurilor de gaze naturale şi distanţa.</w:t>
            </w:r>
          </w:p>
          <w:p w:rsidR="00D21C14" w:rsidRPr="00380C00" w:rsidRDefault="00D21C14" w:rsidP="00AB12CA">
            <w:pPr>
              <w:tabs>
                <w:tab w:val="left" w:pos="567"/>
                <w:tab w:val="left" w:pos="1134"/>
              </w:tabs>
              <w:jc w:val="both"/>
              <w:outlineLvl w:val="0"/>
              <w:rPr>
                <w:b/>
                <w:bCs/>
                <w:sz w:val="18"/>
                <w:szCs w:val="18"/>
                <w:lang w:val="it-IT"/>
              </w:rPr>
            </w:pPr>
          </w:p>
          <w:p w:rsidR="00AB12CA" w:rsidRPr="00380C00" w:rsidRDefault="00AB12CA" w:rsidP="00AB12CA">
            <w:pPr>
              <w:tabs>
                <w:tab w:val="left" w:pos="567"/>
                <w:tab w:val="left" w:pos="1134"/>
              </w:tabs>
              <w:jc w:val="both"/>
              <w:outlineLvl w:val="0"/>
              <w:rPr>
                <w:sz w:val="18"/>
                <w:szCs w:val="18"/>
                <w:lang w:val="it-IT"/>
              </w:rPr>
            </w:pPr>
            <w:r w:rsidRPr="00380C00">
              <w:rPr>
                <w:b/>
                <w:bCs/>
                <w:sz w:val="18"/>
                <w:szCs w:val="18"/>
                <w:lang w:val="it-IT"/>
              </w:rPr>
              <w:t>328.</w:t>
            </w:r>
            <w:r w:rsidRPr="00380C00">
              <w:rPr>
                <w:sz w:val="18"/>
                <w:szCs w:val="18"/>
                <w:lang w:val="it-IT"/>
              </w:rPr>
              <w:t xml:space="preserve"> Evaluările alocării costurilor indică nivelul subvenţiilor încrucişate între utilizarea reţelei în interiorul sistemului şi utilizarea reţelei între sisteme pe baza metodei de calculare a preţurilor de referinţă.</w:t>
            </w:r>
          </w:p>
          <w:p w:rsidR="00D21C14" w:rsidRPr="00380C00" w:rsidRDefault="00D21C14" w:rsidP="00AB12CA">
            <w:pPr>
              <w:tabs>
                <w:tab w:val="left" w:pos="567"/>
                <w:tab w:val="left" w:pos="1134"/>
              </w:tabs>
              <w:jc w:val="both"/>
              <w:outlineLvl w:val="0"/>
              <w:rPr>
                <w:b/>
                <w:bCs/>
                <w:sz w:val="18"/>
                <w:szCs w:val="18"/>
                <w:lang w:val="it-IT"/>
              </w:rPr>
            </w:pPr>
          </w:p>
          <w:p w:rsidR="00AB12CA" w:rsidRPr="00380C00" w:rsidRDefault="00AB12CA" w:rsidP="00AB12CA">
            <w:pPr>
              <w:tabs>
                <w:tab w:val="left" w:pos="567"/>
                <w:tab w:val="left" w:pos="1134"/>
              </w:tabs>
              <w:jc w:val="both"/>
              <w:outlineLvl w:val="0"/>
              <w:rPr>
                <w:b/>
                <w:bCs/>
                <w:sz w:val="18"/>
                <w:szCs w:val="18"/>
                <w:lang w:val="it-IT"/>
              </w:rPr>
            </w:pPr>
            <w:r w:rsidRPr="00380C00">
              <w:rPr>
                <w:b/>
                <w:bCs/>
                <w:sz w:val="18"/>
                <w:szCs w:val="18"/>
                <w:lang w:val="it-IT"/>
              </w:rPr>
              <w:t>329.</w:t>
            </w:r>
            <w:r w:rsidRPr="00380C00">
              <w:rPr>
                <w:sz w:val="18"/>
                <w:szCs w:val="18"/>
                <w:lang w:val="it-IT"/>
              </w:rPr>
              <w:t xml:space="preserve"> Evaluarea alocării costurilor, menţionată la pct.328, se realizează după cum urmează:</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lastRenderedPageBreak/>
              <w:t>1) venitul bazat pe capacitate, aferent serviciilor de transport care trebuie obţinut din utilizarea reţelei în interiorul sistemului, atât în toate punctele de intrare, cât şi în toate punctele de ieşire, se împarte la valoarea factorilor de cost relevanţi privind capacitatea pentru utilizarea reţelei în interiorul sistemului, pentru a calcula rata capacităţii în interiorul sistemului, care este definită ca unitate monetară per unitate de măsură, de exemplu în MDL sau EURO per MWh/zi, în conformitate cu următoarea formulă:</w:t>
            </w:r>
          </w:p>
          <w:p w:rsidR="00D146AC" w:rsidRPr="0073175E" w:rsidRDefault="00B4622F" w:rsidP="00AB12CA">
            <w:pPr>
              <w:tabs>
                <w:tab w:val="left" w:pos="1134"/>
              </w:tabs>
              <w:jc w:val="center"/>
              <w:rPr>
                <w:sz w:val="18"/>
                <w:szCs w:val="18"/>
              </w:rPr>
            </w:pPr>
            <w:r>
              <w:object w:dxaOrig="249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43.75pt" o:ole="">
                  <v:imagedata r:id="rId35" o:title=""/>
                </v:shape>
                <o:OLEObject Type="Embed" ProgID="PBrush" ShapeID="_x0000_i1025" DrawAspect="Content" ObjectID="_1837326461" r:id="rId36"/>
              </w:object>
            </w:r>
          </w:p>
          <w:p w:rsidR="00D146AC" w:rsidRPr="00043955" w:rsidRDefault="00D146AC" w:rsidP="00DA725A">
            <w:pPr>
              <w:tabs>
                <w:tab w:val="left" w:pos="1134"/>
              </w:tabs>
              <w:ind w:firstLine="567"/>
              <w:jc w:val="both"/>
              <w:rPr>
                <w:sz w:val="18"/>
                <w:szCs w:val="18"/>
                <w:lang w:val="ro-RO"/>
              </w:rPr>
            </w:pPr>
            <w:r w:rsidRPr="00043955">
              <w:rPr>
                <w:sz w:val="18"/>
                <w:szCs w:val="18"/>
                <w:lang w:val="ro-RO"/>
              </w:rPr>
              <w:t>unde:</w:t>
            </w:r>
          </w:p>
          <w:p w:rsidR="00543DEC" w:rsidRDefault="00940A67" w:rsidP="00543DEC">
            <w:pPr>
              <w:tabs>
                <w:tab w:val="left" w:pos="1134"/>
              </w:tabs>
              <w:jc w:val="both"/>
              <w:rPr>
                <w:sz w:val="18"/>
                <w:szCs w:val="18"/>
                <w:lang w:val="ro-RO"/>
              </w:rPr>
            </w:pPr>
            <w:r w:rsidRPr="00380C00">
              <w:rPr>
                <w:rFonts w:eastAsiaTheme="minorEastAsia"/>
                <w:sz w:val="24"/>
                <w:szCs w:val="24"/>
                <w:lang w:val="it-IT" w:eastAsia="en-US"/>
              </w:rPr>
              <w:t xml:space="preserve"> </w:t>
            </w:r>
            <m:oMath>
              <m:sSubSup>
                <m:sSubSupPr>
                  <m:ctrlPr>
                    <w:rPr>
                      <w:rFonts w:ascii="Cambria Math" w:eastAsiaTheme="minorEastAsia" w:hAnsi="Cambria Math"/>
                      <w:b/>
                      <w:i/>
                      <w:sz w:val="24"/>
                      <w:szCs w:val="24"/>
                      <w:lang w:eastAsia="en-US"/>
                    </w:rPr>
                  </m:ctrlPr>
                </m:sSubSupPr>
                <m:e>
                  <m:r>
                    <m:rPr>
                      <m:sty m:val="bi"/>
                    </m:rPr>
                    <w:rPr>
                      <w:rFonts w:ascii="Cambria Math" w:eastAsiaTheme="minorEastAsia" w:hAnsi="Cambria Math"/>
                      <w:sz w:val="24"/>
                      <w:szCs w:val="24"/>
                      <w:lang w:eastAsia="en-US"/>
                    </w:rPr>
                    <m:t>V</m:t>
                  </m:r>
                </m:e>
                <m:sub>
                  <m:r>
                    <m:rPr>
                      <m:sty m:val="bi"/>
                    </m:rPr>
                    <w:rPr>
                      <w:rFonts w:ascii="Cambria Math" w:eastAsiaTheme="minorEastAsia" w:hAnsi="Cambria Math"/>
                      <w:sz w:val="24"/>
                      <w:szCs w:val="24"/>
                      <w:lang w:eastAsia="en-US"/>
                    </w:rPr>
                    <m:t>cap</m:t>
                  </m:r>
                </m:sub>
                <m:sup>
                  <m:r>
                    <m:rPr>
                      <m:sty m:val="bi"/>
                    </m:rPr>
                    <w:rPr>
                      <w:rFonts w:ascii="Cambria Math" w:eastAsiaTheme="minorEastAsia" w:hAnsi="Cambria Math"/>
                      <w:sz w:val="24"/>
                      <w:szCs w:val="24"/>
                      <w:lang w:eastAsia="en-US"/>
                    </w:rPr>
                    <m:t>Int</m:t>
                  </m:r>
                </m:sup>
              </m:sSubSup>
            </m:oMath>
            <w:r w:rsidRPr="00380C00">
              <w:rPr>
                <w:sz w:val="18"/>
                <w:szCs w:val="18"/>
                <w:lang w:val="it-IT"/>
              </w:rPr>
              <w:t>reprezintă venitul, în MDL sau EURO, care se obţine din tarifele pentru capacitate şi se facturează pentru utilizarea reţelei în interiorul sistemului;</w:t>
            </w:r>
          </w:p>
          <w:p w:rsidR="00D146AC" w:rsidRPr="00043955" w:rsidRDefault="00D146AC" w:rsidP="00543DEC">
            <w:pPr>
              <w:tabs>
                <w:tab w:val="left" w:pos="1134"/>
              </w:tabs>
              <w:jc w:val="both"/>
              <w:rPr>
                <w:sz w:val="18"/>
                <w:szCs w:val="18"/>
                <w:lang w:val="ro-RO"/>
              </w:rPr>
            </w:pPr>
            <w:r w:rsidRPr="00043955">
              <w:rPr>
                <w:sz w:val="18"/>
                <w:szCs w:val="18"/>
                <w:lang w:val="ro-RO"/>
              </w:rPr>
              <w:t xml:space="preserve">   </w:t>
            </w:r>
            <m:oMath>
              <m:sSubSup>
                <m:sSubSupPr>
                  <m:ctrlPr>
                    <w:rPr>
                      <w:rFonts w:ascii="Cambria Math" w:eastAsiaTheme="minorEastAsia" w:hAnsi="Cambria Math"/>
                      <w:b/>
                      <w:i/>
                      <w:sz w:val="24"/>
                      <w:szCs w:val="24"/>
                      <w:lang w:eastAsia="en-US"/>
                    </w:rPr>
                  </m:ctrlPr>
                </m:sSubSupPr>
                <m:e>
                  <m:r>
                    <m:rPr>
                      <m:sty m:val="bi"/>
                    </m:rPr>
                    <w:rPr>
                      <w:rFonts w:ascii="Cambria Math" w:eastAsiaTheme="minorEastAsia" w:hAnsi="Cambria Math"/>
                      <w:sz w:val="24"/>
                      <w:szCs w:val="24"/>
                      <w:lang w:eastAsia="en-US"/>
                    </w:rPr>
                    <m:t>Cost</m:t>
                  </m:r>
                </m:e>
                <m:sub>
                  <m:r>
                    <m:rPr>
                      <m:sty m:val="bi"/>
                    </m:rPr>
                    <w:rPr>
                      <w:rFonts w:ascii="Cambria Math" w:eastAsiaTheme="minorEastAsia" w:hAnsi="Cambria Math"/>
                      <w:sz w:val="24"/>
                      <w:szCs w:val="24"/>
                      <w:lang w:eastAsia="en-US"/>
                    </w:rPr>
                    <m:t>cap</m:t>
                  </m:r>
                </m:sub>
                <m:sup>
                  <m:r>
                    <m:rPr>
                      <m:sty m:val="bi"/>
                    </m:rPr>
                    <w:rPr>
                      <w:rFonts w:ascii="Cambria Math" w:eastAsiaTheme="minorEastAsia" w:hAnsi="Cambria Math"/>
                      <w:sz w:val="24"/>
                      <w:szCs w:val="24"/>
                      <w:lang w:eastAsia="en-US"/>
                    </w:rPr>
                    <m:t>Int</m:t>
                  </m:r>
                </m:sup>
              </m:sSubSup>
            </m:oMath>
            <w:r w:rsidR="00940A67" w:rsidRPr="00380C00">
              <w:rPr>
                <w:rFonts w:eastAsiaTheme="minorEastAsia"/>
                <w:sz w:val="24"/>
                <w:szCs w:val="24"/>
                <w:lang w:val="it-IT" w:eastAsia="en-US"/>
              </w:rPr>
              <w:t xml:space="preserve"> </w:t>
            </w:r>
            <w:r w:rsidR="00940A67" w:rsidRPr="00380C00">
              <w:rPr>
                <w:sz w:val="18"/>
                <w:szCs w:val="18"/>
                <w:lang w:val="it-IT"/>
              </w:rPr>
              <w:t xml:space="preserve">reprezintă valoarea factorilor de cost ce ţin de capacitate pentru utilizarea reţelei în interiorul sistemului, de exemplu suma capacităţilor zilnice medii prognozate, contractate în fiecare punct sau grup de puncte de intrare din interiorul sistemului şi în fiecare punct sau grup de puncte de ieşire din interiorul sistemului, şi este definită printr-o unitate de măsură, de exemplu </w:t>
            </w:r>
            <w:r w:rsidR="00940A67" w:rsidRPr="00380C00">
              <w:rPr>
                <w:b/>
                <w:bCs/>
                <w:sz w:val="18"/>
                <w:szCs w:val="18"/>
                <w:lang w:val="it-IT"/>
              </w:rPr>
              <w:t>MWh/zi.</w:t>
            </w:r>
          </w:p>
          <w:p w:rsidR="00940A67" w:rsidRPr="00380C00" w:rsidRDefault="00940A67" w:rsidP="00940A67">
            <w:pPr>
              <w:tabs>
                <w:tab w:val="left" w:pos="1134"/>
              </w:tabs>
              <w:ind w:firstLine="993"/>
              <w:jc w:val="both"/>
              <w:rPr>
                <w:sz w:val="18"/>
                <w:szCs w:val="18"/>
                <w:lang w:val="it-IT"/>
              </w:rPr>
            </w:pPr>
            <w:r w:rsidRPr="00380C00">
              <w:rPr>
                <w:sz w:val="18"/>
                <w:szCs w:val="18"/>
                <w:lang w:val="it-IT"/>
              </w:rPr>
              <w:t xml:space="preserve">2) venitul bazat pe capacitate aferent serviciilor de transport care trebuie obţinut din utilizarea reţelei între sisteme, atât în toate punctele de intrare, cât şi în toate punctele de ieşire, se împarte la valoarea factorilor de cost privind capacitatea pentru utilizarea reţelei între sisteme, pentru a calcula rata capacităţii între sisteme, în MDL sau EURO </w:t>
            </w:r>
            <w:r w:rsidRPr="00380C00">
              <w:rPr>
                <w:b/>
                <w:bCs/>
                <w:sz w:val="18"/>
                <w:szCs w:val="18"/>
                <w:lang w:val="it-IT"/>
              </w:rPr>
              <w:t>per MWh/zi</w:t>
            </w:r>
            <w:r w:rsidRPr="00380C00">
              <w:rPr>
                <w:sz w:val="18"/>
                <w:szCs w:val="18"/>
                <w:lang w:val="it-IT"/>
              </w:rPr>
              <w:t>, în conformitate cu următoarea formulă:</w:t>
            </w:r>
          </w:p>
          <w:p w:rsidR="00D146AC" w:rsidRPr="008B5D6F" w:rsidRDefault="00B4622F" w:rsidP="00720C8C">
            <w:pPr>
              <w:tabs>
                <w:tab w:val="left" w:pos="1134"/>
              </w:tabs>
              <w:jc w:val="center"/>
              <w:rPr>
                <w:sz w:val="18"/>
                <w:szCs w:val="18"/>
              </w:rPr>
            </w:pPr>
            <w:r>
              <w:object w:dxaOrig="2760" w:dyaOrig="1230">
                <v:shape id="_x0000_i1026" type="#_x0000_t75" style="width:111.75pt;height:49.45pt" o:ole="">
                  <v:imagedata r:id="rId37" o:title=""/>
                </v:shape>
                <o:OLEObject Type="Embed" ProgID="PBrush" ShapeID="_x0000_i1026" DrawAspect="Content" ObjectID="_1837326462" r:id="rId38"/>
              </w:object>
            </w:r>
          </w:p>
          <w:p w:rsidR="00D146AC" w:rsidRPr="00043955" w:rsidRDefault="00D146AC" w:rsidP="00071B57">
            <w:pPr>
              <w:tabs>
                <w:tab w:val="left" w:pos="1134"/>
              </w:tabs>
              <w:jc w:val="both"/>
              <w:rPr>
                <w:sz w:val="18"/>
                <w:szCs w:val="18"/>
                <w:lang w:val="ro-RO"/>
              </w:rPr>
            </w:pPr>
            <w:r w:rsidRPr="00043955">
              <w:rPr>
                <w:sz w:val="18"/>
                <w:szCs w:val="18"/>
                <w:lang w:val="ro-RO"/>
              </w:rPr>
              <w:t>unde:</w:t>
            </w:r>
          </w:p>
          <w:p w:rsidR="00940A67" w:rsidRDefault="00D146AC" w:rsidP="00940A67">
            <w:pPr>
              <w:tabs>
                <w:tab w:val="left" w:pos="1134"/>
              </w:tabs>
              <w:jc w:val="both"/>
              <w:rPr>
                <w:sz w:val="18"/>
                <w:szCs w:val="18"/>
                <w:lang w:val="ro-RO"/>
              </w:rPr>
            </w:pPr>
            <w:r w:rsidRPr="00043955">
              <w:rPr>
                <w:sz w:val="18"/>
                <w:szCs w:val="18"/>
                <w:lang w:val="ro-RO"/>
              </w:rPr>
              <w:t xml:space="preserve">  </w:t>
            </w: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VT</m:t>
                  </m:r>
                </m:e>
                <m:sub>
                  <m:r>
                    <w:rPr>
                      <w:rFonts w:ascii="Cambria Math" w:eastAsiaTheme="minorEastAsia" w:hAnsi="Cambria Math"/>
                      <w:sz w:val="24"/>
                      <w:szCs w:val="24"/>
                      <w:lang w:eastAsia="en-US"/>
                    </w:rPr>
                    <m:t>cap</m:t>
                  </m:r>
                </m:sub>
                <m:sup>
                  <m:r>
                    <w:rPr>
                      <w:rFonts w:ascii="Cambria Math" w:eastAsiaTheme="minorEastAsia" w:hAnsi="Cambria Math"/>
                      <w:sz w:val="24"/>
                      <w:szCs w:val="24"/>
                      <w:lang w:eastAsia="en-US"/>
                    </w:rPr>
                    <m:t>cross</m:t>
                  </m:r>
                </m:sup>
              </m:sSubSup>
            </m:oMath>
            <w:r w:rsidRPr="00043955">
              <w:rPr>
                <w:sz w:val="18"/>
                <w:szCs w:val="18"/>
                <w:lang w:val="ro-RO"/>
              </w:rPr>
              <w:t xml:space="preserve"> reprezintă venitul, definit printr-o unitate monetară, de exemplu EURO sau MDL, care se obține din tarifele pentru capacitate și se facturează pentru utilizarea rețelei între sisteme;</w:t>
            </w:r>
          </w:p>
          <w:p w:rsidR="00543DEC" w:rsidRDefault="00543DEC" w:rsidP="00940A67">
            <w:pPr>
              <w:tabs>
                <w:tab w:val="left" w:pos="1134"/>
              </w:tabs>
              <w:jc w:val="both"/>
              <w:rPr>
                <w:sz w:val="18"/>
                <w:szCs w:val="18"/>
                <w:lang w:val="ro-RO"/>
              </w:rPr>
            </w:pPr>
          </w:p>
          <w:p w:rsidR="00D146AC" w:rsidRPr="00043955" w:rsidRDefault="00A3101C" w:rsidP="00940A67">
            <w:pPr>
              <w:tabs>
                <w:tab w:val="left" w:pos="1134"/>
              </w:tabs>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Cost</m:t>
                  </m:r>
                </m:e>
                <m:sub>
                  <m:r>
                    <w:rPr>
                      <w:rFonts w:ascii="Cambria Math" w:eastAsiaTheme="minorEastAsia" w:hAnsi="Cambria Math"/>
                      <w:sz w:val="24"/>
                      <w:szCs w:val="24"/>
                      <w:lang w:eastAsia="en-US"/>
                    </w:rPr>
                    <m:t>cap</m:t>
                  </m:r>
                </m:sub>
                <m:sup>
                  <m:r>
                    <w:rPr>
                      <w:rFonts w:ascii="Cambria Math" w:eastAsiaTheme="minorEastAsia" w:hAnsi="Cambria Math"/>
                      <w:sz w:val="24"/>
                      <w:szCs w:val="24"/>
                      <w:lang w:eastAsia="en-US"/>
                    </w:rPr>
                    <m:t>cross</m:t>
                  </m:r>
                </m:sup>
              </m:sSubSup>
            </m:oMath>
            <w:r w:rsidR="00D146AC" w:rsidRPr="00043955">
              <w:rPr>
                <w:sz w:val="18"/>
                <w:szCs w:val="18"/>
                <w:lang w:val="ro-RO"/>
              </w:rPr>
              <w:t xml:space="preserve"> reprezintă valoarea factorilor de cost legați de capacitate pentru utilizarea rețelei în interiorul sistemelor, de exemplu suma capacităților zilnice medii estimate, contractate în fiecare punct sau grup de puncte de intrare și de ieșire între </w:t>
            </w:r>
            <w:r w:rsidR="00D146AC" w:rsidRPr="00043955">
              <w:rPr>
                <w:sz w:val="18"/>
                <w:szCs w:val="18"/>
                <w:lang w:val="ro-RO"/>
              </w:rPr>
              <w:lastRenderedPageBreak/>
              <w:t xml:space="preserve">sisteme, și este definită printr-o unitate de măsură, de exemplu </w:t>
            </w:r>
            <w:r w:rsidR="00D146AC" w:rsidRPr="00043955">
              <w:rPr>
                <w:b/>
                <w:sz w:val="18"/>
                <w:szCs w:val="18"/>
                <w:lang w:val="ro-RO"/>
              </w:rPr>
              <w:t>MWh/zi;</w:t>
            </w:r>
          </w:p>
          <w:p w:rsidR="00D146AC" w:rsidRPr="00043955" w:rsidRDefault="00D146AC" w:rsidP="00DA725A">
            <w:pPr>
              <w:tabs>
                <w:tab w:val="left" w:pos="1134"/>
              </w:tabs>
              <w:ind w:firstLine="567"/>
              <w:jc w:val="both"/>
              <w:rPr>
                <w:sz w:val="18"/>
                <w:szCs w:val="18"/>
                <w:lang w:val="ro-RO"/>
              </w:rPr>
            </w:pPr>
          </w:p>
          <w:p w:rsidR="00D146AC" w:rsidRPr="00043955" w:rsidRDefault="00D146AC" w:rsidP="00DA725A">
            <w:pPr>
              <w:tabs>
                <w:tab w:val="left" w:pos="1134"/>
              </w:tabs>
              <w:ind w:firstLine="993"/>
              <w:jc w:val="both"/>
              <w:rPr>
                <w:sz w:val="18"/>
                <w:szCs w:val="18"/>
                <w:lang w:val="ro-RO"/>
              </w:rPr>
            </w:pPr>
            <w:r w:rsidRPr="00043955">
              <w:rPr>
                <w:sz w:val="18"/>
                <w:szCs w:val="18"/>
                <w:lang w:val="ro-RO"/>
              </w:rPr>
              <w:t>3) indicele de comparație a alocării costurilor aferente capacității dintre ratele menționate la subpuct. 1 și 2. , definit în procente, se calculează în conformitate cu următoarea formulă:</w:t>
            </w:r>
          </w:p>
          <w:p w:rsidR="00D146AC" w:rsidRPr="00043955" w:rsidRDefault="00D146AC" w:rsidP="00DA725A">
            <w:pPr>
              <w:tabs>
                <w:tab w:val="left" w:pos="1134"/>
              </w:tabs>
              <w:ind w:firstLine="567"/>
              <w:jc w:val="both"/>
              <w:rPr>
                <w:sz w:val="18"/>
                <w:szCs w:val="18"/>
                <w:lang w:val="ro-RO"/>
              </w:rPr>
            </w:pPr>
          </w:p>
          <w:p w:rsidR="00D146AC" w:rsidRPr="008B5D6F" w:rsidRDefault="0095413C" w:rsidP="00DA725A">
            <w:pPr>
              <w:tabs>
                <w:tab w:val="left" w:pos="1134"/>
              </w:tabs>
              <w:ind w:firstLine="567"/>
              <w:jc w:val="center"/>
              <w:rPr>
                <w:sz w:val="18"/>
                <w:szCs w:val="18"/>
              </w:rPr>
            </w:pPr>
            <w:r>
              <w:object w:dxaOrig="4860" w:dyaOrig="915">
                <v:shape id="_x0000_i1027" type="#_x0000_t75" style="width:170.5pt;height:32.25pt" o:ole="">
                  <v:imagedata r:id="rId39" o:title=""/>
                </v:shape>
                <o:OLEObject Type="Embed" ProgID="PBrush" ShapeID="_x0000_i1027" DrawAspect="Content" ObjectID="_1837326463" r:id="rId40"/>
              </w:object>
            </w:r>
          </w:p>
          <w:p w:rsidR="00D146AC" w:rsidRDefault="00D146AC" w:rsidP="00DA725A">
            <w:pPr>
              <w:tabs>
                <w:tab w:val="left" w:pos="1134"/>
              </w:tabs>
              <w:ind w:firstLine="567"/>
              <w:jc w:val="both"/>
              <w:rPr>
                <w:sz w:val="18"/>
                <w:szCs w:val="18"/>
                <w:lang w:val="ro-RO"/>
              </w:rPr>
            </w:pPr>
            <w:r w:rsidRPr="00043955">
              <w:rPr>
                <w:sz w:val="18"/>
                <w:szCs w:val="18"/>
                <w:lang w:val="ro-RO"/>
              </w:rPr>
              <w:t xml:space="preserve"> </w:t>
            </w:r>
          </w:p>
          <w:p w:rsidR="00B06A7D" w:rsidRDefault="00B06A7D" w:rsidP="00DA725A">
            <w:pPr>
              <w:tabs>
                <w:tab w:val="left" w:pos="1134"/>
              </w:tabs>
              <w:ind w:firstLine="567"/>
              <w:jc w:val="both"/>
              <w:rPr>
                <w:sz w:val="18"/>
                <w:szCs w:val="18"/>
                <w:lang w:val="ro-RO"/>
              </w:rPr>
            </w:pPr>
          </w:p>
          <w:p w:rsidR="00B06A7D" w:rsidRPr="00043955" w:rsidRDefault="00B06A7D" w:rsidP="00DA725A">
            <w:pPr>
              <w:tabs>
                <w:tab w:val="left" w:pos="1134"/>
              </w:tabs>
              <w:ind w:firstLine="567"/>
              <w:jc w:val="both"/>
              <w:rPr>
                <w:sz w:val="18"/>
                <w:szCs w:val="18"/>
                <w:lang w:val="ro-RO"/>
              </w:rPr>
            </w:pPr>
          </w:p>
          <w:p w:rsidR="000603D8" w:rsidRPr="00485F66" w:rsidRDefault="000603D8" w:rsidP="000603D8">
            <w:pPr>
              <w:tabs>
                <w:tab w:val="left" w:pos="567"/>
                <w:tab w:val="left" w:pos="1134"/>
              </w:tabs>
              <w:jc w:val="both"/>
              <w:outlineLvl w:val="0"/>
              <w:rPr>
                <w:sz w:val="18"/>
                <w:szCs w:val="18"/>
                <w:lang w:val="ro-RO"/>
              </w:rPr>
            </w:pPr>
            <w:r w:rsidRPr="00485F66">
              <w:rPr>
                <w:b/>
                <w:bCs/>
                <w:sz w:val="18"/>
                <w:szCs w:val="18"/>
                <w:lang w:val="ro-RO"/>
              </w:rPr>
              <w:t>330.</w:t>
            </w:r>
            <w:r w:rsidRPr="00485F66">
              <w:rPr>
                <w:sz w:val="18"/>
                <w:szCs w:val="18"/>
                <w:lang w:val="ro-RO"/>
              </w:rPr>
              <w:t xml:space="preserve"> Evaluarea alocării costurilor menţionată la pct.327, subpunctul 2) se realizează după cum urmează:</w:t>
            </w:r>
          </w:p>
          <w:p w:rsidR="000603D8" w:rsidRPr="00380C00" w:rsidRDefault="000603D8" w:rsidP="000603D8">
            <w:pPr>
              <w:tabs>
                <w:tab w:val="left" w:pos="1134"/>
              </w:tabs>
              <w:ind w:firstLine="567"/>
              <w:rPr>
                <w:sz w:val="18"/>
                <w:szCs w:val="18"/>
                <w:lang w:val="it-IT"/>
              </w:rPr>
            </w:pPr>
            <w:r w:rsidRPr="00380C00">
              <w:rPr>
                <w:sz w:val="18"/>
                <w:szCs w:val="18"/>
                <w:lang w:val="it-IT"/>
              </w:rPr>
              <w:t>1) venitul bazat pe produsul aferent serviciilor de transport care trebuie obţinut din utilizarea reţelei în interiorul sistemului, atât în toate punctele de intrare, cât şi în toate punctele de ieşire, se împarte la valoarea factorului (factorilor) de cost ce ţin de produse pentru utilizarea reţelei în interiorul sistemului, pentru a calcula rata produselor în interiorul sistemului, care este definită ca unitate monetară per unitate de măsură, de exemplu MDL sau EURO per MWh, în conformitate cu următoarea formulă:</w:t>
            </w:r>
          </w:p>
          <w:p w:rsidR="000603D8" w:rsidRPr="00380C00" w:rsidRDefault="000603D8" w:rsidP="000603D8">
            <w:pPr>
              <w:tabs>
                <w:tab w:val="left" w:pos="1134"/>
              </w:tabs>
              <w:ind w:firstLine="567"/>
              <w:rPr>
                <w:sz w:val="18"/>
                <w:szCs w:val="18"/>
                <w:lang w:val="it-IT"/>
              </w:rPr>
            </w:pPr>
          </w:p>
          <w:p w:rsidR="00D146AC" w:rsidRPr="008B5D6F" w:rsidRDefault="008D37A3" w:rsidP="00F260D4">
            <w:pPr>
              <w:tabs>
                <w:tab w:val="left" w:pos="1134"/>
              </w:tabs>
              <w:jc w:val="center"/>
              <w:rPr>
                <w:sz w:val="18"/>
                <w:szCs w:val="18"/>
              </w:rPr>
            </w:pPr>
            <w:r>
              <w:object w:dxaOrig="2340" w:dyaOrig="930">
                <v:shape id="_x0000_i1028" type="#_x0000_t75" style="width:100.7pt;height:39.75pt" o:ole="">
                  <v:imagedata r:id="rId41" o:title=""/>
                </v:shape>
                <o:OLEObject Type="Embed" ProgID="PBrush" ShapeID="_x0000_i1028" DrawAspect="Content" ObjectID="_1837326464" r:id="rId42"/>
              </w:object>
            </w:r>
          </w:p>
          <w:p w:rsidR="00D146AC" w:rsidRPr="00043955" w:rsidRDefault="00D146AC" w:rsidP="00DA725A">
            <w:pPr>
              <w:tabs>
                <w:tab w:val="left" w:pos="1134"/>
              </w:tabs>
              <w:ind w:firstLine="567"/>
              <w:jc w:val="both"/>
              <w:rPr>
                <w:sz w:val="18"/>
                <w:szCs w:val="18"/>
                <w:lang w:val="ro-RO"/>
              </w:rPr>
            </w:pPr>
            <w:r w:rsidRPr="00043955">
              <w:rPr>
                <w:sz w:val="18"/>
                <w:szCs w:val="18"/>
                <w:lang w:val="ro-RO"/>
              </w:rPr>
              <w:t>unde:</w:t>
            </w:r>
          </w:p>
          <w:p w:rsidR="00D146AC" w:rsidRPr="00043955" w:rsidRDefault="00A3101C" w:rsidP="008D259A">
            <w:pPr>
              <w:tabs>
                <w:tab w:val="left" w:pos="1134"/>
              </w:tabs>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VT</m:t>
                  </m:r>
                </m:e>
                <m:sub>
                  <m:r>
                    <w:rPr>
                      <w:rFonts w:ascii="Cambria Math" w:eastAsiaTheme="minorEastAsia" w:hAnsi="Cambria Math"/>
                      <w:sz w:val="24"/>
                      <w:szCs w:val="24"/>
                      <w:lang w:eastAsia="en-US"/>
                    </w:rPr>
                    <m:t>prod</m:t>
                  </m:r>
                </m:sub>
                <m:sup>
                  <m:r>
                    <w:rPr>
                      <w:rFonts w:ascii="Cambria Math" w:eastAsiaTheme="minorEastAsia" w:hAnsi="Cambria Math"/>
                      <w:sz w:val="24"/>
                      <w:szCs w:val="24"/>
                      <w:lang w:eastAsia="en-US"/>
                    </w:rPr>
                    <m:t>int</m:t>
                  </m:r>
                </m:sup>
              </m:sSubSup>
            </m:oMath>
            <w:r w:rsidR="00D146AC" w:rsidRPr="00043955">
              <w:rPr>
                <w:sz w:val="18"/>
                <w:szCs w:val="18"/>
                <w:lang w:val="ro-RO"/>
              </w:rPr>
              <w:t xml:space="preserve"> </w:t>
            </w:r>
            <w:r w:rsidR="004678E7" w:rsidRPr="004678E7">
              <w:rPr>
                <w:sz w:val="18"/>
                <w:szCs w:val="18"/>
                <w:lang w:val="ro-RO"/>
              </w:rPr>
              <w:t>reprezintă venitul, în MDL sau EURO, care se obţine din tarifele volumetrice şi se facturează pentru utilizarea reţelei în interiorul sistemului;</w:t>
            </w:r>
          </w:p>
          <w:p w:rsidR="00D146AC" w:rsidRPr="00043955" w:rsidRDefault="00A3101C" w:rsidP="005305E7">
            <w:pPr>
              <w:tabs>
                <w:tab w:val="left" w:pos="1134"/>
              </w:tabs>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val="ro-RO" w:eastAsia="en-US"/>
                    </w:rPr>
                    <m:t>Cost</m:t>
                  </m:r>
                </m:e>
                <m:sub>
                  <m:r>
                    <w:rPr>
                      <w:rFonts w:ascii="Cambria Math" w:eastAsiaTheme="minorEastAsia" w:hAnsi="Cambria Math"/>
                      <w:sz w:val="24"/>
                      <w:szCs w:val="24"/>
                      <w:lang w:val="ro-RO" w:eastAsia="en-US"/>
                    </w:rPr>
                    <m:t>prod</m:t>
                  </m:r>
                </m:sub>
                <m:sup>
                  <m:r>
                    <w:rPr>
                      <w:rFonts w:ascii="Cambria Math" w:eastAsiaTheme="minorEastAsia" w:hAnsi="Cambria Math"/>
                      <w:sz w:val="24"/>
                      <w:szCs w:val="24"/>
                      <w:lang w:val="ro-RO" w:eastAsia="en-US"/>
                    </w:rPr>
                    <m:t>int</m:t>
                  </m:r>
                </m:sup>
              </m:sSubSup>
            </m:oMath>
            <w:r w:rsidR="00D146AC" w:rsidRPr="00043955">
              <w:rPr>
                <w:sz w:val="18"/>
                <w:szCs w:val="18"/>
                <w:lang w:val="ro-RO"/>
              </w:rPr>
              <w:t xml:space="preserve"> </w:t>
            </w:r>
            <w:r w:rsidR="004610A3" w:rsidRPr="004610A3">
              <w:rPr>
                <w:sz w:val="18"/>
                <w:szCs w:val="18"/>
                <w:lang w:val="ro-RO"/>
              </w:rPr>
              <w:t>reprezintă valoarea factorilor de cost ce ţin de produse pentru utilizarea reţelei în interiorul sistemului, de exemplu suma fluxurilor zilnice contractate medii prognozate în fiecare punct sau grup de puncte de intrare şi de ieşire în interiorul sistemului, şi este definit printr-o unitate de măsură, de exemplu MWh;</w:t>
            </w:r>
            <w:r w:rsidR="00D146AC" w:rsidRPr="00043955">
              <w:rPr>
                <w:sz w:val="18"/>
                <w:szCs w:val="18"/>
                <w:lang w:val="ro-RO"/>
              </w:rPr>
              <w:t>.</w:t>
            </w:r>
          </w:p>
          <w:p w:rsidR="00D146AC" w:rsidRPr="00043955" w:rsidRDefault="00D146AC" w:rsidP="00DA725A">
            <w:pPr>
              <w:tabs>
                <w:tab w:val="left" w:pos="1134"/>
              </w:tabs>
              <w:ind w:firstLine="567"/>
              <w:jc w:val="both"/>
              <w:rPr>
                <w:sz w:val="18"/>
                <w:szCs w:val="18"/>
                <w:lang w:val="ro-RO"/>
              </w:rPr>
            </w:pPr>
          </w:p>
          <w:p w:rsidR="00D146AC" w:rsidRPr="00043955" w:rsidRDefault="00D146AC" w:rsidP="00DA725A">
            <w:pPr>
              <w:tabs>
                <w:tab w:val="left" w:pos="1134"/>
              </w:tabs>
              <w:ind w:firstLine="993"/>
              <w:jc w:val="both"/>
              <w:rPr>
                <w:sz w:val="18"/>
                <w:szCs w:val="18"/>
                <w:lang w:val="ro-RO"/>
              </w:rPr>
            </w:pPr>
            <w:r w:rsidRPr="00043955">
              <w:rPr>
                <w:sz w:val="18"/>
                <w:szCs w:val="18"/>
                <w:lang w:val="ro-RO"/>
              </w:rPr>
              <w:t xml:space="preserve">2) venitul bazat pe produse aferent serviciilor de transport care trebuie obținut din utilizarea rețelei între sisteme atât în toate punctele de intrare, cât și în toate punctele de ieșire se împarte la valoarea factorilor de cost legați de produse pentru utilizarea rețelei între sisteme, pentru a calcula rata produselor </w:t>
            </w:r>
            <w:r w:rsidRPr="00043955">
              <w:rPr>
                <w:sz w:val="18"/>
                <w:szCs w:val="18"/>
                <w:lang w:val="ro-RO"/>
              </w:rPr>
              <w:lastRenderedPageBreak/>
              <w:t>între sisteme, care este definită ca unitate monetară per unitate de măsură, de exemplu EURO sau MDL per MWh, în conformitate cu următoarea formulă:</w:t>
            </w:r>
          </w:p>
          <w:p w:rsidR="00D146AC" w:rsidRPr="008B5D6F" w:rsidRDefault="006638E6" w:rsidP="006638E6">
            <w:pPr>
              <w:tabs>
                <w:tab w:val="left" w:pos="1134"/>
              </w:tabs>
              <w:ind w:firstLine="567"/>
              <w:jc w:val="center"/>
              <w:rPr>
                <w:sz w:val="18"/>
                <w:szCs w:val="18"/>
              </w:rPr>
            </w:pPr>
            <w:r>
              <w:object w:dxaOrig="2655" w:dyaOrig="1050">
                <v:shape id="_x0000_i1029" type="#_x0000_t75" style="width:113.1pt;height:43.75pt" o:ole="">
                  <v:imagedata r:id="rId43" o:title=""/>
                </v:shape>
                <o:OLEObject Type="Embed" ProgID="PBrush" ShapeID="_x0000_i1029" DrawAspect="Content" ObjectID="_1837326465" r:id="rId44"/>
              </w:object>
            </w:r>
          </w:p>
          <w:p w:rsidR="00D146AC" w:rsidRPr="00043955" w:rsidRDefault="00D146AC" w:rsidP="00DA725A">
            <w:pPr>
              <w:tabs>
                <w:tab w:val="left" w:pos="1134"/>
              </w:tabs>
              <w:ind w:firstLine="567"/>
              <w:jc w:val="both"/>
              <w:rPr>
                <w:sz w:val="18"/>
                <w:szCs w:val="18"/>
                <w:lang w:val="ro-RO"/>
              </w:rPr>
            </w:pPr>
            <w:r w:rsidRPr="00043955">
              <w:rPr>
                <w:sz w:val="18"/>
                <w:szCs w:val="18"/>
                <w:lang w:val="ro-RO"/>
              </w:rPr>
              <w:t>unde:</w:t>
            </w:r>
          </w:p>
          <w:p w:rsidR="00525978" w:rsidRPr="00380C00" w:rsidRDefault="00A3101C" w:rsidP="0073175E">
            <w:pPr>
              <w:tabs>
                <w:tab w:val="left" w:pos="1134"/>
              </w:tabs>
              <w:ind w:firstLine="567"/>
              <w:rPr>
                <w:lang w:val="it-IT"/>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VT</m:t>
                  </m:r>
                </m:e>
                <m:sub>
                  <m:r>
                    <w:rPr>
                      <w:rFonts w:ascii="Cambria Math" w:eastAsiaTheme="minorEastAsia" w:hAnsi="Cambria Math"/>
                      <w:sz w:val="24"/>
                      <w:szCs w:val="24"/>
                      <w:lang w:eastAsia="en-US"/>
                    </w:rPr>
                    <m:t>prod</m:t>
                  </m:r>
                </m:sub>
                <m:sup>
                  <m:r>
                    <w:rPr>
                      <w:rFonts w:ascii="Cambria Math" w:eastAsiaTheme="minorEastAsia" w:hAnsi="Cambria Math"/>
                      <w:sz w:val="24"/>
                      <w:szCs w:val="24"/>
                      <w:lang w:eastAsia="en-US"/>
                    </w:rPr>
                    <m:t>cross</m:t>
                  </m:r>
                </m:sup>
              </m:sSubSup>
            </m:oMath>
            <w:r w:rsidR="00D146AC" w:rsidRPr="00043955">
              <w:rPr>
                <w:sz w:val="18"/>
                <w:szCs w:val="18"/>
                <w:lang w:val="ro-RO"/>
              </w:rPr>
              <w:t xml:space="preserve"> </w:t>
            </w:r>
            <w:r w:rsidR="00525978" w:rsidRPr="00380C00">
              <w:rPr>
                <w:lang w:val="it-IT"/>
              </w:rPr>
              <w:t>reprezintă venitul, în MDL, care se obţine din tarifele volumetrice şi se facturează pentru utilizarea reţelei între sisteme;</w:t>
            </w:r>
          </w:p>
          <w:p w:rsidR="00D146AC" w:rsidRPr="00043955" w:rsidRDefault="00A3101C" w:rsidP="00DA725A">
            <w:pPr>
              <w:tabs>
                <w:tab w:val="left" w:pos="1134"/>
              </w:tabs>
              <w:ind w:firstLine="567"/>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Cost</m:t>
                  </m:r>
                </m:e>
                <m:sub>
                  <m:r>
                    <w:rPr>
                      <w:rFonts w:ascii="Cambria Math" w:eastAsiaTheme="minorEastAsia" w:hAnsi="Cambria Math"/>
                      <w:sz w:val="24"/>
                      <w:szCs w:val="24"/>
                      <w:lang w:eastAsia="en-US"/>
                    </w:rPr>
                    <m:t>prod</m:t>
                  </m:r>
                </m:sub>
                <m:sup>
                  <m:r>
                    <w:rPr>
                      <w:rFonts w:ascii="Cambria Math" w:eastAsiaTheme="minorEastAsia" w:hAnsi="Cambria Math"/>
                      <w:sz w:val="24"/>
                      <w:szCs w:val="24"/>
                      <w:lang w:eastAsia="en-US"/>
                    </w:rPr>
                    <m:t>cross</m:t>
                  </m:r>
                </m:sup>
              </m:sSubSup>
            </m:oMath>
            <w:r w:rsidR="00D146AC" w:rsidRPr="00043955">
              <w:rPr>
                <w:sz w:val="18"/>
                <w:szCs w:val="18"/>
                <w:lang w:val="ro-RO"/>
              </w:rPr>
              <w:t xml:space="preserve"> </w:t>
            </w:r>
            <w:r w:rsidR="00525978" w:rsidRPr="00525978">
              <w:rPr>
                <w:sz w:val="18"/>
                <w:szCs w:val="18"/>
                <w:lang w:val="ro-RO"/>
              </w:rPr>
              <w:t>este valoarea factorilor de cost ce ţin de produse pentru utilizarea reţelei între sisteme, de exemplu suma fluxurilor zilnice medii contractate prognozate în fiecare punct sau grup de puncte de intrare şi de ieşire între sisteme, şi este definită printr-o unitate de măsură, de exemplu MWh;</w:t>
            </w:r>
            <w:r w:rsidR="00D146AC" w:rsidRPr="00043955">
              <w:rPr>
                <w:sz w:val="18"/>
                <w:szCs w:val="18"/>
                <w:lang w:val="ro-RO"/>
              </w:rPr>
              <w:t>;</w:t>
            </w:r>
          </w:p>
          <w:p w:rsidR="00D146AC" w:rsidRPr="00043955" w:rsidRDefault="00D146AC" w:rsidP="00DA725A">
            <w:pPr>
              <w:tabs>
                <w:tab w:val="left" w:pos="1134"/>
              </w:tabs>
              <w:ind w:firstLine="993"/>
              <w:jc w:val="both"/>
              <w:rPr>
                <w:sz w:val="18"/>
                <w:szCs w:val="18"/>
                <w:lang w:val="ro-RO"/>
              </w:rPr>
            </w:pPr>
            <w:r w:rsidRPr="00043955">
              <w:rPr>
                <w:sz w:val="18"/>
                <w:szCs w:val="18"/>
                <w:lang w:val="ro-RO"/>
              </w:rPr>
              <w:t xml:space="preserve">3) </w:t>
            </w:r>
            <w:r w:rsidR="005019FF" w:rsidRPr="00380C00">
              <w:rPr>
                <w:sz w:val="18"/>
                <w:szCs w:val="18"/>
                <w:lang w:val="it-IT"/>
              </w:rPr>
              <w:t xml:space="preserve">indicele de comparaţie a alocării costurilor aferente produselor </w:t>
            </w:r>
            <w:r w:rsidR="005019FF" w:rsidRPr="005019FF">
              <w:rPr>
                <w:noProof/>
                <w:sz w:val="18"/>
                <w:szCs w:val="18"/>
                <w:lang w:eastAsia="en-US"/>
              </w:rPr>
              <w:drawing>
                <wp:inline distT="0" distB="0" distL="0" distR="0">
                  <wp:extent cx="398780" cy="227330"/>
                  <wp:effectExtent l="0" t="0" r="1270" b="1270"/>
                  <wp:docPr id="72" name="Picture 72" descr="\\192.168.1.34\DataJur\Legi_Rom\DE\A19\g420d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92.168.1.34\DataJur\Legi_Rom\DE\A19\g420d1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8780" cy="227330"/>
                          </a:xfrm>
                          <a:prstGeom prst="rect">
                            <a:avLst/>
                          </a:prstGeom>
                          <a:noFill/>
                          <a:ln>
                            <a:noFill/>
                          </a:ln>
                        </pic:spPr>
                      </pic:pic>
                    </a:graphicData>
                  </a:graphic>
                </wp:inline>
              </w:drawing>
            </w:r>
            <w:r w:rsidR="005019FF" w:rsidRPr="00380C00">
              <w:rPr>
                <w:sz w:val="18"/>
                <w:szCs w:val="18"/>
                <w:lang w:val="it-IT"/>
              </w:rPr>
              <w:t>dintre ratele menţionate la subpunctele 1) şi 2), definit în procente, se calculează în conformitate cu următoarea formulă:</w:t>
            </w:r>
          </w:p>
          <w:p w:rsidR="00D146AC" w:rsidRDefault="00D146AC" w:rsidP="00DA725A">
            <w:pPr>
              <w:tabs>
                <w:tab w:val="left" w:pos="1134"/>
              </w:tabs>
              <w:ind w:firstLine="567"/>
              <w:jc w:val="both"/>
              <w:rPr>
                <w:sz w:val="18"/>
                <w:szCs w:val="18"/>
                <w:lang w:val="ro-RO"/>
              </w:rPr>
            </w:pPr>
          </w:p>
          <w:p w:rsidR="00D146AC" w:rsidRPr="008B5D6F" w:rsidRDefault="00EB79F8" w:rsidP="00DA725A">
            <w:pPr>
              <w:tabs>
                <w:tab w:val="left" w:pos="1134"/>
              </w:tabs>
              <w:ind w:firstLine="567"/>
              <w:jc w:val="both"/>
              <w:rPr>
                <w:sz w:val="18"/>
                <w:szCs w:val="18"/>
              </w:rPr>
            </w:pPr>
            <w:r>
              <w:object w:dxaOrig="4800" w:dyaOrig="945">
                <v:shape id="_x0000_i1030" type="#_x0000_t75" style="width:172.7pt;height:39.75pt" o:ole="">
                  <v:imagedata r:id="rId46" o:title=""/>
                </v:shape>
                <o:OLEObject Type="Embed" ProgID="PBrush" ShapeID="_x0000_i1030" DrawAspect="Content" ObjectID="_1837326466" r:id="rId47"/>
              </w:object>
            </w:r>
          </w:p>
          <w:p w:rsidR="00D146AC" w:rsidRDefault="00D146AC" w:rsidP="00DA725A">
            <w:pPr>
              <w:tabs>
                <w:tab w:val="left" w:pos="1134"/>
              </w:tabs>
              <w:ind w:firstLine="567"/>
              <w:jc w:val="both"/>
              <w:rPr>
                <w:sz w:val="18"/>
                <w:szCs w:val="18"/>
                <w:lang w:val="ro-RO"/>
              </w:rPr>
            </w:pPr>
          </w:p>
          <w:p w:rsidR="00DE3AAB" w:rsidRPr="00380C00" w:rsidRDefault="00DE3AAB" w:rsidP="00DE3AAB">
            <w:pPr>
              <w:tabs>
                <w:tab w:val="left" w:pos="567"/>
                <w:tab w:val="left" w:pos="1134"/>
              </w:tabs>
              <w:jc w:val="both"/>
              <w:outlineLvl w:val="0"/>
              <w:rPr>
                <w:sz w:val="18"/>
                <w:szCs w:val="18"/>
                <w:lang w:val="ro-RO"/>
              </w:rPr>
            </w:pPr>
            <w:r w:rsidRPr="00380C00">
              <w:rPr>
                <w:b/>
                <w:bCs/>
                <w:sz w:val="18"/>
                <w:szCs w:val="18"/>
                <w:lang w:val="ro-RO"/>
              </w:rPr>
              <w:t>331.</w:t>
            </w:r>
            <w:r w:rsidRPr="00380C00">
              <w:rPr>
                <w:sz w:val="18"/>
                <w:szCs w:val="18"/>
                <w:lang w:val="ro-RO"/>
              </w:rPr>
              <w:t xml:space="preserve"> Venitul din prestarea serviciului de transport al gazelor naturale care trebuie obţinut din utilizarea reţelei în interiorul sistemului în punctele de intrare menţionate la pct.329, subpunctul 1) şi pct.330, subpunctul 1) se calculează după cum urmează:</w:t>
            </w:r>
          </w:p>
          <w:p w:rsidR="00DE3AAB" w:rsidRPr="00380C00" w:rsidRDefault="00DE3AAB" w:rsidP="00DE3AAB">
            <w:pPr>
              <w:tabs>
                <w:tab w:val="left" w:pos="567"/>
                <w:tab w:val="left" w:pos="1134"/>
              </w:tabs>
              <w:jc w:val="both"/>
              <w:outlineLvl w:val="0"/>
              <w:rPr>
                <w:sz w:val="18"/>
                <w:szCs w:val="18"/>
                <w:lang w:val="ro-RO"/>
              </w:rPr>
            </w:pPr>
            <w:r w:rsidRPr="00380C00">
              <w:rPr>
                <w:sz w:val="18"/>
                <w:szCs w:val="18"/>
                <w:lang w:val="ro-RO"/>
              </w:rPr>
              <w:t>1) capacitatea alocată sau, respectiv, al fluxurilor atribuite prestării serviciilor de transport utilizatorilor de sistem transfrontalieri în toate punctele de intrare este considerat a fi egal cu capacitatea sau, respectiv, fluxurile atribuite prestării serviciilor de transport pentru utilizarea reţelei între sisteme în toate punctele de ieşire;</w:t>
            </w:r>
          </w:p>
          <w:p w:rsidR="00DE3AAB" w:rsidRPr="00380C00" w:rsidRDefault="00DE3AAB" w:rsidP="00DE3AAB">
            <w:pPr>
              <w:tabs>
                <w:tab w:val="left" w:pos="567"/>
                <w:tab w:val="left" w:pos="1134"/>
              </w:tabs>
              <w:jc w:val="both"/>
              <w:outlineLvl w:val="0"/>
              <w:rPr>
                <w:sz w:val="18"/>
                <w:szCs w:val="18"/>
                <w:lang w:val="it-IT"/>
              </w:rPr>
            </w:pPr>
            <w:r w:rsidRPr="00380C00">
              <w:rPr>
                <w:sz w:val="18"/>
                <w:szCs w:val="18"/>
                <w:lang w:val="it-IT"/>
              </w:rPr>
              <w:t>2) capacitatea şi, respectiv, fluxurile, determinate în conformitate cu subpunctul 1), se utilizează pentru a calcula venitul aferent serviciilor de transport care trebuie obţinut din utilizarea reţelei între sisteme la punctele de intrare;</w:t>
            </w:r>
          </w:p>
          <w:p w:rsidR="00645258" w:rsidRDefault="00DE3AAB" w:rsidP="000F7962">
            <w:pPr>
              <w:tabs>
                <w:tab w:val="left" w:pos="567"/>
                <w:tab w:val="left" w:pos="1134"/>
              </w:tabs>
              <w:jc w:val="both"/>
              <w:outlineLvl w:val="0"/>
              <w:rPr>
                <w:sz w:val="18"/>
                <w:szCs w:val="18"/>
                <w:lang w:val="it-IT"/>
              </w:rPr>
            </w:pPr>
            <w:r w:rsidRPr="00380C00">
              <w:rPr>
                <w:sz w:val="18"/>
                <w:szCs w:val="18"/>
                <w:lang w:val="it-IT"/>
              </w:rPr>
              <w:t>3) diferenţa dintre venitul total aferent serviciilor de transport care trebuie obţinut în punctele de intrare şi valoarea rezultată menţionată la subpunctul 2) este egală cu venitul aferent serviciilor de transport care se obţine din utilizarea reţelei în interiorul sistemului în punctele de intrare.</w:t>
            </w:r>
          </w:p>
          <w:p w:rsidR="00F42E2D" w:rsidRDefault="00F42E2D" w:rsidP="000F7962">
            <w:pPr>
              <w:tabs>
                <w:tab w:val="left" w:pos="567"/>
                <w:tab w:val="left" w:pos="1134"/>
              </w:tabs>
              <w:jc w:val="both"/>
              <w:outlineLvl w:val="0"/>
              <w:rPr>
                <w:sz w:val="18"/>
                <w:szCs w:val="18"/>
                <w:lang w:val="it-IT"/>
              </w:rPr>
            </w:pPr>
          </w:p>
          <w:p w:rsidR="00F42E2D" w:rsidRDefault="00F42E2D" w:rsidP="000F7962">
            <w:pPr>
              <w:tabs>
                <w:tab w:val="left" w:pos="567"/>
                <w:tab w:val="left" w:pos="1134"/>
              </w:tabs>
              <w:jc w:val="both"/>
              <w:outlineLvl w:val="0"/>
              <w:rPr>
                <w:sz w:val="18"/>
                <w:szCs w:val="18"/>
                <w:lang w:val="it-IT"/>
              </w:rPr>
            </w:pPr>
          </w:p>
          <w:p w:rsidR="00F42E2D" w:rsidRDefault="00F42E2D" w:rsidP="000F7962">
            <w:pPr>
              <w:tabs>
                <w:tab w:val="left" w:pos="567"/>
                <w:tab w:val="left" w:pos="1134"/>
              </w:tabs>
              <w:jc w:val="both"/>
              <w:outlineLvl w:val="0"/>
              <w:rPr>
                <w:sz w:val="18"/>
                <w:szCs w:val="18"/>
                <w:lang w:val="it-IT"/>
              </w:rPr>
            </w:pPr>
          </w:p>
          <w:p w:rsidR="00F42E2D" w:rsidRDefault="00F42E2D" w:rsidP="000F7962">
            <w:pPr>
              <w:tabs>
                <w:tab w:val="left" w:pos="567"/>
                <w:tab w:val="left" w:pos="1134"/>
              </w:tabs>
              <w:jc w:val="both"/>
              <w:outlineLvl w:val="0"/>
              <w:rPr>
                <w:sz w:val="18"/>
                <w:szCs w:val="18"/>
                <w:lang w:val="it-IT"/>
              </w:rPr>
            </w:pPr>
          </w:p>
          <w:p w:rsidR="00D146AC" w:rsidRPr="00043955" w:rsidRDefault="00DE3AAB" w:rsidP="00D21FCC">
            <w:pPr>
              <w:tabs>
                <w:tab w:val="left" w:pos="1134"/>
              </w:tabs>
              <w:rPr>
                <w:b/>
                <w:bCs/>
                <w:sz w:val="18"/>
                <w:szCs w:val="18"/>
                <w:lang w:val="ro-RO"/>
              </w:rPr>
            </w:pPr>
            <w:r w:rsidRPr="00380C00">
              <w:rPr>
                <w:b/>
                <w:bCs/>
                <w:sz w:val="18"/>
                <w:szCs w:val="18"/>
                <w:lang w:val="it-IT"/>
              </w:rPr>
              <w:t>332.</w:t>
            </w:r>
            <w:r w:rsidRPr="00380C00">
              <w:rPr>
                <w:sz w:val="18"/>
                <w:szCs w:val="18"/>
                <w:lang w:val="it-IT"/>
              </w:rPr>
              <w:t xml:space="preserve"> În cazul în care distanţa este utilizată ca factor de cost în combinaţie cu capacitatea tehnică sau contractată prognozată sau cu fluxuri, se utilizează distanţa medie ponderată bazată pe capacitate sau, respectiv, distanţa medie ponderată bazată pe volum. În cazul în care rezultatele indicilor de comparaţie al alocării costurilor aferente capacităţii sau, respectiv, produselor menţionate la pct.330, subpunctul 3) sau, respectiv, la pct.331, subpunctul 3) depăşesc 10%, Agenţia prezintă justificarea acestor rezultate în Hotărârea menţionată la pct.402.</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Default="00D146AC" w:rsidP="00DA725A">
            <w:pPr>
              <w:jc w:val="both"/>
              <w:rPr>
                <w:b/>
                <w:sz w:val="18"/>
                <w:szCs w:val="18"/>
                <w:lang w:val="it-IT"/>
              </w:rPr>
            </w:pPr>
          </w:p>
          <w:p w:rsidR="00B06A7D" w:rsidRDefault="00B06A7D" w:rsidP="00DA725A">
            <w:pPr>
              <w:jc w:val="both"/>
              <w:rPr>
                <w:b/>
                <w:sz w:val="18"/>
                <w:szCs w:val="18"/>
                <w:lang w:val="it-IT"/>
              </w:rPr>
            </w:pPr>
          </w:p>
          <w:p w:rsidR="00B06A7D" w:rsidRDefault="00B06A7D" w:rsidP="00DA725A">
            <w:pPr>
              <w:jc w:val="both"/>
              <w:rPr>
                <w:b/>
                <w:sz w:val="18"/>
                <w:szCs w:val="18"/>
                <w:lang w:val="it-IT"/>
              </w:rPr>
            </w:pPr>
          </w:p>
          <w:p w:rsidR="00B06A7D" w:rsidRPr="00380C00" w:rsidRDefault="00B06A7D" w:rsidP="00DA725A">
            <w:pPr>
              <w:jc w:val="both"/>
              <w:rPr>
                <w:b/>
                <w:sz w:val="18"/>
                <w:szCs w:val="18"/>
                <w:lang w:val="it-IT"/>
              </w:rPr>
            </w:pPr>
          </w:p>
          <w:p w:rsidR="00D146AC" w:rsidRPr="00380C00" w:rsidRDefault="00D146AC" w:rsidP="00DA725A">
            <w:pPr>
              <w:jc w:val="both"/>
              <w:rPr>
                <w:b/>
                <w:sz w:val="18"/>
                <w:szCs w:val="18"/>
                <w:lang w:val="it-IT"/>
              </w:rPr>
            </w:pPr>
          </w:p>
          <w:p w:rsidR="00BB347C" w:rsidRPr="00380C00" w:rsidRDefault="00BB347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Default="00D146AC" w:rsidP="00DA725A">
            <w:pPr>
              <w:jc w:val="both"/>
              <w:rPr>
                <w:b/>
                <w:sz w:val="18"/>
                <w:szCs w:val="18"/>
                <w:lang w:val="it-IT"/>
              </w:rPr>
            </w:pPr>
          </w:p>
          <w:p w:rsidR="00B06A7D" w:rsidRDefault="00B06A7D" w:rsidP="00DA725A">
            <w:pPr>
              <w:jc w:val="both"/>
              <w:rPr>
                <w:b/>
                <w:sz w:val="18"/>
                <w:szCs w:val="18"/>
                <w:lang w:val="it-IT"/>
              </w:rPr>
            </w:pPr>
          </w:p>
          <w:p w:rsidR="00B06A7D" w:rsidRDefault="00B06A7D" w:rsidP="00DA725A">
            <w:pPr>
              <w:jc w:val="both"/>
              <w:rPr>
                <w:b/>
                <w:sz w:val="18"/>
                <w:szCs w:val="18"/>
                <w:lang w:val="it-IT"/>
              </w:rPr>
            </w:pPr>
          </w:p>
          <w:p w:rsidR="00B06A7D" w:rsidRPr="00380C00" w:rsidRDefault="00B06A7D" w:rsidP="00DA725A">
            <w:pPr>
              <w:jc w:val="both"/>
              <w:rPr>
                <w:b/>
                <w:sz w:val="18"/>
                <w:szCs w:val="18"/>
                <w:lang w:val="it-IT"/>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8D259A" w:rsidRPr="00380C00" w:rsidRDefault="008D259A" w:rsidP="00DA725A">
            <w:pPr>
              <w:rPr>
                <w:sz w:val="18"/>
                <w:szCs w:val="18"/>
                <w:lang w:val="it-IT"/>
              </w:rPr>
            </w:pPr>
          </w:p>
          <w:p w:rsidR="008D259A" w:rsidRPr="00380C00" w:rsidRDefault="008D259A" w:rsidP="00DA725A">
            <w:pPr>
              <w:rPr>
                <w:sz w:val="18"/>
                <w:szCs w:val="18"/>
                <w:lang w:val="it-IT"/>
              </w:rPr>
            </w:pPr>
          </w:p>
          <w:p w:rsidR="008D259A" w:rsidRPr="00380C00" w:rsidRDefault="008D259A" w:rsidP="00DA725A">
            <w:pPr>
              <w:rPr>
                <w:sz w:val="18"/>
                <w:szCs w:val="18"/>
                <w:lang w:val="it-IT"/>
              </w:rPr>
            </w:pPr>
          </w:p>
          <w:p w:rsidR="008D259A" w:rsidRPr="00380C00" w:rsidRDefault="008D259A"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Default="00D146AC" w:rsidP="00DA725A">
            <w:pPr>
              <w:rPr>
                <w:sz w:val="18"/>
                <w:szCs w:val="18"/>
                <w:lang w:val="it-IT"/>
              </w:rPr>
            </w:pPr>
          </w:p>
          <w:p w:rsidR="00960EAD" w:rsidRPr="00380C00" w:rsidRDefault="00960EAD" w:rsidP="00DA725A">
            <w:pPr>
              <w:rPr>
                <w:sz w:val="18"/>
                <w:szCs w:val="18"/>
                <w:lang w:val="it-IT"/>
              </w:rPr>
            </w:pPr>
            <w:r w:rsidRPr="00380C00">
              <w:rPr>
                <w:sz w:val="18"/>
                <w:szCs w:val="18"/>
                <w:lang w:val="it-IT"/>
              </w:rPr>
              <w:t>Compatibil</w:t>
            </w: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960EAD" w:rsidRPr="00380C00" w:rsidRDefault="00960EAD" w:rsidP="00DA725A">
            <w:pPr>
              <w:rPr>
                <w:sz w:val="18"/>
                <w:szCs w:val="18"/>
                <w:lang w:val="it-IT"/>
              </w:rPr>
            </w:pPr>
          </w:p>
          <w:p w:rsidR="00D146AC" w:rsidRDefault="00D146AC" w:rsidP="00DA725A">
            <w:pPr>
              <w:rPr>
                <w:sz w:val="18"/>
                <w:szCs w:val="18"/>
                <w:lang w:val="it-IT"/>
              </w:rPr>
            </w:pPr>
          </w:p>
          <w:p w:rsidR="00F42E2D" w:rsidRDefault="00F42E2D" w:rsidP="00DA725A">
            <w:pPr>
              <w:rPr>
                <w:sz w:val="18"/>
                <w:szCs w:val="18"/>
                <w:lang w:val="it-IT"/>
              </w:rPr>
            </w:pPr>
          </w:p>
          <w:p w:rsidR="00F42E2D" w:rsidRDefault="00F42E2D" w:rsidP="00DA725A">
            <w:pPr>
              <w:rPr>
                <w:sz w:val="18"/>
                <w:szCs w:val="18"/>
                <w:lang w:val="it-IT"/>
              </w:rPr>
            </w:pPr>
          </w:p>
          <w:p w:rsidR="00B06A7D" w:rsidRDefault="00B06A7D" w:rsidP="00DA725A">
            <w:pPr>
              <w:rPr>
                <w:sz w:val="18"/>
                <w:szCs w:val="18"/>
                <w:lang w:val="it-IT"/>
              </w:rPr>
            </w:pPr>
          </w:p>
          <w:p w:rsidR="00D146AC" w:rsidRPr="00380C00" w:rsidRDefault="00D146AC" w:rsidP="00DA725A">
            <w:pPr>
              <w:jc w:val="both"/>
              <w:rPr>
                <w:sz w:val="18"/>
                <w:szCs w:val="18"/>
                <w:lang w:val="it-IT"/>
              </w:rPr>
            </w:pPr>
            <w:r w:rsidRPr="00380C00">
              <w:rPr>
                <w:sz w:val="18"/>
                <w:szCs w:val="18"/>
                <w:lang w:val="it-IT"/>
              </w:rPr>
              <w:t>Compatibil</w:t>
            </w: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jc w:val="both"/>
              <w:rPr>
                <w:b/>
                <w:sz w:val="18"/>
                <w:szCs w:val="18"/>
                <w:lang w:val="it-IT"/>
              </w:rPr>
            </w:pPr>
          </w:p>
        </w:tc>
        <w:tc>
          <w:tcPr>
            <w:tcW w:w="4253" w:type="dxa"/>
          </w:tcPr>
          <w:p w:rsidR="004B480A" w:rsidRPr="00E84D74" w:rsidRDefault="004B480A" w:rsidP="00DA725A">
            <w:pPr>
              <w:autoSpaceDE w:val="0"/>
              <w:autoSpaceDN w:val="0"/>
              <w:adjustRightInd w:val="0"/>
              <w:jc w:val="center"/>
              <w:rPr>
                <w:b/>
                <w:bCs/>
                <w:i/>
                <w:iCs/>
                <w:sz w:val="18"/>
                <w:szCs w:val="18"/>
              </w:rPr>
            </w:pPr>
            <w:r w:rsidRPr="00E84D74">
              <w:rPr>
                <w:b/>
                <w:bCs/>
                <w:i/>
                <w:iCs/>
                <w:sz w:val="18"/>
                <w:szCs w:val="18"/>
              </w:rPr>
              <w:lastRenderedPageBreak/>
              <w:t>Article 5</w:t>
            </w:r>
          </w:p>
          <w:p w:rsidR="004B480A" w:rsidRPr="00E84D74" w:rsidRDefault="004B480A" w:rsidP="00DA725A">
            <w:pPr>
              <w:autoSpaceDE w:val="0"/>
              <w:autoSpaceDN w:val="0"/>
              <w:adjustRightInd w:val="0"/>
              <w:jc w:val="center"/>
              <w:rPr>
                <w:b/>
                <w:bCs/>
                <w:sz w:val="18"/>
                <w:szCs w:val="18"/>
              </w:rPr>
            </w:pPr>
            <w:r w:rsidRPr="00E84D74">
              <w:rPr>
                <w:b/>
                <w:bCs/>
                <w:sz w:val="18"/>
                <w:szCs w:val="18"/>
              </w:rPr>
              <w:t>Cost allocation assessments</w:t>
            </w:r>
          </w:p>
          <w:p w:rsidR="00B0636D" w:rsidRPr="00E84D74" w:rsidRDefault="00B0636D" w:rsidP="00DA725A">
            <w:pPr>
              <w:autoSpaceDE w:val="0"/>
              <w:autoSpaceDN w:val="0"/>
              <w:adjustRightInd w:val="0"/>
              <w:rPr>
                <w:sz w:val="18"/>
                <w:szCs w:val="18"/>
              </w:rPr>
            </w:pPr>
          </w:p>
          <w:p w:rsidR="004B480A" w:rsidRPr="00E84D74" w:rsidRDefault="004B480A" w:rsidP="00DA725A">
            <w:pPr>
              <w:autoSpaceDE w:val="0"/>
              <w:autoSpaceDN w:val="0"/>
              <w:adjustRightInd w:val="0"/>
              <w:rPr>
                <w:sz w:val="18"/>
                <w:szCs w:val="18"/>
              </w:rPr>
            </w:pPr>
            <w:r w:rsidRPr="00E84D74">
              <w:rPr>
                <w:sz w:val="18"/>
                <w:szCs w:val="18"/>
              </w:rPr>
              <w:t>1. The national regulatory authority or the transmission system operator, as decided by the national</w:t>
            </w:r>
            <w:r w:rsidR="00B0636D" w:rsidRPr="00E84D74">
              <w:rPr>
                <w:sz w:val="18"/>
                <w:szCs w:val="18"/>
              </w:rPr>
              <w:t xml:space="preserve"> </w:t>
            </w:r>
            <w:r w:rsidRPr="00E84D74">
              <w:rPr>
                <w:sz w:val="18"/>
                <w:szCs w:val="18"/>
              </w:rPr>
              <w:t>regulatory authority, shall perform the following assessments and shall publish them as part of the final</w:t>
            </w:r>
            <w:r w:rsidR="003134A9" w:rsidRPr="00E84D74">
              <w:rPr>
                <w:sz w:val="18"/>
                <w:szCs w:val="18"/>
              </w:rPr>
              <w:t xml:space="preserve"> </w:t>
            </w:r>
            <w:r w:rsidRPr="00E84D74">
              <w:rPr>
                <w:sz w:val="18"/>
                <w:szCs w:val="18"/>
              </w:rPr>
              <w:t>consultation referred to in Article 26:</w:t>
            </w:r>
          </w:p>
          <w:p w:rsidR="004B480A" w:rsidRPr="00E84D74" w:rsidRDefault="004B480A" w:rsidP="00DA725A">
            <w:pPr>
              <w:autoSpaceDE w:val="0"/>
              <w:autoSpaceDN w:val="0"/>
              <w:adjustRightInd w:val="0"/>
              <w:rPr>
                <w:sz w:val="18"/>
                <w:szCs w:val="18"/>
              </w:rPr>
            </w:pPr>
            <w:r w:rsidRPr="00E84D74">
              <w:rPr>
                <w:sz w:val="18"/>
                <w:szCs w:val="18"/>
              </w:rPr>
              <w:t>(a) a cost allocation assessment relating to the transmission services revenue to be recovered by capacity-based transmission tariffs and based exclusively on the cost drivers of</w:t>
            </w:r>
            <w:r w:rsidR="003134A9" w:rsidRPr="00E84D74">
              <w:rPr>
                <w:sz w:val="18"/>
                <w:szCs w:val="18"/>
              </w:rPr>
              <w:t xml:space="preserve"> </w:t>
            </w:r>
            <w:r w:rsidRPr="00E84D74">
              <w:rPr>
                <w:sz w:val="18"/>
                <w:szCs w:val="18"/>
              </w:rPr>
              <w:t>(i) technical capacity; or</w:t>
            </w:r>
          </w:p>
          <w:p w:rsidR="004B480A" w:rsidRPr="00E84D74" w:rsidRDefault="004B480A" w:rsidP="00DA725A">
            <w:pPr>
              <w:autoSpaceDE w:val="0"/>
              <w:autoSpaceDN w:val="0"/>
              <w:adjustRightInd w:val="0"/>
              <w:rPr>
                <w:sz w:val="18"/>
                <w:szCs w:val="18"/>
              </w:rPr>
            </w:pPr>
            <w:r w:rsidRPr="00E84D74">
              <w:rPr>
                <w:sz w:val="18"/>
                <w:szCs w:val="18"/>
              </w:rPr>
              <w:t>(ii) forecasted contracted capacity; or</w:t>
            </w:r>
          </w:p>
          <w:p w:rsidR="004B480A" w:rsidRPr="00E84D74" w:rsidRDefault="004B480A" w:rsidP="00DA725A">
            <w:pPr>
              <w:autoSpaceDE w:val="0"/>
              <w:autoSpaceDN w:val="0"/>
              <w:adjustRightInd w:val="0"/>
              <w:rPr>
                <w:sz w:val="18"/>
                <w:szCs w:val="18"/>
              </w:rPr>
            </w:pPr>
            <w:r w:rsidRPr="00E84D74">
              <w:rPr>
                <w:sz w:val="18"/>
                <w:szCs w:val="18"/>
              </w:rPr>
              <w:t>(iii) technical capacity and distance; or</w:t>
            </w:r>
          </w:p>
          <w:p w:rsidR="004B480A" w:rsidRPr="00E84D74" w:rsidRDefault="004B480A" w:rsidP="00DA725A">
            <w:pPr>
              <w:autoSpaceDE w:val="0"/>
              <w:autoSpaceDN w:val="0"/>
              <w:adjustRightInd w:val="0"/>
              <w:rPr>
                <w:sz w:val="18"/>
                <w:szCs w:val="18"/>
              </w:rPr>
            </w:pPr>
            <w:r w:rsidRPr="00E84D74">
              <w:rPr>
                <w:sz w:val="18"/>
                <w:szCs w:val="18"/>
              </w:rPr>
              <w:t>(iv) forecasted contracted capacity and distance;</w:t>
            </w:r>
          </w:p>
          <w:p w:rsidR="004B480A" w:rsidRPr="00E84D74" w:rsidRDefault="004B480A" w:rsidP="00DA725A">
            <w:pPr>
              <w:autoSpaceDE w:val="0"/>
              <w:autoSpaceDN w:val="0"/>
              <w:adjustRightInd w:val="0"/>
              <w:rPr>
                <w:sz w:val="18"/>
                <w:szCs w:val="18"/>
              </w:rPr>
            </w:pPr>
            <w:r w:rsidRPr="00E84D74">
              <w:rPr>
                <w:sz w:val="18"/>
                <w:szCs w:val="18"/>
              </w:rPr>
              <w:t>(b) a cost allocation assessment relating to the transmission services revenue to be recovered by commodity-based transmission tariffs, if any, and based exclusively on the cost drivers of:</w:t>
            </w:r>
          </w:p>
          <w:p w:rsidR="004B480A" w:rsidRPr="00E84D74" w:rsidRDefault="004B480A" w:rsidP="00DA725A">
            <w:pPr>
              <w:autoSpaceDE w:val="0"/>
              <w:autoSpaceDN w:val="0"/>
              <w:adjustRightInd w:val="0"/>
              <w:rPr>
                <w:sz w:val="18"/>
                <w:szCs w:val="18"/>
              </w:rPr>
            </w:pPr>
            <w:r w:rsidRPr="00E84D74">
              <w:rPr>
                <w:sz w:val="18"/>
                <w:szCs w:val="18"/>
              </w:rPr>
              <w:t>(i) the amount of gas flows; or</w:t>
            </w:r>
          </w:p>
          <w:p w:rsidR="00BB347C" w:rsidRPr="00E84D74" w:rsidRDefault="004B480A" w:rsidP="00DA725A">
            <w:pPr>
              <w:autoSpaceDE w:val="0"/>
              <w:autoSpaceDN w:val="0"/>
              <w:adjustRightInd w:val="0"/>
              <w:rPr>
                <w:sz w:val="18"/>
                <w:szCs w:val="18"/>
              </w:rPr>
            </w:pPr>
            <w:r w:rsidRPr="00E84D74">
              <w:rPr>
                <w:sz w:val="18"/>
                <w:szCs w:val="18"/>
              </w:rPr>
              <w:t xml:space="preserve">(ii) the amount of gas flows and distance. </w:t>
            </w:r>
          </w:p>
          <w:p w:rsidR="00BB347C" w:rsidRPr="00E84D74" w:rsidRDefault="00BB347C" w:rsidP="00DA725A">
            <w:pPr>
              <w:autoSpaceDE w:val="0"/>
              <w:autoSpaceDN w:val="0"/>
              <w:adjustRightInd w:val="0"/>
              <w:rPr>
                <w:sz w:val="18"/>
                <w:szCs w:val="18"/>
              </w:rPr>
            </w:pPr>
          </w:p>
          <w:p w:rsidR="00BB347C" w:rsidRPr="00E84D74" w:rsidRDefault="00BB347C" w:rsidP="00DA725A">
            <w:pPr>
              <w:autoSpaceDE w:val="0"/>
              <w:autoSpaceDN w:val="0"/>
              <w:adjustRightInd w:val="0"/>
              <w:rPr>
                <w:sz w:val="18"/>
                <w:szCs w:val="18"/>
              </w:rPr>
            </w:pPr>
          </w:p>
          <w:p w:rsidR="00BB347C" w:rsidRPr="00E84D74" w:rsidRDefault="00BB347C" w:rsidP="00DA725A">
            <w:pPr>
              <w:autoSpaceDE w:val="0"/>
              <w:autoSpaceDN w:val="0"/>
              <w:adjustRightInd w:val="0"/>
              <w:rPr>
                <w:sz w:val="18"/>
                <w:szCs w:val="18"/>
              </w:rPr>
            </w:pPr>
          </w:p>
          <w:p w:rsidR="00424459" w:rsidRPr="00E84D74" w:rsidRDefault="00424459" w:rsidP="00DA725A">
            <w:pPr>
              <w:autoSpaceDE w:val="0"/>
              <w:autoSpaceDN w:val="0"/>
              <w:adjustRightInd w:val="0"/>
              <w:rPr>
                <w:sz w:val="18"/>
                <w:szCs w:val="18"/>
              </w:rPr>
            </w:pPr>
          </w:p>
          <w:p w:rsidR="004B480A" w:rsidRPr="00E84D74" w:rsidRDefault="004B480A" w:rsidP="00DA725A">
            <w:pPr>
              <w:autoSpaceDE w:val="0"/>
              <w:autoSpaceDN w:val="0"/>
              <w:adjustRightInd w:val="0"/>
              <w:rPr>
                <w:sz w:val="18"/>
                <w:szCs w:val="18"/>
              </w:rPr>
            </w:pPr>
            <w:r w:rsidRPr="00E84D74">
              <w:rPr>
                <w:sz w:val="18"/>
                <w:szCs w:val="18"/>
              </w:rPr>
              <w:t>2. The cost allocation assessments shall indicate the</w:t>
            </w:r>
            <w:r w:rsidR="006262EB" w:rsidRPr="00E84D74">
              <w:rPr>
                <w:sz w:val="18"/>
                <w:szCs w:val="18"/>
              </w:rPr>
              <w:t xml:space="preserve"> </w:t>
            </w:r>
            <w:r w:rsidRPr="00E84D74">
              <w:rPr>
                <w:sz w:val="18"/>
                <w:szCs w:val="18"/>
              </w:rPr>
              <w:t xml:space="preserve">degree of cross-subsidisation between intra-system and </w:t>
            </w:r>
            <w:r w:rsidRPr="00E84D74">
              <w:rPr>
                <w:sz w:val="18"/>
                <w:szCs w:val="18"/>
              </w:rPr>
              <w:lastRenderedPageBreak/>
              <w:t>cross-system network use based on the</w:t>
            </w:r>
            <w:r w:rsidR="006262EB" w:rsidRPr="00E84D74">
              <w:rPr>
                <w:sz w:val="18"/>
                <w:szCs w:val="18"/>
              </w:rPr>
              <w:t xml:space="preserve"> </w:t>
            </w:r>
            <w:r w:rsidRPr="00E84D74">
              <w:rPr>
                <w:sz w:val="18"/>
                <w:szCs w:val="18"/>
              </w:rPr>
              <w:t>proposed reference price methodology.</w:t>
            </w:r>
          </w:p>
          <w:p w:rsidR="006262EB" w:rsidRPr="00E84D74" w:rsidRDefault="006262EB" w:rsidP="00DA725A">
            <w:pPr>
              <w:autoSpaceDE w:val="0"/>
              <w:autoSpaceDN w:val="0"/>
              <w:adjustRightInd w:val="0"/>
              <w:rPr>
                <w:sz w:val="18"/>
                <w:szCs w:val="18"/>
              </w:rPr>
            </w:pPr>
          </w:p>
          <w:p w:rsidR="004B480A" w:rsidRPr="00E84D74" w:rsidRDefault="004B480A" w:rsidP="00DA725A">
            <w:pPr>
              <w:autoSpaceDE w:val="0"/>
              <w:autoSpaceDN w:val="0"/>
              <w:adjustRightInd w:val="0"/>
              <w:rPr>
                <w:sz w:val="18"/>
                <w:szCs w:val="18"/>
              </w:rPr>
            </w:pPr>
            <w:r w:rsidRPr="00E84D74">
              <w:rPr>
                <w:sz w:val="18"/>
                <w:szCs w:val="18"/>
              </w:rPr>
              <w:t>3. The cost allocation assessment referred to in paragraph 1(a) shall be carried out as follows:</w:t>
            </w:r>
          </w:p>
          <w:p w:rsidR="004B480A" w:rsidRPr="00E84D74" w:rsidRDefault="004B480A" w:rsidP="00DA725A">
            <w:pPr>
              <w:autoSpaceDE w:val="0"/>
              <w:autoSpaceDN w:val="0"/>
              <w:adjustRightInd w:val="0"/>
              <w:rPr>
                <w:sz w:val="18"/>
                <w:szCs w:val="18"/>
              </w:rPr>
            </w:pPr>
            <w:r w:rsidRPr="00E84D74">
              <w:rPr>
                <w:sz w:val="18"/>
                <w:szCs w:val="18"/>
              </w:rPr>
              <w:t>(a) the transmission services capacity revenue to be obtained from intra-system network use at both all</w:t>
            </w:r>
            <w:r w:rsidR="00D5351B" w:rsidRPr="00E84D74">
              <w:rPr>
                <w:sz w:val="18"/>
                <w:szCs w:val="18"/>
              </w:rPr>
              <w:t xml:space="preserve"> </w:t>
            </w:r>
            <w:r w:rsidRPr="00E84D74">
              <w:rPr>
                <w:sz w:val="18"/>
                <w:szCs w:val="18"/>
              </w:rPr>
              <w:t>entry points and all exit points shall be divided by the value of the relevant capacity cost driver(s) for</w:t>
            </w:r>
            <w:r w:rsidR="00D5351B" w:rsidRPr="00E84D74">
              <w:rPr>
                <w:sz w:val="18"/>
                <w:szCs w:val="18"/>
              </w:rPr>
              <w:t xml:space="preserve"> </w:t>
            </w:r>
            <w:r w:rsidRPr="00E84D74">
              <w:rPr>
                <w:sz w:val="18"/>
                <w:szCs w:val="18"/>
              </w:rPr>
              <w:t>intra-system network use in order to calculate the intra-system capacity ratio, which is defined as a monetary</w:t>
            </w:r>
            <w:r w:rsidR="000C7670" w:rsidRPr="00E84D74">
              <w:rPr>
                <w:sz w:val="18"/>
                <w:szCs w:val="18"/>
              </w:rPr>
              <w:t xml:space="preserve"> </w:t>
            </w:r>
            <w:r w:rsidRPr="00E84D74">
              <w:rPr>
                <w:sz w:val="18"/>
                <w:szCs w:val="18"/>
              </w:rPr>
              <w:t>unit per measurement unit, such as in euro per MWh/day, in accordance with the following formula:</w:t>
            </w:r>
          </w:p>
          <w:p w:rsidR="004B480A" w:rsidRPr="00E84D74" w:rsidRDefault="004B480A" w:rsidP="00DA725A">
            <w:pPr>
              <w:jc w:val="both"/>
              <w:rPr>
                <w:sz w:val="18"/>
                <w:szCs w:val="18"/>
              </w:rPr>
            </w:pPr>
          </w:p>
          <w:p w:rsidR="004B480A" w:rsidRPr="00E84D74" w:rsidRDefault="004B480A" w:rsidP="00DA725A">
            <w:pPr>
              <w:jc w:val="center"/>
              <w:rPr>
                <w:b/>
                <w:sz w:val="18"/>
                <w:szCs w:val="18"/>
              </w:rPr>
            </w:pPr>
            <w:r w:rsidRPr="00E84D74">
              <w:rPr>
                <w:noProof/>
                <w:sz w:val="18"/>
                <w:szCs w:val="18"/>
                <w:lang w:eastAsia="en-US"/>
              </w:rPr>
              <w:drawing>
                <wp:inline distT="0" distB="0" distL="0" distR="0" wp14:anchorId="4247ED91" wp14:editId="5C71BAA0">
                  <wp:extent cx="1481559" cy="404062"/>
                  <wp:effectExtent l="0" t="0" r="4445" b="0"/>
                  <wp:docPr id="46" name="Picture 4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8945" cy="416985"/>
                          </a:xfrm>
                          <a:prstGeom prst="rect">
                            <a:avLst/>
                          </a:prstGeom>
                          <a:noFill/>
                          <a:ln>
                            <a:noFill/>
                          </a:ln>
                        </pic:spPr>
                      </pic:pic>
                    </a:graphicData>
                  </a:graphic>
                </wp:inline>
              </w:drawing>
            </w:r>
          </w:p>
          <w:p w:rsidR="004B480A" w:rsidRPr="00E84D74" w:rsidRDefault="004B480A" w:rsidP="00DA725A">
            <w:pPr>
              <w:jc w:val="both"/>
              <w:rPr>
                <w:i/>
                <w:iCs/>
                <w:sz w:val="18"/>
                <w:szCs w:val="18"/>
              </w:rPr>
            </w:pPr>
            <w:r w:rsidRPr="00E84D74">
              <w:rPr>
                <w:i/>
                <w:iCs/>
                <w:sz w:val="18"/>
                <w:szCs w:val="18"/>
              </w:rPr>
              <w:t>Where:</w:t>
            </w:r>
          </w:p>
          <w:p w:rsidR="004B480A" w:rsidRPr="00E84D74" w:rsidRDefault="004B480A" w:rsidP="00DA725A">
            <w:pPr>
              <w:autoSpaceDE w:val="0"/>
              <w:autoSpaceDN w:val="0"/>
              <w:adjustRightInd w:val="0"/>
              <w:rPr>
                <w:sz w:val="18"/>
                <w:szCs w:val="18"/>
              </w:rPr>
            </w:pPr>
            <w:r w:rsidRPr="00E84D74">
              <w:rPr>
                <w:noProof/>
                <w:sz w:val="18"/>
                <w:szCs w:val="18"/>
                <w:lang w:eastAsia="en-US"/>
              </w:rPr>
              <w:drawing>
                <wp:inline distT="0" distB="0" distL="0" distR="0" wp14:anchorId="30664D0A" wp14:editId="5FA644D5">
                  <wp:extent cx="723418" cy="217614"/>
                  <wp:effectExtent l="0" t="0" r="635" b="0"/>
                  <wp:docPr id="47" name="Picture 4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6443" cy="227548"/>
                          </a:xfrm>
                          <a:prstGeom prst="rect">
                            <a:avLst/>
                          </a:prstGeom>
                          <a:noFill/>
                          <a:ln>
                            <a:noFill/>
                          </a:ln>
                        </pic:spPr>
                      </pic:pic>
                    </a:graphicData>
                  </a:graphic>
                </wp:inline>
              </w:drawing>
            </w:r>
            <w:r w:rsidRPr="00E84D74">
              <w:rPr>
                <w:sz w:val="18"/>
                <w:szCs w:val="18"/>
              </w:rPr>
              <w:t>is the revenue, defined in a monetary unit such as the euro, which is obtained from capacity tariffs and charged for intra-system network use;</w:t>
            </w:r>
          </w:p>
          <w:p w:rsidR="003134A9" w:rsidRPr="00E84D74" w:rsidRDefault="004B480A" w:rsidP="00DA725A">
            <w:pPr>
              <w:autoSpaceDE w:val="0"/>
              <w:autoSpaceDN w:val="0"/>
              <w:adjustRightInd w:val="0"/>
              <w:rPr>
                <w:sz w:val="18"/>
                <w:szCs w:val="18"/>
              </w:rPr>
            </w:pPr>
            <w:r w:rsidRPr="00E84D74">
              <w:rPr>
                <w:b/>
                <w:noProof/>
                <w:sz w:val="18"/>
                <w:szCs w:val="18"/>
                <w:lang w:eastAsia="en-US"/>
              </w:rPr>
              <w:drawing>
                <wp:inline distT="0" distB="0" distL="0" distR="0">
                  <wp:extent cx="688694" cy="238333"/>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01336" cy="242708"/>
                          </a:xfrm>
                          <a:prstGeom prst="rect">
                            <a:avLst/>
                          </a:prstGeom>
                          <a:noFill/>
                          <a:ln>
                            <a:noFill/>
                          </a:ln>
                        </pic:spPr>
                      </pic:pic>
                    </a:graphicData>
                  </a:graphic>
                </wp:inline>
              </w:drawing>
            </w:r>
            <w:r w:rsidR="003134A9" w:rsidRPr="00E84D74">
              <w:rPr>
                <w:sz w:val="18"/>
                <w:szCs w:val="18"/>
              </w:rPr>
              <w:t>is the value of capacity-related cost driver(s) for intra-system network use, such as the sum of the average daily forecasted capacities contracted at each intra-system entry point and inra-system exit point, or cluster of points, and is defined in a measurement unit such as MWh/day.</w:t>
            </w:r>
          </w:p>
          <w:p w:rsidR="004B480A" w:rsidRPr="00E84D74" w:rsidRDefault="003134A9" w:rsidP="00DA725A">
            <w:pPr>
              <w:autoSpaceDE w:val="0"/>
              <w:autoSpaceDN w:val="0"/>
              <w:adjustRightInd w:val="0"/>
              <w:rPr>
                <w:sz w:val="18"/>
                <w:szCs w:val="18"/>
              </w:rPr>
            </w:pPr>
            <w:r w:rsidRPr="00E84D74">
              <w:rPr>
                <w:sz w:val="18"/>
                <w:szCs w:val="18"/>
              </w:rPr>
              <w:t>(b) the transmission services capacity revenue to be obtained from cross-system network use at both</w:t>
            </w:r>
            <w:r w:rsidR="00D5351B" w:rsidRPr="00E84D74">
              <w:rPr>
                <w:sz w:val="18"/>
                <w:szCs w:val="18"/>
              </w:rPr>
              <w:t xml:space="preserve"> </w:t>
            </w:r>
            <w:r w:rsidRPr="00E84D74">
              <w:rPr>
                <w:sz w:val="18"/>
                <w:szCs w:val="18"/>
              </w:rPr>
              <w:t>all entry points and all exit points shall be divided by the value of the relevant capacity cost driver(s) for cross-system network use in order to calculate the cross-system capacity ratio, which is defined as a monetary unit per measurement unit, such as in euro per MWh/day, in accordance with the following formula:</w:t>
            </w:r>
          </w:p>
          <w:p w:rsidR="000C7670" w:rsidRPr="00E84D74" w:rsidRDefault="000C7670" w:rsidP="00DA725A">
            <w:pPr>
              <w:autoSpaceDE w:val="0"/>
              <w:autoSpaceDN w:val="0"/>
              <w:adjustRightInd w:val="0"/>
              <w:jc w:val="center"/>
              <w:rPr>
                <w:b/>
                <w:sz w:val="18"/>
                <w:szCs w:val="18"/>
              </w:rPr>
            </w:pPr>
            <w:r w:rsidRPr="00E84D74">
              <w:rPr>
                <w:b/>
                <w:noProof/>
                <w:sz w:val="18"/>
                <w:szCs w:val="18"/>
                <w:lang w:eastAsia="en-US"/>
              </w:rPr>
              <w:drawing>
                <wp:inline distT="0" distB="0" distL="0" distR="0">
                  <wp:extent cx="1406769" cy="369394"/>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2464" cy="373515"/>
                          </a:xfrm>
                          <a:prstGeom prst="rect">
                            <a:avLst/>
                          </a:prstGeom>
                          <a:noFill/>
                          <a:ln>
                            <a:noFill/>
                          </a:ln>
                        </pic:spPr>
                      </pic:pic>
                    </a:graphicData>
                  </a:graphic>
                </wp:inline>
              </w:drawing>
            </w:r>
          </w:p>
          <w:p w:rsidR="000C7670" w:rsidRPr="00E84D74" w:rsidRDefault="00830352" w:rsidP="00DA725A">
            <w:pPr>
              <w:autoSpaceDE w:val="0"/>
              <w:autoSpaceDN w:val="0"/>
              <w:adjustRightInd w:val="0"/>
              <w:rPr>
                <w:i/>
                <w:iCs/>
                <w:sz w:val="18"/>
                <w:szCs w:val="18"/>
              </w:rPr>
            </w:pPr>
            <w:r w:rsidRPr="00E84D74">
              <w:rPr>
                <w:i/>
                <w:iCs/>
                <w:sz w:val="18"/>
                <w:szCs w:val="18"/>
              </w:rPr>
              <w:t>Where:</w:t>
            </w:r>
          </w:p>
          <w:p w:rsidR="00830352" w:rsidRPr="00E84D74" w:rsidRDefault="00830352" w:rsidP="00DA725A">
            <w:pPr>
              <w:autoSpaceDE w:val="0"/>
              <w:autoSpaceDN w:val="0"/>
              <w:adjustRightInd w:val="0"/>
              <w:rPr>
                <w:sz w:val="18"/>
                <w:szCs w:val="18"/>
              </w:rPr>
            </w:pPr>
            <w:r w:rsidRPr="00E84D74">
              <w:rPr>
                <w:noProof/>
                <w:sz w:val="18"/>
                <w:szCs w:val="18"/>
                <w:lang w:eastAsia="en-US"/>
              </w:rPr>
              <w:drawing>
                <wp:inline distT="0" distB="0" distL="0" distR="0" wp14:anchorId="04D90D11" wp14:editId="15D705C4">
                  <wp:extent cx="833377" cy="232253"/>
                  <wp:effectExtent l="0" t="0" r="5080" b="0"/>
                  <wp:docPr id="51" name="Picture 5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5307" cy="235578"/>
                          </a:xfrm>
                          <a:prstGeom prst="rect">
                            <a:avLst/>
                          </a:prstGeom>
                          <a:noFill/>
                          <a:ln>
                            <a:noFill/>
                          </a:ln>
                        </pic:spPr>
                      </pic:pic>
                    </a:graphicData>
                  </a:graphic>
                </wp:inline>
              </w:drawing>
            </w:r>
            <w:r w:rsidRPr="00E84D74">
              <w:rPr>
                <w:sz w:val="18"/>
                <w:szCs w:val="18"/>
              </w:rPr>
              <w:t>is the revenue, defined in a monetary unit such as the euro, which is obtained from capacity tariffs and charged for cross-system network use;</w:t>
            </w:r>
          </w:p>
          <w:p w:rsidR="00830352" w:rsidRPr="00E84D74" w:rsidRDefault="00830352" w:rsidP="00DA725A">
            <w:pPr>
              <w:autoSpaceDE w:val="0"/>
              <w:autoSpaceDN w:val="0"/>
              <w:adjustRightInd w:val="0"/>
              <w:rPr>
                <w:sz w:val="18"/>
                <w:szCs w:val="18"/>
              </w:rPr>
            </w:pPr>
            <w:r w:rsidRPr="00E84D74">
              <w:rPr>
                <w:noProof/>
                <w:sz w:val="18"/>
                <w:szCs w:val="18"/>
                <w:lang w:eastAsia="en-US"/>
              </w:rPr>
              <w:lastRenderedPageBreak/>
              <w:drawing>
                <wp:inline distT="0" distB="0" distL="0" distR="0" wp14:anchorId="5A64883C" wp14:editId="5DCB5B95">
                  <wp:extent cx="696351" cy="229863"/>
                  <wp:effectExtent l="0" t="0" r="0" b="0"/>
                  <wp:docPr id="52" name="Picture 5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3496" cy="235522"/>
                          </a:xfrm>
                          <a:prstGeom prst="rect">
                            <a:avLst/>
                          </a:prstGeom>
                          <a:noFill/>
                          <a:ln>
                            <a:noFill/>
                          </a:ln>
                        </pic:spPr>
                      </pic:pic>
                    </a:graphicData>
                  </a:graphic>
                </wp:inline>
              </w:drawing>
            </w:r>
            <w:r w:rsidRPr="00E84D74">
              <w:rPr>
                <w:b/>
                <w:sz w:val="18"/>
                <w:szCs w:val="18"/>
              </w:rPr>
              <w:t xml:space="preserve"> </w:t>
            </w:r>
            <w:r w:rsidRPr="00E84D74">
              <w:rPr>
                <w:sz w:val="18"/>
                <w:szCs w:val="18"/>
              </w:rPr>
              <w:t>is the value of capacity-related cost driver(s) for cross-system network use, such as the sum of the average daily forecasted capacities contracted at each cross-system entry and exit point, or cluster of points, and is defined in a measurement unit such as MWh/day.</w:t>
            </w:r>
          </w:p>
          <w:p w:rsidR="00830352" w:rsidRPr="00E84D74" w:rsidRDefault="00830352" w:rsidP="00DA725A">
            <w:pPr>
              <w:autoSpaceDE w:val="0"/>
              <w:autoSpaceDN w:val="0"/>
              <w:adjustRightInd w:val="0"/>
              <w:rPr>
                <w:sz w:val="18"/>
                <w:szCs w:val="18"/>
              </w:rPr>
            </w:pPr>
            <w:r w:rsidRPr="00E84D74">
              <w:rPr>
                <w:sz w:val="18"/>
                <w:szCs w:val="18"/>
              </w:rPr>
              <w:t>(c) the capacity cost allocation comparison index between the ratios referred to in points (a) and (b), which is defined in percentage, shall be calculated in accordance with the following formula:</w:t>
            </w:r>
          </w:p>
          <w:p w:rsidR="004B0E96" w:rsidRPr="00E84D74" w:rsidRDefault="004B0E96" w:rsidP="00DA725A">
            <w:pPr>
              <w:autoSpaceDE w:val="0"/>
              <w:autoSpaceDN w:val="0"/>
              <w:adjustRightInd w:val="0"/>
              <w:rPr>
                <w:noProof/>
                <w:sz w:val="18"/>
                <w:szCs w:val="18"/>
                <w:lang w:eastAsia="en-US"/>
              </w:rPr>
            </w:pPr>
          </w:p>
          <w:p w:rsidR="004B0E96" w:rsidRPr="00E84D74" w:rsidRDefault="004B0E96" w:rsidP="00DA725A">
            <w:pPr>
              <w:autoSpaceDE w:val="0"/>
              <w:autoSpaceDN w:val="0"/>
              <w:adjustRightInd w:val="0"/>
              <w:jc w:val="center"/>
              <w:rPr>
                <w:b/>
                <w:sz w:val="18"/>
                <w:szCs w:val="18"/>
              </w:rPr>
            </w:pPr>
            <w:r w:rsidRPr="00E84D74">
              <w:rPr>
                <w:noProof/>
                <w:sz w:val="18"/>
                <w:szCs w:val="18"/>
                <w:lang w:eastAsia="en-US"/>
              </w:rPr>
              <w:drawing>
                <wp:inline distT="0" distB="0" distL="0" distR="0" wp14:anchorId="2E00CCFC" wp14:editId="6FC4AA3F">
                  <wp:extent cx="2173459" cy="322886"/>
                  <wp:effectExtent l="0" t="0" r="0" b="1270"/>
                  <wp:docPr id="53" name="Picture 5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5350" cy="335052"/>
                          </a:xfrm>
                          <a:prstGeom prst="rect">
                            <a:avLst/>
                          </a:prstGeom>
                          <a:noFill/>
                          <a:ln>
                            <a:noFill/>
                          </a:ln>
                        </pic:spPr>
                      </pic:pic>
                    </a:graphicData>
                  </a:graphic>
                </wp:inline>
              </w:drawing>
            </w:r>
          </w:p>
          <w:p w:rsidR="00424459" w:rsidRPr="00E84D74" w:rsidRDefault="00424459" w:rsidP="00DA725A">
            <w:pPr>
              <w:autoSpaceDE w:val="0"/>
              <w:autoSpaceDN w:val="0"/>
              <w:adjustRightInd w:val="0"/>
              <w:rPr>
                <w:sz w:val="18"/>
                <w:szCs w:val="18"/>
              </w:rPr>
            </w:pPr>
          </w:p>
          <w:p w:rsidR="004B0E96" w:rsidRPr="00E84D74" w:rsidRDefault="004B0E96" w:rsidP="00DA725A">
            <w:pPr>
              <w:autoSpaceDE w:val="0"/>
              <w:autoSpaceDN w:val="0"/>
              <w:adjustRightInd w:val="0"/>
              <w:rPr>
                <w:sz w:val="18"/>
                <w:szCs w:val="18"/>
              </w:rPr>
            </w:pPr>
            <w:r w:rsidRPr="00E84D74">
              <w:rPr>
                <w:sz w:val="18"/>
                <w:szCs w:val="18"/>
              </w:rPr>
              <w:t>4. The cost allocation assessment referred to in paragraph 1(b) shall be carried out as follows:</w:t>
            </w:r>
          </w:p>
          <w:p w:rsidR="004B0E96" w:rsidRPr="00E84D74" w:rsidRDefault="004B0E96" w:rsidP="00DA725A">
            <w:pPr>
              <w:autoSpaceDE w:val="0"/>
              <w:autoSpaceDN w:val="0"/>
              <w:adjustRightInd w:val="0"/>
              <w:rPr>
                <w:sz w:val="18"/>
                <w:szCs w:val="18"/>
              </w:rPr>
            </w:pPr>
            <w:r w:rsidRPr="00E84D74">
              <w:rPr>
                <w:sz w:val="18"/>
                <w:szCs w:val="18"/>
              </w:rPr>
              <w:t>(a) the transmission services commodity revenue to be obtained from intra-system network use at both all entry points and all exit points shall be divided by the value of the relevant commodity cost driver(s) for intra-system network use in order to calculate the intra-system commodity ratio, which is defined as a monetary unit per measurement unit, such as in euro per MWh, in accordance with the following formula:</w:t>
            </w:r>
          </w:p>
          <w:p w:rsidR="004B0E96" w:rsidRPr="00E84D74" w:rsidRDefault="004B0E96" w:rsidP="00DA725A">
            <w:pPr>
              <w:autoSpaceDE w:val="0"/>
              <w:autoSpaceDN w:val="0"/>
              <w:adjustRightInd w:val="0"/>
              <w:rPr>
                <w:sz w:val="18"/>
                <w:szCs w:val="18"/>
              </w:rPr>
            </w:pPr>
          </w:p>
          <w:p w:rsidR="004B0E96" w:rsidRPr="00E84D74" w:rsidRDefault="004B0E96" w:rsidP="00DA725A">
            <w:pPr>
              <w:autoSpaceDE w:val="0"/>
              <w:autoSpaceDN w:val="0"/>
              <w:adjustRightInd w:val="0"/>
              <w:jc w:val="center"/>
              <w:rPr>
                <w:b/>
                <w:sz w:val="18"/>
                <w:szCs w:val="18"/>
              </w:rPr>
            </w:pPr>
            <w:r w:rsidRPr="00E84D74">
              <w:rPr>
                <w:noProof/>
                <w:sz w:val="18"/>
                <w:szCs w:val="18"/>
                <w:lang w:eastAsia="en-US"/>
              </w:rPr>
              <w:drawing>
                <wp:inline distT="0" distB="0" distL="0" distR="0" wp14:anchorId="6C4C9086" wp14:editId="505160FA">
                  <wp:extent cx="1635455" cy="393016"/>
                  <wp:effectExtent l="0" t="0" r="3175" b="7620"/>
                  <wp:docPr id="54" name="Picture 5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2638" cy="401951"/>
                          </a:xfrm>
                          <a:prstGeom prst="rect">
                            <a:avLst/>
                          </a:prstGeom>
                          <a:noFill/>
                          <a:ln>
                            <a:noFill/>
                          </a:ln>
                        </pic:spPr>
                      </pic:pic>
                    </a:graphicData>
                  </a:graphic>
                </wp:inline>
              </w:drawing>
            </w:r>
          </w:p>
          <w:p w:rsidR="004B0E96" w:rsidRPr="00E84D74" w:rsidRDefault="00C005DC" w:rsidP="00DA725A">
            <w:pPr>
              <w:autoSpaceDE w:val="0"/>
              <w:autoSpaceDN w:val="0"/>
              <w:adjustRightInd w:val="0"/>
              <w:rPr>
                <w:iCs/>
                <w:sz w:val="18"/>
                <w:szCs w:val="18"/>
              </w:rPr>
            </w:pPr>
            <w:r w:rsidRPr="00E84D74">
              <w:rPr>
                <w:iCs/>
                <w:sz w:val="18"/>
                <w:szCs w:val="18"/>
              </w:rPr>
              <w:t>Where:</w:t>
            </w:r>
          </w:p>
          <w:p w:rsidR="00C005DC" w:rsidRPr="00E84D74" w:rsidRDefault="00C005DC" w:rsidP="00DA725A">
            <w:pPr>
              <w:autoSpaceDE w:val="0"/>
              <w:autoSpaceDN w:val="0"/>
              <w:adjustRightInd w:val="0"/>
              <w:rPr>
                <w:sz w:val="18"/>
                <w:szCs w:val="18"/>
              </w:rPr>
            </w:pPr>
            <w:r w:rsidRPr="00E84D74">
              <w:rPr>
                <w:noProof/>
                <w:sz w:val="18"/>
                <w:szCs w:val="18"/>
                <w:lang w:eastAsia="en-US"/>
              </w:rPr>
              <w:drawing>
                <wp:inline distT="0" distB="0" distL="0" distR="0" wp14:anchorId="24CDCC15" wp14:editId="061B1494">
                  <wp:extent cx="819150" cy="218857"/>
                  <wp:effectExtent l="0" t="0" r="0" b="0"/>
                  <wp:docPr id="55" name="Picture 5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2610" cy="227797"/>
                          </a:xfrm>
                          <a:prstGeom prst="rect">
                            <a:avLst/>
                          </a:prstGeom>
                          <a:noFill/>
                          <a:ln>
                            <a:noFill/>
                          </a:ln>
                        </pic:spPr>
                      </pic:pic>
                    </a:graphicData>
                  </a:graphic>
                </wp:inline>
              </w:drawing>
            </w:r>
            <w:r w:rsidRPr="00E84D74">
              <w:rPr>
                <w:sz w:val="18"/>
                <w:szCs w:val="18"/>
              </w:rPr>
              <w:t>is the revenue, defined in a monetary unit such as the euro, which is obtained from commodity tariffs and charged for intra-system network use;</w:t>
            </w:r>
          </w:p>
          <w:p w:rsidR="00C005DC" w:rsidRPr="00E84D74" w:rsidRDefault="00C005DC" w:rsidP="00DA725A">
            <w:pPr>
              <w:autoSpaceDE w:val="0"/>
              <w:autoSpaceDN w:val="0"/>
              <w:adjustRightInd w:val="0"/>
              <w:rPr>
                <w:sz w:val="18"/>
                <w:szCs w:val="18"/>
              </w:rPr>
            </w:pPr>
            <w:r w:rsidRPr="00E84D74">
              <w:rPr>
                <w:noProof/>
                <w:sz w:val="18"/>
                <w:szCs w:val="18"/>
                <w:lang w:eastAsia="en-US"/>
              </w:rPr>
              <w:drawing>
                <wp:inline distT="0" distB="0" distL="0" distR="0" wp14:anchorId="0B7077B6" wp14:editId="74AD28C0">
                  <wp:extent cx="771525" cy="238357"/>
                  <wp:effectExtent l="0" t="0" r="0" b="9525"/>
                  <wp:docPr id="5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89947" cy="244048"/>
                          </a:xfrm>
                          <a:prstGeom prst="rect">
                            <a:avLst/>
                          </a:prstGeom>
                          <a:noFill/>
                          <a:ln>
                            <a:noFill/>
                          </a:ln>
                        </pic:spPr>
                      </pic:pic>
                    </a:graphicData>
                  </a:graphic>
                </wp:inline>
              </w:drawing>
            </w:r>
            <w:r w:rsidRPr="00E84D74">
              <w:rPr>
                <w:sz w:val="18"/>
                <w:szCs w:val="18"/>
              </w:rPr>
              <w:t xml:space="preserve"> is the value of commodity-related cost driver(s) for intra-system network use, such as the sum of the average daily forecasted flows at each intra-system entry and exit point, or cluster of points, and is defined in a measurement unit such as MWh.</w:t>
            </w:r>
          </w:p>
          <w:p w:rsidR="00C005DC" w:rsidRPr="00E84D74" w:rsidRDefault="00C005DC" w:rsidP="00DA725A">
            <w:pPr>
              <w:autoSpaceDE w:val="0"/>
              <w:autoSpaceDN w:val="0"/>
              <w:adjustRightInd w:val="0"/>
              <w:rPr>
                <w:sz w:val="18"/>
                <w:szCs w:val="18"/>
              </w:rPr>
            </w:pPr>
            <w:r w:rsidRPr="00E84D74">
              <w:rPr>
                <w:sz w:val="18"/>
                <w:szCs w:val="18"/>
              </w:rPr>
              <w:t xml:space="preserve">(b) the transmission services commodity revenue to be obtained from cross-system network use at both all entry points and all exit points shall be divided by the value of the relevant commodity cost driver(s) for cross-system network use in order to calculate the </w:t>
            </w:r>
            <w:r w:rsidRPr="00E84D74">
              <w:rPr>
                <w:sz w:val="18"/>
                <w:szCs w:val="18"/>
              </w:rPr>
              <w:lastRenderedPageBreak/>
              <w:t>cross-system commodity ratio, which is defined as a monetary unit per measurement unit, such as in euro per MWh, in accordance with the following formula:</w:t>
            </w:r>
          </w:p>
          <w:p w:rsidR="005D3010" w:rsidRPr="00E84D74" w:rsidRDefault="005D3010" w:rsidP="00DA725A">
            <w:pPr>
              <w:autoSpaceDE w:val="0"/>
              <w:autoSpaceDN w:val="0"/>
              <w:adjustRightInd w:val="0"/>
              <w:rPr>
                <w:sz w:val="18"/>
                <w:szCs w:val="18"/>
              </w:rPr>
            </w:pPr>
          </w:p>
          <w:p w:rsidR="00C005DC" w:rsidRPr="00E84D74" w:rsidRDefault="00C005DC" w:rsidP="00DA725A">
            <w:pPr>
              <w:autoSpaceDE w:val="0"/>
              <w:autoSpaceDN w:val="0"/>
              <w:adjustRightInd w:val="0"/>
              <w:jc w:val="center"/>
              <w:rPr>
                <w:b/>
                <w:sz w:val="18"/>
                <w:szCs w:val="18"/>
              </w:rPr>
            </w:pPr>
            <w:r w:rsidRPr="00E84D74">
              <w:rPr>
                <w:b/>
                <w:noProof/>
                <w:sz w:val="18"/>
                <w:szCs w:val="18"/>
                <w:lang w:eastAsia="en-US"/>
              </w:rPr>
              <w:drawing>
                <wp:inline distT="0" distB="0" distL="0" distR="0">
                  <wp:extent cx="1463040" cy="340921"/>
                  <wp:effectExtent l="0" t="0" r="381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74435" cy="343576"/>
                          </a:xfrm>
                          <a:prstGeom prst="rect">
                            <a:avLst/>
                          </a:prstGeom>
                          <a:noFill/>
                          <a:ln>
                            <a:noFill/>
                          </a:ln>
                        </pic:spPr>
                      </pic:pic>
                    </a:graphicData>
                  </a:graphic>
                </wp:inline>
              </w:drawing>
            </w:r>
          </w:p>
          <w:p w:rsidR="00302CEB" w:rsidRPr="00E84D74" w:rsidRDefault="00205EE2" w:rsidP="00DA725A">
            <w:pPr>
              <w:autoSpaceDE w:val="0"/>
              <w:autoSpaceDN w:val="0"/>
              <w:adjustRightInd w:val="0"/>
              <w:rPr>
                <w:sz w:val="18"/>
                <w:szCs w:val="18"/>
              </w:rPr>
            </w:pPr>
            <w:r w:rsidRPr="00E84D74">
              <w:rPr>
                <w:sz w:val="18"/>
                <w:szCs w:val="18"/>
              </w:rPr>
              <w:t>Where:</w:t>
            </w:r>
          </w:p>
          <w:p w:rsidR="00205EE2" w:rsidRPr="00E84D74" w:rsidRDefault="00205EE2" w:rsidP="00DA725A">
            <w:pPr>
              <w:autoSpaceDE w:val="0"/>
              <w:autoSpaceDN w:val="0"/>
              <w:adjustRightInd w:val="0"/>
              <w:rPr>
                <w:sz w:val="18"/>
                <w:szCs w:val="18"/>
              </w:rPr>
            </w:pPr>
            <w:r w:rsidRPr="00E84D74">
              <w:rPr>
                <w:b/>
                <w:noProof/>
                <w:sz w:val="18"/>
                <w:szCs w:val="18"/>
                <w:lang w:eastAsia="en-US"/>
              </w:rPr>
              <w:drawing>
                <wp:inline distT="0" distB="0" distL="0" distR="0">
                  <wp:extent cx="954967" cy="24618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65113" cy="248801"/>
                          </a:xfrm>
                          <a:prstGeom prst="rect">
                            <a:avLst/>
                          </a:prstGeom>
                          <a:noFill/>
                          <a:ln>
                            <a:noFill/>
                          </a:ln>
                        </pic:spPr>
                      </pic:pic>
                    </a:graphicData>
                  </a:graphic>
                </wp:inline>
              </w:drawing>
            </w:r>
            <w:r w:rsidRPr="00E84D74">
              <w:rPr>
                <w:sz w:val="18"/>
                <w:szCs w:val="18"/>
              </w:rPr>
              <w:t>is the revenue, defined in a monetary unit such as the euro, which is obtained from commodity tariffs and charged on cross-system network use;</w:t>
            </w:r>
          </w:p>
          <w:p w:rsidR="00205EE2" w:rsidRPr="00E84D74" w:rsidRDefault="00205EE2" w:rsidP="00DA725A">
            <w:pPr>
              <w:autoSpaceDE w:val="0"/>
              <w:autoSpaceDN w:val="0"/>
              <w:adjustRightInd w:val="0"/>
              <w:rPr>
                <w:sz w:val="18"/>
                <w:szCs w:val="18"/>
              </w:rPr>
            </w:pPr>
          </w:p>
          <w:p w:rsidR="00205EE2" w:rsidRPr="00E84D74" w:rsidRDefault="00205EE2" w:rsidP="00DA725A">
            <w:pPr>
              <w:autoSpaceDE w:val="0"/>
              <w:autoSpaceDN w:val="0"/>
              <w:adjustRightInd w:val="0"/>
              <w:rPr>
                <w:sz w:val="18"/>
                <w:szCs w:val="18"/>
              </w:rPr>
            </w:pPr>
            <w:r w:rsidRPr="00E84D74">
              <w:rPr>
                <w:noProof/>
                <w:sz w:val="18"/>
                <w:szCs w:val="18"/>
                <w:lang w:eastAsia="en-US"/>
              </w:rPr>
              <w:drawing>
                <wp:inline distT="0" distB="0" distL="0" distR="0" wp14:anchorId="64D84CE5" wp14:editId="590AD81D">
                  <wp:extent cx="819150" cy="228772"/>
                  <wp:effectExtent l="0" t="0" r="0" b="0"/>
                  <wp:docPr id="59" name="Picture 5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3981" cy="232914"/>
                          </a:xfrm>
                          <a:prstGeom prst="rect">
                            <a:avLst/>
                          </a:prstGeom>
                          <a:noFill/>
                          <a:ln>
                            <a:noFill/>
                          </a:ln>
                        </pic:spPr>
                      </pic:pic>
                    </a:graphicData>
                  </a:graphic>
                </wp:inline>
              </w:drawing>
            </w:r>
            <w:r w:rsidR="001111E9" w:rsidRPr="00E84D74">
              <w:rPr>
                <w:sz w:val="18"/>
                <w:szCs w:val="18"/>
              </w:rPr>
              <w:t>is the value of commodity-related cost driver(s) for cross-system network use, such as the sum of the average daily forecasted flows at each cross-system entry and exit point, or cluster of points, and is defined in a measurement unit such as MWh.</w:t>
            </w:r>
          </w:p>
          <w:p w:rsidR="001111E9" w:rsidRPr="00E84D74" w:rsidRDefault="001111E9" w:rsidP="00DA725A">
            <w:pPr>
              <w:autoSpaceDE w:val="0"/>
              <w:autoSpaceDN w:val="0"/>
              <w:adjustRightInd w:val="0"/>
              <w:rPr>
                <w:sz w:val="18"/>
                <w:szCs w:val="18"/>
              </w:rPr>
            </w:pPr>
          </w:p>
          <w:p w:rsidR="001111E9" w:rsidRPr="00E84D74" w:rsidRDefault="001111E9" w:rsidP="00DA725A">
            <w:pPr>
              <w:autoSpaceDE w:val="0"/>
              <w:autoSpaceDN w:val="0"/>
              <w:adjustRightInd w:val="0"/>
              <w:rPr>
                <w:sz w:val="18"/>
                <w:szCs w:val="18"/>
              </w:rPr>
            </w:pPr>
            <w:r w:rsidRPr="00E84D74">
              <w:rPr>
                <w:sz w:val="18"/>
                <w:szCs w:val="18"/>
              </w:rPr>
              <w:t>(c) the commodity cost allocation comparison index between the ratios referred to in points (a) and (b), which is defined in percentage, shall be calculated in accordance with the following formula:</w:t>
            </w:r>
          </w:p>
          <w:p w:rsidR="001111E9" w:rsidRPr="00E84D74" w:rsidRDefault="001111E9" w:rsidP="00DA725A">
            <w:pPr>
              <w:autoSpaceDE w:val="0"/>
              <w:autoSpaceDN w:val="0"/>
              <w:adjustRightInd w:val="0"/>
              <w:rPr>
                <w:sz w:val="18"/>
                <w:szCs w:val="18"/>
              </w:rPr>
            </w:pPr>
          </w:p>
          <w:p w:rsidR="001111E9" w:rsidRPr="00E84D74" w:rsidRDefault="001111E9" w:rsidP="00DA725A">
            <w:pPr>
              <w:autoSpaceDE w:val="0"/>
              <w:autoSpaceDN w:val="0"/>
              <w:adjustRightInd w:val="0"/>
              <w:rPr>
                <w:b/>
                <w:sz w:val="18"/>
                <w:szCs w:val="18"/>
              </w:rPr>
            </w:pPr>
            <w:r w:rsidRPr="00E84D74">
              <w:rPr>
                <w:noProof/>
                <w:sz w:val="18"/>
                <w:szCs w:val="18"/>
                <w:lang w:eastAsia="en-US"/>
              </w:rPr>
              <w:drawing>
                <wp:inline distT="0" distB="0" distL="0" distR="0" wp14:anchorId="54AE96A3" wp14:editId="48D5CB33">
                  <wp:extent cx="2335774" cy="302785"/>
                  <wp:effectExtent l="0" t="0" r="0" b="2540"/>
                  <wp:docPr id="61" name="Picture 6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98538" cy="310921"/>
                          </a:xfrm>
                          <a:prstGeom prst="rect">
                            <a:avLst/>
                          </a:prstGeom>
                          <a:noFill/>
                          <a:ln>
                            <a:noFill/>
                          </a:ln>
                        </pic:spPr>
                      </pic:pic>
                    </a:graphicData>
                  </a:graphic>
                </wp:inline>
              </w:drawing>
            </w:r>
          </w:p>
          <w:p w:rsidR="00591776" w:rsidRDefault="00591776" w:rsidP="00DA725A">
            <w:pPr>
              <w:autoSpaceDE w:val="0"/>
              <w:autoSpaceDN w:val="0"/>
              <w:adjustRightInd w:val="0"/>
              <w:rPr>
                <w:sz w:val="18"/>
                <w:szCs w:val="18"/>
              </w:rPr>
            </w:pPr>
          </w:p>
          <w:p w:rsidR="00B06A7D" w:rsidRDefault="00B06A7D" w:rsidP="00DA725A">
            <w:pPr>
              <w:autoSpaceDE w:val="0"/>
              <w:autoSpaceDN w:val="0"/>
              <w:adjustRightInd w:val="0"/>
              <w:rPr>
                <w:sz w:val="18"/>
                <w:szCs w:val="18"/>
              </w:rPr>
            </w:pPr>
          </w:p>
          <w:p w:rsidR="001111E9" w:rsidRPr="00E84D74" w:rsidRDefault="001111E9" w:rsidP="00DA725A">
            <w:pPr>
              <w:autoSpaceDE w:val="0"/>
              <w:autoSpaceDN w:val="0"/>
              <w:adjustRightInd w:val="0"/>
              <w:rPr>
                <w:sz w:val="18"/>
                <w:szCs w:val="18"/>
              </w:rPr>
            </w:pPr>
            <w:r w:rsidRPr="00E84D74">
              <w:rPr>
                <w:sz w:val="18"/>
                <w:szCs w:val="18"/>
              </w:rPr>
              <w:t>5. The transmission services revenue to be obtained from intra-system network use at entry points referred to in paragraphs 3(a) and 4(a) shall be calculated as follows:</w:t>
            </w:r>
          </w:p>
          <w:p w:rsidR="0028477D" w:rsidRPr="00E84D74" w:rsidRDefault="001111E9" w:rsidP="00DA725A">
            <w:pPr>
              <w:autoSpaceDE w:val="0"/>
              <w:autoSpaceDN w:val="0"/>
              <w:adjustRightInd w:val="0"/>
              <w:rPr>
                <w:sz w:val="18"/>
                <w:szCs w:val="18"/>
              </w:rPr>
            </w:pPr>
            <w:r w:rsidRPr="00E84D74">
              <w:rPr>
                <w:sz w:val="18"/>
                <w:szCs w:val="18"/>
              </w:rPr>
              <w:t xml:space="preserve">(a) the amount of allocated capacity or,  espectively, flows attributed to the provision of transmission services for cross-system network use at all entry points shall be deemed </w:t>
            </w:r>
            <w:r w:rsidR="00591776" w:rsidRPr="00E84D74">
              <w:rPr>
                <w:sz w:val="18"/>
                <w:szCs w:val="18"/>
              </w:rPr>
              <w:t xml:space="preserve">equal to the amount of capacity </w:t>
            </w:r>
            <w:r w:rsidR="0028477D" w:rsidRPr="00E84D74">
              <w:rPr>
                <w:sz w:val="18"/>
                <w:szCs w:val="18"/>
              </w:rPr>
              <w:t>or, respectively, flows attributed to the provision of transmission services for cross-system network use at all exit points;</w:t>
            </w:r>
          </w:p>
          <w:p w:rsidR="0028477D" w:rsidRPr="00E84D74" w:rsidRDefault="0028477D" w:rsidP="00DA725A">
            <w:pPr>
              <w:autoSpaceDE w:val="0"/>
              <w:autoSpaceDN w:val="0"/>
              <w:adjustRightInd w:val="0"/>
              <w:rPr>
                <w:sz w:val="18"/>
                <w:szCs w:val="18"/>
              </w:rPr>
            </w:pPr>
            <w:r w:rsidRPr="00E84D74">
              <w:rPr>
                <w:sz w:val="18"/>
                <w:szCs w:val="18"/>
              </w:rPr>
              <w:t>(b) the capacity and, respectively, flows, determined as set out in point (a) of this paragraph shall be used to calculate the transmission services revenue to be obtained from cross-system network use at entry points;</w:t>
            </w:r>
          </w:p>
          <w:p w:rsidR="0028477D" w:rsidRPr="00E84D74" w:rsidRDefault="0028477D" w:rsidP="00DA725A">
            <w:pPr>
              <w:autoSpaceDE w:val="0"/>
              <w:autoSpaceDN w:val="0"/>
              <w:adjustRightInd w:val="0"/>
              <w:rPr>
                <w:sz w:val="18"/>
                <w:szCs w:val="18"/>
              </w:rPr>
            </w:pPr>
            <w:r w:rsidRPr="00E84D74">
              <w:rPr>
                <w:sz w:val="18"/>
                <w:szCs w:val="18"/>
              </w:rPr>
              <w:t xml:space="preserve">(c) the difference between the overall  transmission services revenue to be obtained at entry points and the </w:t>
            </w:r>
            <w:r w:rsidRPr="00E84D74">
              <w:rPr>
                <w:sz w:val="18"/>
                <w:szCs w:val="18"/>
              </w:rPr>
              <w:lastRenderedPageBreak/>
              <w:t>resulting value referred to in point (b) of this paragraph shall be equal to the transmission services revenue to be obtained from intra-system network use at entry points.</w:t>
            </w:r>
          </w:p>
          <w:p w:rsidR="00EE6146" w:rsidRPr="00E84D74" w:rsidRDefault="00EE6146" w:rsidP="00DA725A">
            <w:pPr>
              <w:autoSpaceDE w:val="0"/>
              <w:autoSpaceDN w:val="0"/>
              <w:adjustRightInd w:val="0"/>
              <w:rPr>
                <w:sz w:val="18"/>
                <w:szCs w:val="18"/>
              </w:rPr>
            </w:pPr>
          </w:p>
          <w:p w:rsidR="00F50C83" w:rsidRPr="00E84D74" w:rsidRDefault="0028477D" w:rsidP="00F42E2D">
            <w:pPr>
              <w:autoSpaceDE w:val="0"/>
              <w:autoSpaceDN w:val="0"/>
              <w:adjustRightInd w:val="0"/>
              <w:jc w:val="both"/>
              <w:rPr>
                <w:sz w:val="18"/>
                <w:szCs w:val="18"/>
              </w:rPr>
            </w:pPr>
            <w:r w:rsidRPr="00E84D74">
              <w:rPr>
                <w:sz w:val="18"/>
                <w:szCs w:val="18"/>
              </w:rPr>
              <w:t>6. Where distance is used as a cost driver in combination with technical or forecasted contracted capacity or flows, the capacity weighted average distance or, respectively, commodity weighted average distance</w:t>
            </w:r>
            <w:r w:rsidR="00591776" w:rsidRPr="00E84D74">
              <w:rPr>
                <w:sz w:val="18"/>
                <w:szCs w:val="18"/>
              </w:rPr>
              <w:t xml:space="preserve"> </w:t>
            </w:r>
            <w:r w:rsidRPr="00E84D74">
              <w:rPr>
                <w:sz w:val="18"/>
                <w:szCs w:val="18"/>
              </w:rPr>
              <w:t>shall be used. Where the results of the capacity, or respectively commodity cost allocation comparison indexes referred to in paragraph 3(c) or, respectively paragraph 4(c), exceed 10 percent, the national regulatory authority shall provide the justification for such results in the decisio</w:t>
            </w:r>
            <w:r w:rsidR="00FF5E89" w:rsidRPr="00E84D74">
              <w:rPr>
                <w:sz w:val="18"/>
                <w:szCs w:val="18"/>
              </w:rPr>
              <w:t>n referred to in Article 27(4).</w:t>
            </w:r>
          </w:p>
        </w:tc>
      </w:tr>
      <w:tr w:rsidR="00D146AC" w:rsidRPr="00043955" w:rsidTr="00FC3840">
        <w:trPr>
          <w:trHeight w:val="125"/>
        </w:trPr>
        <w:tc>
          <w:tcPr>
            <w:tcW w:w="5245" w:type="dxa"/>
          </w:tcPr>
          <w:p w:rsidR="00D146AC" w:rsidRPr="00D82EE4" w:rsidRDefault="00D146AC" w:rsidP="00DA725A">
            <w:pPr>
              <w:shd w:val="clear" w:color="auto" w:fill="FFFFFF"/>
              <w:jc w:val="center"/>
              <w:rPr>
                <w:b/>
                <w:bCs/>
                <w:sz w:val="18"/>
                <w:szCs w:val="18"/>
                <w:lang w:val="it-IT"/>
              </w:rPr>
            </w:pPr>
            <w:r w:rsidRPr="00D82EE4">
              <w:rPr>
                <w:b/>
                <w:bCs/>
                <w:sz w:val="18"/>
                <w:szCs w:val="18"/>
                <w:lang w:val="it-IT"/>
              </w:rPr>
              <w:lastRenderedPageBreak/>
              <w:t>CAPITOLUL II</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METODOLOGII DE STABILIRE A PREȚURILOR DE REFERINȚĂ</w:t>
            </w:r>
          </w:p>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6</w:t>
            </w:r>
          </w:p>
          <w:p w:rsidR="00D146AC" w:rsidRPr="00D82EE4" w:rsidRDefault="00D146AC" w:rsidP="00DA725A">
            <w:pPr>
              <w:shd w:val="clear" w:color="auto" w:fill="FFFFFF"/>
              <w:jc w:val="both"/>
              <w:rPr>
                <w:b/>
                <w:bCs/>
                <w:sz w:val="18"/>
                <w:szCs w:val="18"/>
                <w:lang w:val="it-IT"/>
              </w:rPr>
            </w:pPr>
            <w:r w:rsidRPr="00D82EE4">
              <w:rPr>
                <w:b/>
                <w:bCs/>
                <w:sz w:val="18"/>
                <w:szCs w:val="18"/>
                <w:lang w:val="it-IT"/>
              </w:rPr>
              <w:t>Aplicarea metodologiei de stabilire a prețurilor de referință</w:t>
            </w:r>
          </w:p>
          <w:p w:rsidR="00D146AC" w:rsidRPr="00D82EE4" w:rsidRDefault="00D146AC" w:rsidP="00DA725A">
            <w:pPr>
              <w:shd w:val="clear" w:color="auto" w:fill="FFFFFF"/>
              <w:jc w:val="both"/>
              <w:rPr>
                <w:sz w:val="18"/>
                <w:szCs w:val="18"/>
                <w:lang w:val="it-IT"/>
              </w:rPr>
            </w:pPr>
            <w:r w:rsidRPr="00D82EE4">
              <w:rPr>
                <w:sz w:val="18"/>
                <w:szCs w:val="18"/>
                <w:lang w:val="it-IT"/>
              </w:rPr>
              <w:t>(1)   Metodologia de stabilire a prețurilor de referință este stabilită sau aprobată de către autoritatea națională de reglementare, în conformitate cu articolul 27. Metodologia de stabilire a prețurilor de referință care urmează să fie aplicată depinde de constatările consultărilor periodice desfășurate în conformitate cu articolul 26 de către operatorul sau operatorii de transport și de sistem sau de către autoritatea națională de reglementare, conform deciziei autorității naționale de reglementare.</w:t>
            </w:r>
          </w:p>
          <w:p w:rsidR="00D146AC" w:rsidRPr="00D82EE4" w:rsidRDefault="00D146AC" w:rsidP="00DA725A">
            <w:pPr>
              <w:shd w:val="clear" w:color="auto" w:fill="FFFFFF"/>
              <w:jc w:val="both"/>
              <w:rPr>
                <w:sz w:val="18"/>
                <w:szCs w:val="18"/>
                <w:lang w:val="it-IT"/>
              </w:rPr>
            </w:pPr>
            <w:r w:rsidRPr="00D82EE4">
              <w:rPr>
                <w:sz w:val="18"/>
                <w:szCs w:val="18"/>
                <w:lang w:val="it-IT"/>
              </w:rPr>
              <w:t>(2)   Aplicarea metodologiei de stabilire a prețurilor de referință trebuie să furnizeze un preț de referință.</w:t>
            </w:r>
          </w:p>
          <w:p w:rsidR="00D146AC" w:rsidRPr="00D82EE4" w:rsidRDefault="00D146AC" w:rsidP="00DA725A">
            <w:pPr>
              <w:shd w:val="clear" w:color="auto" w:fill="FFFFFF"/>
              <w:jc w:val="both"/>
              <w:rPr>
                <w:sz w:val="18"/>
                <w:szCs w:val="18"/>
                <w:lang w:val="it-IT"/>
              </w:rPr>
            </w:pPr>
            <w:r w:rsidRPr="00D82EE4">
              <w:rPr>
                <w:sz w:val="18"/>
                <w:szCs w:val="18"/>
                <w:lang w:val="it-IT"/>
              </w:rPr>
              <w:t>(3)   În toate punctele de intrare și de ieșire dintr-un sistem de intrare/ieșire se aplică aceeași metodologie de stabilire a prețurilor de referință, sub rezerva excepțiilor prevăzute la articolele 10 și 11.</w:t>
            </w:r>
          </w:p>
          <w:p w:rsidR="00D146AC" w:rsidRPr="00D82EE4" w:rsidRDefault="00D146AC" w:rsidP="00DA725A">
            <w:pPr>
              <w:shd w:val="clear" w:color="auto" w:fill="FFFFFF"/>
              <w:jc w:val="both"/>
              <w:rPr>
                <w:sz w:val="18"/>
                <w:szCs w:val="18"/>
                <w:lang w:val="it-IT"/>
              </w:rPr>
            </w:pPr>
            <w:r w:rsidRPr="00D82EE4">
              <w:rPr>
                <w:sz w:val="18"/>
                <w:szCs w:val="18"/>
                <w:lang w:val="it-IT"/>
              </w:rPr>
              <w:t>(4)   Aplicarea metodologiei de stabilire a prețurilor de referință în toate punctele de intrare și de ieșire poate fi ajustată numai în conformitate cu articolul 9 sau ca urmare a uneia sau a mai multora dintre următoarele măsuri: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efectuarea de către autoritatea națională de reglementare a unei evaluări comparative prin care prețurile de referință dintr-un anumit punct de intrare sau de ieșire sunt ajustate astfel încât valorile rezultate să atingă nivelul competitiv al prețurilor de referință;</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efectuarea de către operatorul sau operatorii de transport și de sistem sau de către autoritatea națională de reglementare, conform deciziei autorității naționale de reglementare, a unei egalizări prin care, în unele puncte sau în toate punctele dintr-un grup omogen de puncte, se aplică același preț de referință;</w:t>
                  </w:r>
                </w:p>
              </w:tc>
            </w:tr>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lastRenderedPageBreak/>
                    <w:t>(c)</w:t>
                  </w:r>
                </w:p>
              </w:tc>
              <w:tc>
                <w:tcPr>
                  <w:tcW w:w="463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efectuarea de către operatorul sau operatorii de transport și de sistem sau de către autoritatea națională de reglementare, conform deciziei autorității naționale de reglementare, a unei reclasificări prin care prețurile de referință din toate punctele de intrare sau din toate punctele de ieșire ori din ambele tipuri de puncte să fie ajustate fie prin înmulțirea valorilor lor cu o constantă, fie prin adunarea sau scăderea unei constante din valorile lor.</w:t>
                  </w: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FF5E89">
            <w:pPr>
              <w:tabs>
                <w:tab w:val="left" w:pos="1134"/>
              </w:tabs>
              <w:jc w:val="center"/>
              <w:rPr>
                <w:b/>
                <w:sz w:val="18"/>
                <w:szCs w:val="18"/>
                <w:lang w:val="ro-RO"/>
              </w:rPr>
            </w:pPr>
            <w:r w:rsidRPr="00043955">
              <w:rPr>
                <w:b/>
                <w:sz w:val="18"/>
                <w:szCs w:val="18"/>
                <w:lang w:val="ro-RO"/>
              </w:rPr>
              <w:lastRenderedPageBreak/>
              <w:t>CAPITOLUL II</w:t>
            </w:r>
          </w:p>
          <w:p w:rsidR="00D146AC" w:rsidRPr="00043955" w:rsidRDefault="00D146AC" w:rsidP="00FF5E89">
            <w:pPr>
              <w:tabs>
                <w:tab w:val="left" w:pos="1134"/>
              </w:tabs>
              <w:jc w:val="center"/>
              <w:rPr>
                <w:b/>
                <w:sz w:val="18"/>
                <w:szCs w:val="18"/>
                <w:lang w:val="ro-RO"/>
              </w:rPr>
            </w:pPr>
            <w:r w:rsidRPr="00043955">
              <w:rPr>
                <w:b/>
                <w:sz w:val="18"/>
                <w:szCs w:val="18"/>
                <w:lang w:val="ro-RO"/>
              </w:rPr>
              <w:t>METODOLOGII DE STABILIRE A PREȚURILOR DE REFERINȚĂ</w:t>
            </w:r>
          </w:p>
          <w:p w:rsidR="00232E06" w:rsidRPr="00380C00" w:rsidRDefault="00232E06" w:rsidP="008A7CE1">
            <w:pPr>
              <w:tabs>
                <w:tab w:val="left" w:pos="1134"/>
              </w:tabs>
              <w:jc w:val="center"/>
              <w:rPr>
                <w:b/>
                <w:sz w:val="18"/>
                <w:szCs w:val="18"/>
                <w:lang w:val="it-IT"/>
              </w:rPr>
            </w:pPr>
            <w:r w:rsidRPr="00380C00">
              <w:rPr>
                <w:b/>
                <w:bCs/>
                <w:sz w:val="18"/>
                <w:szCs w:val="18"/>
                <w:lang w:val="it-IT"/>
              </w:rPr>
              <w:t>Secţiunea 1</w:t>
            </w:r>
          </w:p>
          <w:p w:rsidR="00232E06" w:rsidRPr="00380C00" w:rsidRDefault="00232E06" w:rsidP="00EB7057">
            <w:pPr>
              <w:tabs>
                <w:tab w:val="left" w:pos="1134"/>
              </w:tabs>
              <w:jc w:val="center"/>
              <w:rPr>
                <w:b/>
                <w:sz w:val="18"/>
                <w:szCs w:val="18"/>
                <w:lang w:val="it-IT"/>
              </w:rPr>
            </w:pPr>
            <w:r w:rsidRPr="00380C00">
              <w:rPr>
                <w:b/>
                <w:bCs/>
                <w:sz w:val="18"/>
                <w:szCs w:val="18"/>
                <w:lang w:val="it-IT"/>
              </w:rPr>
              <w:t>Aplicarea metod</w:t>
            </w:r>
            <w:r w:rsidR="00EB7057" w:rsidRPr="00380C00">
              <w:rPr>
                <w:b/>
                <w:bCs/>
                <w:sz w:val="18"/>
                <w:szCs w:val="18"/>
                <w:lang w:val="it-IT"/>
              </w:rPr>
              <w:t>ei de calculare a preţurilor de r</w:t>
            </w:r>
            <w:r w:rsidRPr="00380C00">
              <w:rPr>
                <w:b/>
                <w:bCs/>
                <w:sz w:val="18"/>
                <w:szCs w:val="18"/>
                <w:lang w:val="it-IT"/>
              </w:rPr>
              <w:t>eferinţă</w:t>
            </w:r>
          </w:p>
          <w:p w:rsidR="00232E06" w:rsidRPr="00380C00" w:rsidRDefault="00232E06" w:rsidP="00C37113">
            <w:pPr>
              <w:tabs>
                <w:tab w:val="left" w:pos="1134"/>
              </w:tabs>
              <w:rPr>
                <w:sz w:val="18"/>
                <w:szCs w:val="18"/>
                <w:lang w:val="it-IT"/>
              </w:rPr>
            </w:pPr>
            <w:r w:rsidRPr="00380C00">
              <w:rPr>
                <w:b/>
                <w:bCs/>
                <w:sz w:val="18"/>
                <w:szCs w:val="18"/>
                <w:lang w:val="it-IT"/>
              </w:rPr>
              <w:t>333</w:t>
            </w:r>
            <w:r w:rsidRPr="00380C00">
              <w:rPr>
                <w:bCs/>
                <w:sz w:val="18"/>
                <w:szCs w:val="18"/>
                <w:lang w:val="it-IT"/>
              </w:rPr>
              <w:t>.</w:t>
            </w:r>
            <w:r w:rsidRPr="00380C00">
              <w:rPr>
                <w:sz w:val="18"/>
                <w:szCs w:val="18"/>
                <w:lang w:val="it-IT"/>
              </w:rPr>
              <w:t xml:space="preserve"> Metoda de calculare a preţurilor de referinţă este parte componentă a Metodologiei de aprobare şi aplicare a tarifelor pentru serviciul de transport al gazelor naturale</w:t>
            </w:r>
            <w:r w:rsidRPr="00380C00">
              <w:rPr>
                <w:i/>
                <w:iCs/>
                <w:sz w:val="18"/>
                <w:szCs w:val="18"/>
                <w:lang w:val="it-IT"/>
              </w:rPr>
              <w:t xml:space="preserve"> </w:t>
            </w:r>
            <w:r w:rsidRPr="00380C00">
              <w:rPr>
                <w:sz w:val="18"/>
                <w:szCs w:val="18"/>
                <w:lang w:val="it-IT"/>
              </w:rPr>
              <w:t>aprobată de către Agenţie, în conformitate cu pct.400-417 (Secţiunea 2, Capitolul 7 din prezentul Titlu). Metoda de calculare a preţurilor de referinţă urmează să fie aplicată în funcţie de rezultatele consultărilor periodice desfăşurate în conformitate cu pct.394-399 (Secţiunea 1, Capitolul 7 din prezentul Titlu) conform Hotărârii ANRE.</w:t>
            </w:r>
          </w:p>
          <w:p w:rsidR="00232E06" w:rsidRPr="00380C00" w:rsidRDefault="00232E06" w:rsidP="00C37113">
            <w:pPr>
              <w:tabs>
                <w:tab w:val="left" w:pos="1134"/>
              </w:tabs>
              <w:rPr>
                <w:sz w:val="18"/>
                <w:szCs w:val="18"/>
                <w:lang w:val="it-IT"/>
              </w:rPr>
            </w:pPr>
            <w:r w:rsidRPr="00380C00">
              <w:rPr>
                <w:b/>
                <w:bCs/>
                <w:sz w:val="18"/>
                <w:szCs w:val="18"/>
                <w:lang w:val="it-IT"/>
              </w:rPr>
              <w:t>334</w:t>
            </w:r>
            <w:r w:rsidRPr="00380C00">
              <w:rPr>
                <w:bCs/>
                <w:sz w:val="18"/>
                <w:szCs w:val="18"/>
                <w:lang w:val="it-IT"/>
              </w:rPr>
              <w:t>.</w:t>
            </w:r>
            <w:r w:rsidRPr="00380C00">
              <w:rPr>
                <w:sz w:val="18"/>
                <w:szCs w:val="18"/>
                <w:lang w:val="it-IT"/>
              </w:rPr>
              <w:t xml:space="preserve"> Aplicarea metodei de calculare a preţurilor de referinţă permite calcularea unui preţ de referinţă.</w:t>
            </w:r>
          </w:p>
          <w:p w:rsidR="00232E06" w:rsidRPr="00380C00" w:rsidRDefault="00232E06" w:rsidP="00C37113">
            <w:pPr>
              <w:tabs>
                <w:tab w:val="left" w:pos="1134"/>
              </w:tabs>
              <w:rPr>
                <w:sz w:val="18"/>
                <w:szCs w:val="18"/>
                <w:lang w:val="it-IT"/>
              </w:rPr>
            </w:pPr>
            <w:r w:rsidRPr="00380C00">
              <w:rPr>
                <w:b/>
                <w:bCs/>
                <w:sz w:val="18"/>
                <w:szCs w:val="18"/>
                <w:lang w:val="it-IT"/>
              </w:rPr>
              <w:t>335</w:t>
            </w:r>
            <w:r w:rsidRPr="00380C00">
              <w:rPr>
                <w:bCs/>
                <w:sz w:val="18"/>
                <w:szCs w:val="18"/>
                <w:lang w:val="it-IT"/>
              </w:rPr>
              <w:t>.</w:t>
            </w:r>
            <w:r w:rsidRPr="00380C00">
              <w:rPr>
                <w:sz w:val="18"/>
                <w:szCs w:val="18"/>
                <w:lang w:val="it-IT"/>
              </w:rPr>
              <w:t xml:space="preserve"> În toate punctele de intrare şi de ieşire dintr-un sistem de intrare/ieşire se aplică aceeaşi metodă de calculare a preţurilor de referinţă, sub rezerva excepţiilor prevăzute la Secţiunea 5 din prezentul Capitol.</w:t>
            </w:r>
          </w:p>
          <w:p w:rsidR="00232E06" w:rsidRPr="00380C00" w:rsidRDefault="00232E06" w:rsidP="00C37113">
            <w:pPr>
              <w:tabs>
                <w:tab w:val="left" w:pos="1134"/>
              </w:tabs>
              <w:rPr>
                <w:sz w:val="18"/>
                <w:szCs w:val="18"/>
                <w:lang w:val="it-IT"/>
              </w:rPr>
            </w:pPr>
            <w:r w:rsidRPr="00380C00">
              <w:rPr>
                <w:b/>
                <w:bCs/>
                <w:sz w:val="18"/>
                <w:szCs w:val="18"/>
                <w:lang w:val="it-IT"/>
              </w:rPr>
              <w:t>336</w:t>
            </w:r>
            <w:r w:rsidRPr="00380C00">
              <w:rPr>
                <w:bCs/>
                <w:sz w:val="18"/>
                <w:szCs w:val="18"/>
                <w:lang w:val="it-IT"/>
              </w:rPr>
              <w:t>.</w:t>
            </w:r>
            <w:r w:rsidRPr="00380C00">
              <w:rPr>
                <w:sz w:val="18"/>
                <w:szCs w:val="18"/>
                <w:lang w:val="it-IT"/>
              </w:rPr>
              <w:t xml:space="preserve"> Aplicarea metodei de calculare a preţurilor de referinţă în toate punctele de intrare şi de ieşire poate fi ajustată numai în conformitate cu pct.341-342 sau ca urmare a uneia sau a mai multe dintre următoarele măsuri:</w:t>
            </w:r>
          </w:p>
          <w:p w:rsidR="00232E06" w:rsidRPr="00380C00" w:rsidRDefault="00232E06" w:rsidP="00232E06">
            <w:pPr>
              <w:tabs>
                <w:tab w:val="left" w:pos="1134"/>
              </w:tabs>
              <w:ind w:firstLine="567"/>
              <w:rPr>
                <w:sz w:val="18"/>
                <w:szCs w:val="18"/>
                <w:lang w:val="it-IT"/>
              </w:rPr>
            </w:pPr>
            <w:r w:rsidRPr="00380C00">
              <w:rPr>
                <w:sz w:val="18"/>
                <w:szCs w:val="18"/>
                <w:lang w:val="it-IT"/>
              </w:rPr>
              <w:t>1) efectuarea unei evaluări comparative de către Agenţie prin care preţurile de referinţă dintr-un anumit punct de intrare sau de ieşire sunt ajustate, astfel încât valorile rezultate să atingă nivelul competitiv al preţurilor de referinţă;</w:t>
            </w:r>
          </w:p>
          <w:p w:rsidR="00232E06" w:rsidRPr="00380C00" w:rsidRDefault="00232E06" w:rsidP="00232E06">
            <w:pPr>
              <w:tabs>
                <w:tab w:val="left" w:pos="1134"/>
              </w:tabs>
              <w:ind w:firstLine="567"/>
              <w:rPr>
                <w:sz w:val="18"/>
                <w:szCs w:val="18"/>
                <w:lang w:val="it-IT"/>
              </w:rPr>
            </w:pPr>
            <w:r w:rsidRPr="00380C00">
              <w:rPr>
                <w:sz w:val="18"/>
                <w:szCs w:val="18"/>
                <w:lang w:val="it-IT"/>
              </w:rPr>
              <w:t>2) aplicarea de către OST a aceluiaşi preţ de referinţă în unele puncte sau în toate punctele dintr-un grup omogen de puncte;</w:t>
            </w:r>
          </w:p>
          <w:p w:rsidR="00D146AC" w:rsidRPr="00043955" w:rsidRDefault="00232E06" w:rsidP="00232E06">
            <w:pPr>
              <w:shd w:val="clear" w:color="auto" w:fill="FFFFFF"/>
              <w:rPr>
                <w:b/>
                <w:bCs/>
                <w:sz w:val="18"/>
                <w:szCs w:val="18"/>
                <w:lang w:val="ro-RO"/>
              </w:rPr>
            </w:pPr>
            <w:r w:rsidRPr="00380C00">
              <w:rPr>
                <w:sz w:val="18"/>
                <w:szCs w:val="18"/>
                <w:lang w:val="it-IT"/>
              </w:rPr>
              <w:t xml:space="preserve">3) efectuarea de OST a unei reclasificări prin care preţurile de referinţă din toate punctele de intrare sau din toate punctele de ieşire ori din ambele tipuri de puncte să fie ajustate fie prin </w:t>
            </w:r>
            <w:r w:rsidRPr="00380C00">
              <w:rPr>
                <w:sz w:val="18"/>
                <w:szCs w:val="18"/>
                <w:lang w:val="it-IT"/>
              </w:rPr>
              <w:lastRenderedPageBreak/>
              <w:t>înmulţirea valorilor lor cu o constantă, fie prin adunarea sau scăderea din valorile lor a unei constante.</w:t>
            </w:r>
          </w:p>
        </w:tc>
        <w:tc>
          <w:tcPr>
            <w:tcW w:w="1275" w:type="dxa"/>
          </w:tcPr>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sz w:val="18"/>
                <w:szCs w:val="18"/>
              </w:rPr>
            </w:pPr>
            <w:r w:rsidRPr="00645258">
              <w:rPr>
                <w:sz w:val="18"/>
                <w:szCs w:val="18"/>
              </w:rPr>
              <w:t>Compatibil</w:t>
            </w:r>
          </w:p>
          <w:p w:rsidR="00D146AC" w:rsidRPr="00645258" w:rsidRDefault="00D146AC" w:rsidP="00DA725A">
            <w:pPr>
              <w:jc w:val="both"/>
              <w:rPr>
                <w:sz w:val="18"/>
                <w:szCs w:val="18"/>
              </w:rPr>
            </w:pPr>
          </w:p>
          <w:p w:rsidR="00D146AC" w:rsidRPr="00645258" w:rsidRDefault="00D146AC" w:rsidP="00DA725A">
            <w:pPr>
              <w:jc w:val="both"/>
              <w:rPr>
                <w:sz w:val="18"/>
                <w:szCs w:val="18"/>
              </w:rPr>
            </w:pPr>
          </w:p>
          <w:p w:rsidR="00D146AC" w:rsidRPr="00645258" w:rsidRDefault="00D146AC" w:rsidP="00DA725A">
            <w:pPr>
              <w:jc w:val="both"/>
              <w:rPr>
                <w:sz w:val="18"/>
                <w:szCs w:val="18"/>
              </w:rPr>
            </w:pPr>
          </w:p>
          <w:p w:rsidR="00D146AC" w:rsidRDefault="00D146AC" w:rsidP="00DA725A">
            <w:pPr>
              <w:jc w:val="both"/>
              <w:rPr>
                <w:sz w:val="18"/>
                <w:szCs w:val="18"/>
              </w:rPr>
            </w:pPr>
          </w:p>
          <w:p w:rsidR="00B06A7D" w:rsidRDefault="00B06A7D" w:rsidP="00DA725A">
            <w:pPr>
              <w:jc w:val="both"/>
              <w:rPr>
                <w:sz w:val="18"/>
                <w:szCs w:val="18"/>
              </w:rPr>
            </w:pPr>
          </w:p>
          <w:p w:rsidR="00B06A7D" w:rsidRDefault="00B06A7D" w:rsidP="00DA725A">
            <w:pPr>
              <w:jc w:val="both"/>
              <w:rPr>
                <w:sz w:val="18"/>
                <w:szCs w:val="18"/>
              </w:rPr>
            </w:pPr>
          </w:p>
          <w:p w:rsidR="00D146AC" w:rsidRPr="00645258" w:rsidRDefault="00D146AC" w:rsidP="00DA725A">
            <w:pPr>
              <w:jc w:val="both"/>
              <w:rPr>
                <w:sz w:val="18"/>
                <w:szCs w:val="18"/>
              </w:rPr>
            </w:pPr>
          </w:p>
          <w:p w:rsidR="00D146AC" w:rsidRPr="00645258" w:rsidRDefault="00D146AC" w:rsidP="00DA725A">
            <w:pPr>
              <w:jc w:val="both"/>
              <w:rPr>
                <w:sz w:val="18"/>
                <w:szCs w:val="18"/>
              </w:rPr>
            </w:pPr>
            <w:r w:rsidRPr="00645258">
              <w:rPr>
                <w:sz w:val="18"/>
                <w:szCs w:val="18"/>
              </w:rPr>
              <w:t>Compatibil</w:t>
            </w:r>
          </w:p>
          <w:p w:rsidR="00D146AC" w:rsidRPr="00645258" w:rsidRDefault="00D146AC" w:rsidP="00DA725A">
            <w:pPr>
              <w:jc w:val="both"/>
              <w:rPr>
                <w:b/>
                <w:sz w:val="18"/>
                <w:szCs w:val="18"/>
              </w:rPr>
            </w:pPr>
          </w:p>
          <w:p w:rsidR="00D146AC" w:rsidRPr="00645258" w:rsidRDefault="00D146AC" w:rsidP="00DA725A">
            <w:pPr>
              <w:jc w:val="both"/>
              <w:rPr>
                <w:sz w:val="18"/>
                <w:szCs w:val="18"/>
              </w:rPr>
            </w:pPr>
            <w:r w:rsidRPr="00645258">
              <w:rPr>
                <w:sz w:val="18"/>
                <w:szCs w:val="18"/>
              </w:rPr>
              <w:t>Compatibil</w:t>
            </w:r>
          </w:p>
          <w:p w:rsidR="00D146AC" w:rsidRPr="00645258" w:rsidRDefault="00D146AC" w:rsidP="00DA725A">
            <w:pPr>
              <w:jc w:val="both"/>
              <w:rPr>
                <w:b/>
                <w:sz w:val="18"/>
                <w:szCs w:val="18"/>
              </w:rPr>
            </w:pPr>
          </w:p>
          <w:p w:rsidR="00854A0A" w:rsidRDefault="00854A0A" w:rsidP="00DA725A">
            <w:pPr>
              <w:jc w:val="both"/>
              <w:rPr>
                <w:b/>
                <w:sz w:val="18"/>
                <w:szCs w:val="18"/>
              </w:rPr>
            </w:pPr>
          </w:p>
          <w:p w:rsidR="00F42E2D" w:rsidRPr="00645258" w:rsidRDefault="00F42E2D" w:rsidP="00DA725A">
            <w:pPr>
              <w:jc w:val="both"/>
              <w:rPr>
                <w:b/>
                <w:sz w:val="18"/>
                <w:szCs w:val="18"/>
              </w:rPr>
            </w:pPr>
          </w:p>
          <w:p w:rsidR="00854A0A" w:rsidRPr="00645258" w:rsidRDefault="00854A0A" w:rsidP="00DA725A">
            <w:pPr>
              <w:jc w:val="both"/>
              <w:rPr>
                <w:b/>
                <w:sz w:val="18"/>
                <w:szCs w:val="18"/>
              </w:rPr>
            </w:pPr>
          </w:p>
          <w:p w:rsidR="00854A0A" w:rsidRPr="00645258" w:rsidRDefault="00854A0A" w:rsidP="00854A0A">
            <w:pPr>
              <w:rPr>
                <w:sz w:val="18"/>
                <w:szCs w:val="18"/>
              </w:rPr>
            </w:pPr>
            <w:r w:rsidRPr="00645258">
              <w:rPr>
                <w:sz w:val="18"/>
                <w:szCs w:val="18"/>
              </w:rPr>
              <w:t>Compatibil</w:t>
            </w:r>
          </w:p>
          <w:p w:rsidR="00854A0A" w:rsidRPr="00645258" w:rsidRDefault="00854A0A" w:rsidP="00DA725A">
            <w:pPr>
              <w:jc w:val="both"/>
              <w:rPr>
                <w:b/>
                <w:sz w:val="18"/>
                <w:szCs w:val="18"/>
              </w:rPr>
            </w:pPr>
          </w:p>
        </w:tc>
        <w:tc>
          <w:tcPr>
            <w:tcW w:w="4253" w:type="dxa"/>
          </w:tcPr>
          <w:p w:rsidR="00F50C83" w:rsidRPr="00E84D74" w:rsidRDefault="00F50C83" w:rsidP="00DA725A">
            <w:pPr>
              <w:jc w:val="center"/>
              <w:rPr>
                <w:b/>
                <w:sz w:val="18"/>
                <w:szCs w:val="18"/>
              </w:rPr>
            </w:pPr>
            <w:r w:rsidRPr="00E84D74">
              <w:rPr>
                <w:b/>
                <w:sz w:val="18"/>
                <w:szCs w:val="18"/>
              </w:rPr>
              <w:t>CHAPTER II REFERENCE PRICE METHODOLOGIES</w:t>
            </w:r>
          </w:p>
          <w:p w:rsidR="00F50C83" w:rsidRPr="00E84D74" w:rsidRDefault="00F50C83" w:rsidP="00DA725A">
            <w:pPr>
              <w:jc w:val="center"/>
              <w:rPr>
                <w:b/>
                <w:sz w:val="18"/>
                <w:szCs w:val="18"/>
              </w:rPr>
            </w:pPr>
            <w:r w:rsidRPr="00E84D74">
              <w:rPr>
                <w:b/>
                <w:sz w:val="18"/>
                <w:szCs w:val="18"/>
              </w:rPr>
              <w:t>Article 6</w:t>
            </w:r>
          </w:p>
          <w:p w:rsidR="00F50C83" w:rsidRPr="00E84D74" w:rsidRDefault="00F50C83" w:rsidP="00DA725A">
            <w:pPr>
              <w:jc w:val="center"/>
              <w:rPr>
                <w:b/>
                <w:sz w:val="18"/>
                <w:szCs w:val="18"/>
              </w:rPr>
            </w:pPr>
            <w:r w:rsidRPr="00E84D74">
              <w:rPr>
                <w:b/>
                <w:sz w:val="18"/>
                <w:szCs w:val="18"/>
              </w:rPr>
              <w:t>Reference price methodology application</w:t>
            </w:r>
          </w:p>
          <w:p w:rsidR="00F50C83" w:rsidRPr="00E84D74" w:rsidRDefault="00F50C83" w:rsidP="00DA725A">
            <w:pPr>
              <w:jc w:val="both"/>
              <w:rPr>
                <w:sz w:val="18"/>
                <w:szCs w:val="18"/>
              </w:rPr>
            </w:pPr>
            <w:r w:rsidRPr="00E84D74">
              <w:rPr>
                <w:sz w:val="18"/>
                <w:szCs w:val="18"/>
              </w:rPr>
              <w:t xml:space="preserve">1. The reference price methodology shall be set or approved by the national regulatory authority as set out in Article 27. The reference price methodology to be applied shall be subject to the findings of the periodic consultations carried out in accordance with Article 26 by the transmission system operator(s) or the national regulatory authority, as decided by the national regulatory authority. </w:t>
            </w:r>
          </w:p>
          <w:p w:rsidR="00F50C83" w:rsidRPr="00E84D74" w:rsidRDefault="00F50C83" w:rsidP="00DA725A">
            <w:pPr>
              <w:jc w:val="both"/>
              <w:rPr>
                <w:sz w:val="18"/>
                <w:szCs w:val="18"/>
              </w:rPr>
            </w:pPr>
          </w:p>
          <w:p w:rsidR="00E01102" w:rsidRPr="00E84D74" w:rsidRDefault="00F50C83" w:rsidP="00DA725A">
            <w:pPr>
              <w:jc w:val="both"/>
              <w:rPr>
                <w:sz w:val="18"/>
                <w:szCs w:val="18"/>
              </w:rPr>
            </w:pPr>
            <w:r w:rsidRPr="00E84D74">
              <w:rPr>
                <w:sz w:val="18"/>
                <w:szCs w:val="18"/>
              </w:rPr>
              <w:t xml:space="preserve">2. The application of the reference price methodology shall provide a reference price. </w:t>
            </w:r>
          </w:p>
          <w:p w:rsidR="00B06A7D" w:rsidRDefault="00F50C83" w:rsidP="00DA725A">
            <w:pPr>
              <w:jc w:val="both"/>
              <w:rPr>
                <w:sz w:val="18"/>
                <w:szCs w:val="18"/>
              </w:rPr>
            </w:pPr>
            <w:r w:rsidRPr="00E84D74">
              <w:rPr>
                <w:sz w:val="18"/>
                <w:szCs w:val="18"/>
              </w:rPr>
              <w:t xml:space="preserve">3. The same reference price methodology shall be applied to all entry and exit points in a given entry-exit system subject to the exceptions set out in Articles 10 and 11. </w:t>
            </w:r>
          </w:p>
          <w:p w:rsidR="00B06A7D" w:rsidRDefault="00B06A7D" w:rsidP="00DA725A">
            <w:pPr>
              <w:jc w:val="both"/>
              <w:rPr>
                <w:sz w:val="18"/>
                <w:szCs w:val="18"/>
              </w:rPr>
            </w:pPr>
          </w:p>
          <w:p w:rsidR="00D146AC" w:rsidRPr="00E84D74" w:rsidRDefault="00F50C83" w:rsidP="00DA725A">
            <w:pPr>
              <w:jc w:val="both"/>
              <w:rPr>
                <w:b/>
                <w:sz w:val="18"/>
                <w:szCs w:val="18"/>
              </w:rPr>
            </w:pPr>
            <w:r w:rsidRPr="00E84D74">
              <w:rPr>
                <w:sz w:val="18"/>
                <w:szCs w:val="18"/>
              </w:rPr>
              <w:t xml:space="preserve">4. Adjustments to the application of the reference price methodology to all entry and exit points may only be made in accordance with Article 9 or as a result of one or more of the following: (a) benchmarking by the national regulatory authority, whereby reference prices at a given entry or exit point are adjusted so that the resulting values meet the competitive level of reference prices; (b) equalisation by the transmission system operator(s) or the national regulatory authority, as decided by the national regulatory authority, whereby the same reference price is applied to some or all points within a homogeneous group of points; (c) rescaling by the transmission system operator(s) or the national </w:t>
            </w:r>
            <w:r w:rsidRPr="00E84D74">
              <w:rPr>
                <w:sz w:val="18"/>
                <w:szCs w:val="18"/>
              </w:rPr>
              <w:lastRenderedPageBreak/>
              <w:t>regulatory authority, as decided by the national regulatory authority, whereby the reference prices at all entry or all exit points, or both, are adjusted either by multiplying their values by a constant or by adding to or subtracting from their values a constant</w:t>
            </w:r>
          </w:p>
        </w:tc>
      </w:tr>
      <w:tr w:rsidR="00D146AC" w:rsidRPr="00043955" w:rsidTr="00FC3840">
        <w:trPr>
          <w:trHeight w:val="565"/>
        </w:trPr>
        <w:tc>
          <w:tcPr>
            <w:tcW w:w="5245" w:type="dxa"/>
          </w:tcPr>
          <w:p w:rsidR="00D146AC" w:rsidRPr="007F46D0" w:rsidRDefault="00D146AC" w:rsidP="00DA725A">
            <w:pPr>
              <w:shd w:val="clear" w:color="auto" w:fill="FFFFFF"/>
              <w:jc w:val="center"/>
              <w:rPr>
                <w:b/>
                <w:i/>
                <w:iCs/>
                <w:sz w:val="18"/>
                <w:szCs w:val="18"/>
                <w:lang w:val="it-IT"/>
              </w:rPr>
            </w:pPr>
            <w:r w:rsidRPr="007F46D0">
              <w:rPr>
                <w:b/>
                <w:i/>
                <w:iCs/>
                <w:sz w:val="18"/>
                <w:szCs w:val="18"/>
                <w:lang w:val="it-IT"/>
              </w:rPr>
              <w:lastRenderedPageBreak/>
              <w:t>Articolul 7</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Alegerea unei metodologii de stabilire a prețurilor de referință</w:t>
            </w:r>
          </w:p>
          <w:p w:rsidR="00D146AC" w:rsidRPr="00043955" w:rsidRDefault="00D146AC" w:rsidP="00DA725A">
            <w:pPr>
              <w:shd w:val="clear" w:color="auto" w:fill="FFFFFF"/>
              <w:jc w:val="both"/>
              <w:rPr>
                <w:sz w:val="18"/>
                <w:szCs w:val="18"/>
              </w:rPr>
            </w:pPr>
            <w:r w:rsidRPr="00D82EE4">
              <w:rPr>
                <w:sz w:val="18"/>
                <w:szCs w:val="18"/>
                <w:lang w:val="it-IT"/>
              </w:rPr>
              <w:t xml:space="preserve">Metodologia de stabilire a prețurilor de referință trebuie să respecte dispozițiile articolului 13 din Regulamentul (CE) nr. 715/2009 și cerințele expuse în continuare. </w:t>
            </w:r>
            <w:r w:rsidRPr="00043955">
              <w:rPr>
                <w:sz w:val="18"/>
                <w:szCs w:val="18"/>
              </w:rPr>
              <w:t>Ea are rolul: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10"/>
              <w:gridCol w:w="35"/>
              <w:gridCol w:w="4862"/>
            </w:tblGrid>
            <w:tr w:rsidR="00D146AC" w:rsidRPr="00C27D66" w:rsidTr="00775DAD">
              <w:tc>
                <w:tcPr>
                  <w:tcW w:w="125" w:type="dxa"/>
                  <w:gridSpan w:val="2"/>
                  <w:shd w:val="clear" w:color="auto" w:fill="FFFFFF"/>
                  <w:hideMark/>
                </w:tcPr>
                <w:p w:rsidR="00D146AC" w:rsidRPr="00043955" w:rsidRDefault="00D146AC" w:rsidP="00DA725A">
                  <w:pPr>
                    <w:jc w:val="both"/>
                    <w:rPr>
                      <w:sz w:val="18"/>
                      <w:szCs w:val="18"/>
                    </w:rPr>
                  </w:pPr>
                  <w:r w:rsidRPr="00043955">
                    <w:rPr>
                      <w:sz w:val="18"/>
                      <w:szCs w:val="18"/>
                    </w:rPr>
                    <w:t>(a)</w:t>
                  </w:r>
                </w:p>
              </w:tc>
              <w:tc>
                <w:tcPr>
                  <w:tcW w:w="4621"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de a permite utilizatorilor rețelei să reproducă calculul prețurilor de referință și previzionarea exactă a acestora;</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gridSpan w:val="3"/>
                  <w:shd w:val="clear" w:color="auto" w:fill="FFFFFF"/>
                  <w:hideMark/>
                </w:tcPr>
                <w:p w:rsidR="00D146AC" w:rsidRPr="00D82EE4" w:rsidRDefault="00D146AC" w:rsidP="00DA725A">
                  <w:pPr>
                    <w:jc w:val="both"/>
                    <w:rPr>
                      <w:sz w:val="18"/>
                      <w:szCs w:val="18"/>
                      <w:lang w:val="it-IT"/>
                    </w:rPr>
                  </w:pPr>
                  <w:r w:rsidRPr="00D82EE4">
                    <w:rPr>
                      <w:sz w:val="18"/>
                      <w:szCs w:val="18"/>
                      <w:lang w:val="it-IT"/>
                    </w:rPr>
                    <w:t>de a lua în considerare costurile reale suportate pentru furnizarea serviciilor de transport, având în vedere nivelul de complexitate al rețelei de transport;</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4630" w:type="dxa"/>
                  <w:gridSpan w:val="3"/>
                  <w:shd w:val="clear" w:color="auto" w:fill="FFFFFF"/>
                  <w:hideMark/>
                </w:tcPr>
                <w:p w:rsidR="00D146AC" w:rsidRPr="00D82EE4" w:rsidRDefault="00D146AC" w:rsidP="00DA725A">
                  <w:pPr>
                    <w:jc w:val="both"/>
                    <w:rPr>
                      <w:sz w:val="18"/>
                      <w:szCs w:val="18"/>
                      <w:lang w:val="it-IT"/>
                    </w:rPr>
                  </w:pPr>
                  <w:r w:rsidRPr="00D82EE4">
                    <w:rPr>
                      <w:sz w:val="18"/>
                      <w:szCs w:val="18"/>
                      <w:lang w:val="it-IT"/>
                    </w:rPr>
                    <w:t>de a asigura nediscriminarea și de a preveni subvenționarea încrucișată nejustificată, inclusiv prin faptul că ține seama de evaluările alocării costurilor prevăzute la articolul 5;</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4630" w:type="dxa"/>
                  <w:gridSpan w:val="3"/>
                  <w:shd w:val="clear" w:color="auto" w:fill="FFFFFF"/>
                  <w:hideMark/>
                </w:tcPr>
                <w:p w:rsidR="00D146AC" w:rsidRPr="00D82EE4" w:rsidRDefault="00D146AC" w:rsidP="00DA725A">
                  <w:pPr>
                    <w:jc w:val="both"/>
                    <w:rPr>
                      <w:sz w:val="18"/>
                      <w:szCs w:val="18"/>
                      <w:lang w:val="it-IT"/>
                    </w:rPr>
                  </w:pPr>
                  <w:r w:rsidRPr="00D82EE4">
                    <w:rPr>
                      <w:sz w:val="18"/>
                      <w:szCs w:val="18"/>
                      <w:lang w:val="it-IT"/>
                    </w:rPr>
                    <w:t>de a garanta că nu li se atribuie clienților finali din cadrul unui sistem de intrare/ieșire un risc semnificativ în materie de volum legat în special de transporturile în cadrul acelui sistem de intrare/ieșire;</w:t>
                  </w:r>
                </w:p>
              </w:tc>
            </w:tr>
            <w:tr w:rsidR="00D146AC" w:rsidRPr="00C27D66" w:rsidTr="00775DAD">
              <w:tc>
                <w:tcPr>
                  <w:tcW w:w="158" w:type="dxa"/>
                  <w:gridSpan w:val="3"/>
                  <w:shd w:val="clear" w:color="auto" w:fill="FFFFFF"/>
                  <w:hideMark/>
                </w:tcPr>
                <w:p w:rsidR="00D146AC" w:rsidRPr="00043955" w:rsidRDefault="00D146AC" w:rsidP="00DA725A">
                  <w:pPr>
                    <w:jc w:val="both"/>
                    <w:rPr>
                      <w:sz w:val="18"/>
                      <w:szCs w:val="18"/>
                    </w:rPr>
                  </w:pPr>
                  <w:r w:rsidRPr="00043955">
                    <w:rPr>
                      <w:sz w:val="18"/>
                      <w:szCs w:val="18"/>
                    </w:rPr>
                    <w:t>(e)</w:t>
                  </w:r>
                </w:p>
              </w:tc>
              <w:tc>
                <w:tcPr>
                  <w:tcW w:w="458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de a garanta că prețurile de referință rezultate nu denaturează comerțul transfrontalier.</w:t>
                  </w: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DA725A">
            <w:pPr>
              <w:jc w:val="center"/>
              <w:rPr>
                <w:b/>
                <w:sz w:val="18"/>
                <w:szCs w:val="18"/>
                <w:lang w:val="ro-RO"/>
              </w:rPr>
            </w:pPr>
            <w:r w:rsidRPr="00043955">
              <w:rPr>
                <w:b/>
                <w:sz w:val="18"/>
                <w:szCs w:val="18"/>
                <w:lang w:val="ro-RO"/>
              </w:rPr>
              <w:t>Secțiunea 2</w:t>
            </w:r>
          </w:p>
          <w:p w:rsidR="00D146AC" w:rsidRPr="00043955" w:rsidRDefault="00D146AC" w:rsidP="00DA725A">
            <w:pPr>
              <w:jc w:val="center"/>
              <w:rPr>
                <w:b/>
                <w:sz w:val="18"/>
                <w:szCs w:val="18"/>
                <w:lang w:val="ro-RO"/>
              </w:rPr>
            </w:pPr>
            <w:r w:rsidRPr="00043955">
              <w:rPr>
                <w:b/>
                <w:sz w:val="18"/>
                <w:szCs w:val="18"/>
                <w:lang w:val="ro-RO"/>
              </w:rPr>
              <w:t>Alegerea unei metodologii de stabilire a prețurilor de referință</w:t>
            </w:r>
          </w:p>
          <w:p w:rsidR="000C2B62" w:rsidRPr="00380C00" w:rsidRDefault="000C2B62" w:rsidP="000C2B62">
            <w:pPr>
              <w:tabs>
                <w:tab w:val="left" w:pos="851"/>
              </w:tabs>
              <w:jc w:val="both"/>
              <w:outlineLvl w:val="0"/>
              <w:rPr>
                <w:sz w:val="18"/>
                <w:szCs w:val="18"/>
                <w:lang w:val="it-IT"/>
              </w:rPr>
            </w:pPr>
            <w:r w:rsidRPr="00380C00">
              <w:rPr>
                <w:b/>
                <w:bCs/>
                <w:sz w:val="18"/>
                <w:szCs w:val="18"/>
                <w:lang w:val="it-IT"/>
              </w:rPr>
              <w:t>337.</w:t>
            </w:r>
            <w:r w:rsidRPr="00380C00">
              <w:rPr>
                <w:sz w:val="18"/>
                <w:szCs w:val="18"/>
                <w:lang w:val="it-IT"/>
              </w:rPr>
              <w:t xml:space="preserve"> Metodologia de aprobare şi aplicare a tarifelor pentru serviciul de transport al gazelor naturale care include metoda de calculare a preţurilor de referinţă trebuie să respecte dispoziţiile articolului 99 din Legea nr.108/2016, cerinţele expuse în continuare, şi are drept scop:</w:t>
            </w:r>
          </w:p>
          <w:p w:rsidR="0098070E" w:rsidRPr="00380C00" w:rsidRDefault="000C2B62" w:rsidP="000C2B62">
            <w:pPr>
              <w:tabs>
                <w:tab w:val="left" w:pos="851"/>
              </w:tabs>
              <w:jc w:val="both"/>
              <w:outlineLvl w:val="0"/>
              <w:rPr>
                <w:sz w:val="18"/>
                <w:szCs w:val="18"/>
                <w:lang w:val="it-IT"/>
              </w:rPr>
            </w:pPr>
            <w:r w:rsidRPr="00380C00">
              <w:rPr>
                <w:sz w:val="18"/>
                <w:szCs w:val="18"/>
                <w:lang w:val="it-IT"/>
              </w:rPr>
              <w:t>1) de a permite utilizatorilor de sistem să reproducă calculul preţurilor de referinţă şi previzibilitatea exactă a acestora;</w:t>
            </w:r>
          </w:p>
          <w:p w:rsidR="000C2B62" w:rsidRPr="00380C00" w:rsidRDefault="000C2B62" w:rsidP="000C2B62">
            <w:pPr>
              <w:tabs>
                <w:tab w:val="left" w:pos="851"/>
              </w:tabs>
              <w:jc w:val="both"/>
              <w:outlineLvl w:val="0"/>
              <w:rPr>
                <w:sz w:val="18"/>
                <w:szCs w:val="18"/>
                <w:lang w:val="it-IT"/>
              </w:rPr>
            </w:pPr>
            <w:r w:rsidRPr="00380C00">
              <w:rPr>
                <w:sz w:val="18"/>
                <w:szCs w:val="18"/>
                <w:lang w:val="it-IT"/>
              </w:rPr>
              <w:t>2) de a lua în considerare costurile reale suportate pentru prestarea serviciului de transport, având în vedere complexitatea reţelei de transport;</w:t>
            </w:r>
          </w:p>
          <w:p w:rsidR="000C2B62" w:rsidRPr="00380C00" w:rsidRDefault="000C2B62" w:rsidP="000C2B62">
            <w:pPr>
              <w:tabs>
                <w:tab w:val="left" w:pos="851"/>
              </w:tabs>
              <w:jc w:val="both"/>
              <w:outlineLvl w:val="0"/>
              <w:rPr>
                <w:sz w:val="18"/>
                <w:szCs w:val="18"/>
                <w:lang w:val="it-IT"/>
              </w:rPr>
            </w:pPr>
            <w:r w:rsidRPr="00380C00">
              <w:rPr>
                <w:sz w:val="18"/>
                <w:szCs w:val="18"/>
                <w:lang w:val="it-IT"/>
              </w:rPr>
              <w:t>3) de a asigura nediscriminarea şi de a preveni subvenţionarea încrucişată nejustificată, inclusiv prin faptul că ţine cont de evaluările alocării costurilor prevăzute la pct.341-353 (Secţiunea 5, Capitolul 1 din prezentul Titlu);</w:t>
            </w:r>
          </w:p>
          <w:p w:rsidR="000C2B62" w:rsidRPr="00380C00" w:rsidRDefault="000C2B62" w:rsidP="000C2B62">
            <w:pPr>
              <w:tabs>
                <w:tab w:val="left" w:pos="851"/>
              </w:tabs>
              <w:jc w:val="both"/>
              <w:outlineLvl w:val="0"/>
              <w:rPr>
                <w:sz w:val="18"/>
                <w:szCs w:val="18"/>
                <w:lang w:val="it-IT"/>
              </w:rPr>
            </w:pPr>
            <w:r w:rsidRPr="00380C00">
              <w:rPr>
                <w:sz w:val="18"/>
                <w:szCs w:val="18"/>
                <w:lang w:val="it-IT"/>
              </w:rPr>
              <w:t>4) de a garanta că nu li se atribuie consumatorilor finali din cadrul unui sistem de intrare/ieşire un risc semnificativ în materie de volum legat în special de transportul în cadrul acelui sistem de intrare/ieşire;</w:t>
            </w:r>
          </w:p>
          <w:p w:rsidR="00D146AC" w:rsidRPr="00FF5E89" w:rsidRDefault="000C2B62" w:rsidP="002E610C">
            <w:pPr>
              <w:tabs>
                <w:tab w:val="left" w:pos="851"/>
              </w:tabs>
              <w:jc w:val="both"/>
              <w:rPr>
                <w:sz w:val="18"/>
                <w:szCs w:val="18"/>
                <w:lang w:val="ro-RO"/>
              </w:rPr>
            </w:pPr>
            <w:r w:rsidRPr="00380C00">
              <w:rPr>
                <w:sz w:val="18"/>
                <w:szCs w:val="18"/>
                <w:lang w:val="it-IT"/>
              </w:rPr>
              <w:t>5) de a garanta că preţurile de referinţă rezultate nu distorsionează comerţul transfrontalier.</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D846C9" w:rsidRPr="00E84D74" w:rsidRDefault="00D846C9" w:rsidP="00DA725A">
            <w:pPr>
              <w:jc w:val="center"/>
              <w:rPr>
                <w:b/>
                <w:sz w:val="18"/>
                <w:szCs w:val="18"/>
              </w:rPr>
            </w:pPr>
            <w:r w:rsidRPr="00E84D74">
              <w:rPr>
                <w:b/>
                <w:sz w:val="18"/>
                <w:szCs w:val="18"/>
              </w:rPr>
              <w:t>Article 7</w:t>
            </w:r>
          </w:p>
          <w:p w:rsidR="00D846C9" w:rsidRPr="00E84D74" w:rsidRDefault="00D846C9" w:rsidP="00DA725A">
            <w:pPr>
              <w:jc w:val="center"/>
              <w:rPr>
                <w:sz w:val="18"/>
                <w:szCs w:val="18"/>
              </w:rPr>
            </w:pPr>
            <w:r w:rsidRPr="00E84D74">
              <w:rPr>
                <w:b/>
                <w:sz w:val="18"/>
                <w:szCs w:val="18"/>
              </w:rPr>
              <w:t>Choice of a reference price methodology</w:t>
            </w:r>
          </w:p>
          <w:p w:rsidR="00D846C9" w:rsidRPr="00E84D74" w:rsidRDefault="00D846C9" w:rsidP="00DA725A">
            <w:pPr>
              <w:jc w:val="both"/>
              <w:rPr>
                <w:sz w:val="18"/>
                <w:szCs w:val="18"/>
              </w:rPr>
            </w:pPr>
          </w:p>
          <w:p w:rsidR="00EB7057" w:rsidRDefault="00D846C9" w:rsidP="00DA725A">
            <w:pPr>
              <w:jc w:val="both"/>
              <w:rPr>
                <w:sz w:val="18"/>
                <w:szCs w:val="18"/>
              </w:rPr>
            </w:pPr>
            <w:r w:rsidRPr="00E84D74">
              <w:rPr>
                <w:sz w:val="18"/>
                <w:szCs w:val="18"/>
              </w:rPr>
              <w:t>The reference price methodology shall comply wit</w:t>
            </w:r>
            <w:r w:rsidR="00BA1EB2" w:rsidRPr="00E84D74">
              <w:rPr>
                <w:sz w:val="18"/>
                <w:szCs w:val="18"/>
              </w:rPr>
              <w:t xml:space="preserve"> </w:t>
            </w:r>
            <w:r w:rsidRPr="00E84D74">
              <w:rPr>
                <w:sz w:val="18"/>
                <w:szCs w:val="18"/>
              </w:rPr>
              <w:t xml:space="preserve">h Article 13 of Regulation (EC) No 715/2009 and with the following requirements. It shall aim at: </w:t>
            </w:r>
          </w:p>
          <w:p w:rsidR="002E610C" w:rsidRDefault="002E610C" w:rsidP="00DA725A">
            <w:pPr>
              <w:jc w:val="both"/>
              <w:rPr>
                <w:sz w:val="18"/>
                <w:szCs w:val="18"/>
              </w:rPr>
            </w:pPr>
          </w:p>
          <w:p w:rsidR="00EB7057" w:rsidRDefault="00D846C9" w:rsidP="00DA725A">
            <w:pPr>
              <w:jc w:val="both"/>
              <w:rPr>
                <w:sz w:val="18"/>
                <w:szCs w:val="18"/>
              </w:rPr>
            </w:pPr>
            <w:r w:rsidRPr="00E84D74">
              <w:rPr>
                <w:sz w:val="18"/>
                <w:szCs w:val="18"/>
              </w:rPr>
              <w:t xml:space="preserve">(a) enabling network users to reproduce the calculation of reference prices and their accurate forecast; </w:t>
            </w:r>
          </w:p>
          <w:p w:rsidR="00EB7057" w:rsidRDefault="00D846C9" w:rsidP="00DA725A">
            <w:pPr>
              <w:jc w:val="both"/>
              <w:rPr>
                <w:sz w:val="18"/>
                <w:szCs w:val="18"/>
              </w:rPr>
            </w:pPr>
            <w:r w:rsidRPr="00E84D74">
              <w:rPr>
                <w:sz w:val="18"/>
                <w:szCs w:val="18"/>
              </w:rPr>
              <w:t xml:space="preserve">(b) taking into account the actual costs incurred for the provision of transmission services considering the level of complexity of the transmission network; </w:t>
            </w:r>
          </w:p>
          <w:p w:rsidR="00EB7057" w:rsidRDefault="00D846C9" w:rsidP="00DA725A">
            <w:pPr>
              <w:jc w:val="both"/>
              <w:rPr>
                <w:sz w:val="18"/>
                <w:szCs w:val="18"/>
              </w:rPr>
            </w:pPr>
            <w:r w:rsidRPr="00E84D74">
              <w:rPr>
                <w:sz w:val="18"/>
                <w:szCs w:val="18"/>
              </w:rPr>
              <w:t xml:space="preserve">(c) ensuring non-discrimination and prevent undue cross-subsidisation including by taking into account the cost allocation assessments set out in Article 5; </w:t>
            </w:r>
          </w:p>
          <w:p w:rsidR="002E610C" w:rsidRDefault="00D846C9" w:rsidP="00DA725A">
            <w:pPr>
              <w:jc w:val="both"/>
              <w:rPr>
                <w:sz w:val="18"/>
                <w:szCs w:val="18"/>
              </w:rPr>
            </w:pPr>
            <w:r w:rsidRPr="00E84D74">
              <w:rPr>
                <w:sz w:val="18"/>
                <w:szCs w:val="18"/>
              </w:rPr>
              <w:t xml:space="preserve">(d) ensuring that significant volume risk related particularly to transports across an entry-exit system is not assigned to final customers within that entry-exit system; </w:t>
            </w:r>
          </w:p>
          <w:p w:rsidR="00D146AC" w:rsidRPr="00E84D74" w:rsidRDefault="00D846C9" w:rsidP="00DA725A">
            <w:pPr>
              <w:jc w:val="both"/>
              <w:rPr>
                <w:sz w:val="18"/>
                <w:szCs w:val="18"/>
              </w:rPr>
            </w:pPr>
            <w:r w:rsidRPr="00E84D74">
              <w:rPr>
                <w:sz w:val="18"/>
                <w:szCs w:val="18"/>
              </w:rPr>
              <w:t xml:space="preserve">(e) ensuring that the resulting reference prices do not distort cross-border trade. </w:t>
            </w:r>
          </w:p>
        </w:tc>
      </w:tr>
      <w:tr w:rsidR="00D146AC" w:rsidRPr="00043955" w:rsidTr="00FC3840">
        <w:trPr>
          <w:trHeight w:val="1240"/>
        </w:trPr>
        <w:tc>
          <w:tcPr>
            <w:tcW w:w="5245" w:type="dxa"/>
          </w:tcPr>
          <w:p w:rsidR="00D146AC" w:rsidRPr="00D82EE4" w:rsidRDefault="00D146AC" w:rsidP="00ED7726">
            <w:pPr>
              <w:shd w:val="clear" w:color="auto" w:fill="FFFFFF"/>
              <w:jc w:val="center"/>
              <w:rPr>
                <w:i/>
                <w:iCs/>
                <w:sz w:val="18"/>
                <w:szCs w:val="18"/>
                <w:lang w:val="it-IT"/>
              </w:rPr>
            </w:pPr>
            <w:r w:rsidRPr="00D82EE4">
              <w:rPr>
                <w:i/>
                <w:iCs/>
                <w:sz w:val="18"/>
                <w:szCs w:val="18"/>
                <w:lang w:val="it-IT"/>
              </w:rPr>
              <w:t>Articolul 8</w:t>
            </w:r>
          </w:p>
          <w:p w:rsidR="00D146AC" w:rsidRPr="00D82EE4" w:rsidRDefault="00D146AC" w:rsidP="00ED7726">
            <w:pPr>
              <w:shd w:val="clear" w:color="auto" w:fill="FFFFFF"/>
              <w:jc w:val="center"/>
              <w:rPr>
                <w:b/>
                <w:bCs/>
                <w:sz w:val="18"/>
                <w:szCs w:val="18"/>
                <w:lang w:val="it-IT"/>
              </w:rPr>
            </w:pPr>
            <w:r w:rsidRPr="00D82EE4">
              <w:rPr>
                <w:b/>
                <w:bCs/>
                <w:sz w:val="18"/>
                <w:szCs w:val="18"/>
                <w:lang w:val="it-IT"/>
              </w:rPr>
              <w:t>Metodologia de stabilire a prețurilor de referință în funcție de capacitate ponderată cu distanța</w:t>
            </w:r>
          </w:p>
          <w:p w:rsidR="00ED7726" w:rsidRDefault="00ED7726"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(1)   Parametrii privind metodologia de stabilire a prețurilor de referință în funcție de capacitate ponderată cu distanța sunt următorii: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8"/>
              <w:gridCol w:w="10"/>
              <w:gridCol w:w="7"/>
              <w:gridCol w:w="4894"/>
            </w:tblGrid>
            <w:tr w:rsidR="00D146AC" w:rsidRPr="00043955" w:rsidTr="00775DAD">
              <w:tc>
                <w:tcPr>
                  <w:tcW w:w="120" w:type="dxa"/>
                  <w:gridSpan w:val="2"/>
                  <w:shd w:val="clear" w:color="auto" w:fill="FFFFFF"/>
                  <w:hideMark/>
                </w:tcPr>
                <w:p w:rsidR="00D146AC" w:rsidRPr="00AF0E15" w:rsidRDefault="00D146AC" w:rsidP="00DA725A">
                  <w:pPr>
                    <w:jc w:val="both"/>
                    <w:rPr>
                      <w:sz w:val="18"/>
                      <w:szCs w:val="18"/>
                      <w:lang w:val="it-IT"/>
                    </w:rPr>
                  </w:pPr>
                </w:p>
              </w:tc>
              <w:tc>
                <w:tcPr>
                  <w:tcW w:w="4626" w:type="dxa"/>
                  <w:gridSpan w:val="2"/>
                  <w:shd w:val="clear" w:color="auto" w:fill="FFFFFF"/>
                  <w:hideMark/>
                </w:tcPr>
                <w:p w:rsidR="00D146AC" w:rsidRPr="00043955" w:rsidRDefault="00D146AC" w:rsidP="00DA725A">
                  <w:pPr>
                    <w:jc w:val="both"/>
                    <w:rPr>
                      <w:sz w:val="18"/>
                      <w:szCs w:val="18"/>
                    </w:rPr>
                  </w:pPr>
                  <w:r w:rsidRPr="00043955">
                    <w:rPr>
                      <w:sz w:val="18"/>
                      <w:szCs w:val="18"/>
                    </w:rPr>
                    <w:t>partea din venitul aferent serviciilor de transport care trebuie recuperată din tarifele de transport bazate pe capacitate;</w:t>
                  </w:r>
                </w:p>
              </w:tc>
            </w:tr>
            <w:tr w:rsidR="00D146AC" w:rsidRPr="00C27D66" w:rsidTr="00775DAD">
              <w:tc>
                <w:tcPr>
                  <w:tcW w:w="120" w:type="dxa"/>
                  <w:gridSpan w:val="2"/>
                  <w:shd w:val="clear" w:color="auto" w:fill="FFFFFF"/>
                  <w:hideMark/>
                </w:tcPr>
                <w:p w:rsidR="00D146AC" w:rsidRPr="00043955" w:rsidRDefault="00D146AC" w:rsidP="00DA725A">
                  <w:pPr>
                    <w:jc w:val="both"/>
                    <w:rPr>
                      <w:sz w:val="18"/>
                      <w:szCs w:val="18"/>
                    </w:rPr>
                  </w:pPr>
                  <w:r w:rsidRPr="00043955">
                    <w:rPr>
                      <w:sz w:val="18"/>
                      <w:szCs w:val="18"/>
                    </w:rPr>
                    <w:t>b)</w:t>
                  </w:r>
                </w:p>
              </w:tc>
              <w:tc>
                <w:tcPr>
                  <w:tcW w:w="4626" w:type="dxa"/>
                  <w:gridSpan w:val="2"/>
                  <w:shd w:val="clear" w:color="auto" w:fill="FFFFFF"/>
                  <w:hideMark/>
                </w:tcPr>
                <w:p w:rsidR="00D146AC" w:rsidRDefault="00D146AC" w:rsidP="00DA725A">
                  <w:pPr>
                    <w:jc w:val="both"/>
                    <w:rPr>
                      <w:sz w:val="18"/>
                      <w:szCs w:val="18"/>
                      <w:lang w:val="it-IT"/>
                    </w:rPr>
                  </w:pPr>
                  <w:r w:rsidRPr="00D82EE4">
                    <w:rPr>
                      <w:sz w:val="18"/>
                      <w:szCs w:val="18"/>
                      <w:lang w:val="it-IT"/>
                    </w:rPr>
                    <w:t>capacitatea contractată estimată în fiecare punct de intrare sau într-un grup de puncte de intrare și în fiecare punct de ieșire sau într-un grup de puncte de ieșire;</w:t>
                  </w:r>
                </w:p>
                <w:p w:rsidR="00A16F6F" w:rsidRPr="00D82EE4" w:rsidRDefault="00A16F6F" w:rsidP="00DA725A">
                  <w:pPr>
                    <w:jc w:val="both"/>
                    <w:rPr>
                      <w:sz w:val="18"/>
                      <w:szCs w:val="18"/>
                      <w:lang w:val="it-IT"/>
                    </w:rPr>
                  </w:pPr>
                </w:p>
              </w:tc>
            </w:tr>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4635" w:type="dxa"/>
                  <w:gridSpan w:val="3"/>
                  <w:shd w:val="clear" w:color="auto" w:fill="FFFFFF"/>
                  <w:hideMark/>
                </w:tcPr>
                <w:p w:rsidR="00D146AC" w:rsidRDefault="00D146AC" w:rsidP="00DA725A">
                  <w:pPr>
                    <w:jc w:val="both"/>
                    <w:rPr>
                      <w:sz w:val="18"/>
                      <w:szCs w:val="18"/>
                      <w:lang w:val="it-IT"/>
                    </w:rPr>
                  </w:pPr>
                  <w:r w:rsidRPr="00D82EE4">
                    <w:rPr>
                      <w:sz w:val="18"/>
                      <w:szCs w:val="18"/>
                      <w:lang w:val="it-IT"/>
                    </w:rPr>
                    <w:t>în cazul în care punctele de intrare și punctele de ieșire pot fi combinate într-un scenariu de flux relevant, distanța cea mai scurtă a rutelor de conducte dintre un punct de intrare sau un grup de puncte de intrare și un punct de ieșire sau un grup de puncte de ieșire;</w:t>
                  </w:r>
                </w:p>
                <w:p w:rsidR="00A16F6F" w:rsidRPr="00D82EE4" w:rsidRDefault="00A16F6F" w:rsidP="00DA725A">
                  <w:pPr>
                    <w:jc w:val="both"/>
                    <w:rPr>
                      <w:sz w:val="18"/>
                      <w:szCs w:val="18"/>
                      <w:lang w:val="it-IT"/>
                    </w:rPr>
                  </w:pPr>
                </w:p>
              </w:tc>
            </w:tr>
            <w:tr w:rsidR="00D146AC" w:rsidRPr="00C27D66" w:rsidTr="00775DAD">
              <w:tc>
                <w:tcPr>
                  <w:tcW w:w="120" w:type="dxa"/>
                  <w:gridSpan w:val="2"/>
                  <w:shd w:val="clear" w:color="auto" w:fill="FFFFFF"/>
                  <w:hideMark/>
                </w:tcPr>
                <w:p w:rsidR="00D146AC" w:rsidRPr="00043955" w:rsidRDefault="00D146AC" w:rsidP="00DA725A">
                  <w:pPr>
                    <w:jc w:val="both"/>
                    <w:rPr>
                      <w:sz w:val="18"/>
                      <w:szCs w:val="18"/>
                    </w:rPr>
                  </w:pPr>
                  <w:r w:rsidRPr="00043955">
                    <w:rPr>
                      <w:sz w:val="18"/>
                      <w:szCs w:val="18"/>
                    </w:rPr>
                    <w:lastRenderedPageBreak/>
                    <w:t>(d)</w:t>
                  </w:r>
                </w:p>
              </w:tc>
              <w:tc>
                <w:tcPr>
                  <w:tcW w:w="4626"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combinațiile de puncte de intrare și puncte de ieșire, în cazul în care unele puncte de intrare și unele puncte de ieșire pot fi combinate într-un scenariu de flux relevant;</w:t>
                  </w:r>
                </w:p>
              </w:tc>
            </w:tr>
            <w:tr w:rsidR="00D146AC" w:rsidRPr="00C27D66" w:rsidTr="00775DAD">
              <w:tc>
                <w:tcPr>
                  <w:tcW w:w="127" w:type="dxa"/>
                  <w:gridSpan w:val="3"/>
                  <w:shd w:val="clear" w:color="auto" w:fill="FFFFFF"/>
                  <w:hideMark/>
                </w:tcPr>
                <w:p w:rsidR="00D146AC" w:rsidRPr="00043955" w:rsidRDefault="00D146AC" w:rsidP="00DA725A">
                  <w:pPr>
                    <w:jc w:val="both"/>
                    <w:rPr>
                      <w:sz w:val="18"/>
                      <w:szCs w:val="18"/>
                    </w:rPr>
                  </w:pPr>
                  <w:r w:rsidRPr="00043955">
                    <w:rPr>
                      <w:sz w:val="18"/>
                      <w:szCs w:val="18"/>
                    </w:rPr>
                    <w:t>(</w:t>
                  </w:r>
                </w:p>
              </w:tc>
              <w:tc>
                <w:tcPr>
                  <w:tcW w:w="4619" w:type="dxa"/>
                  <w:shd w:val="clear" w:color="auto" w:fill="FFFFFF"/>
                  <w:hideMark/>
                </w:tcPr>
                <w:p w:rsidR="00D146AC" w:rsidRDefault="00D146AC" w:rsidP="00DA725A">
                  <w:pPr>
                    <w:jc w:val="both"/>
                    <w:rPr>
                      <w:sz w:val="18"/>
                      <w:szCs w:val="18"/>
                      <w:lang w:val="it-IT"/>
                    </w:rPr>
                  </w:pPr>
                  <w:r w:rsidRPr="00D82EE4">
                    <w:rPr>
                      <w:sz w:val="18"/>
                      <w:szCs w:val="18"/>
                      <w:lang w:val="it-IT"/>
                    </w:rPr>
                    <w:t>raportul intrare/ieșire menționat la articolul 30 alineatul (1) litera (b) punctul (v) subpunctul (2) este de 50/50.</w:t>
                  </w:r>
                </w:p>
                <w:p w:rsidR="00A16F6F" w:rsidRDefault="00A16F6F" w:rsidP="00DA725A">
                  <w:pPr>
                    <w:jc w:val="both"/>
                    <w:rPr>
                      <w:sz w:val="18"/>
                      <w:szCs w:val="18"/>
                      <w:lang w:val="it-IT"/>
                    </w:rPr>
                  </w:pPr>
                </w:p>
                <w:p w:rsidR="00A16F6F" w:rsidRPr="00D82EE4" w:rsidRDefault="00A16F6F"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În cazul în care punctele de intrare și punctele de ieșire nu pot fi combinate într-un scenariu de flux, această combinație de puncte de intrare și de ieșire nu se ia în calcul.</w:t>
            </w:r>
          </w:p>
          <w:p w:rsidR="00AC425B" w:rsidRDefault="00AC425B"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(2)   Prețurile de referință se determină în următoarele etape succesive: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4"/>
              <w:gridCol w:w="74"/>
              <w:gridCol w:w="4911"/>
            </w:tblGrid>
            <w:tr w:rsidR="00D146AC" w:rsidRPr="00C27D66" w:rsidTr="00775DAD">
              <w:tc>
                <w:tcPr>
                  <w:tcW w:w="4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706" w:type="dxa"/>
                  <w:gridSpan w:val="2"/>
                  <w:shd w:val="clear" w:color="auto" w:fill="FFFFFF"/>
                  <w:hideMark/>
                </w:tcPr>
                <w:p w:rsidR="00D146AC" w:rsidRDefault="00D146AC" w:rsidP="00DA725A">
                  <w:pPr>
                    <w:jc w:val="both"/>
                    <w:rPr>
                      <w:sz w:val="18"/>
                      <w:szCs w:val="18"/>
                      <w:lang w:val="it-IT"/>
                    </w:rPr>
                  </w:pPr>
                  <w:r w:rsidRPr="00D82EE4">
                    <w:rPr>
                      <w:sz w:val="18"/>
                      <w:szCs w:val="18"/>
                      <w:lang w:val="it-IT"/>
                    </w:rPr>
                    <w:t>se calculează distanța medie ponderată pentru fiecare punct de intrare sau grup de puncte de intrare și pentru fiecare punct de ieșire sau grup de puncte de ieșire, luând în considerare, acolo unde este relevant, combinațiile menționate la alineatul (1) litera (d), în conformitate cu formulele corespunzătoare de mai jos:</w:t>
                  </w:r>
                </w:p>
                <w:p w:rsidR="00A16F6F" w:rsidRPr="00D82EE4" w:rsidRDefault="00A16F6F"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7"/>
                    <w:gridCol w:w="7"/>
                    <w:gridCol w:w="4941"/>
                  </w:tblGrid>
                  <w:tr w:rsidR="00D146AC" w:rsidRPr="00C27D66" w:rsidTr="00775DAD">
                    <w:tc>
                      <w:tcPr>
                        <w:tcW w:w="35" w:type="dxa"/>
                        <w:shd w:val="clear" w:color="auto" w:fill="auto"/>
                        <w:hideMark/>
                      </w:tcPr>
                      <w:p w:rsidR="00D146AC" w:rsidRPr="00043955" w:rsidRDefault="00D146AC" w:rsidP="00DA725A">
                        <w:pPr>
                          <w:jc w:val="both"/>
                          <w:rPr>
                            <w:sz w:val="18"/>
                            <w:szCs w:val="18"/>
                          </w:rPr>
                        </w:pPr>
                        <w:r w:rsidRPr="00043955">
                          <w:rPr>
                            <w:sz w:val="18"/>
                            <w:szCs w:val="18"/>
                          </w:rPr>
                          <w:t>(i)</w:t>
                        </w:r>
                      </w:p>
                    </w:tc>
                    <w:tc>
                      <w:tcPr>
                        <w:tcW w:w="4671" w:type="dxa"/>
                        <w:gridSpan w:val="2"/>
                        <w:shd w:val="clear" w:color="auto" w:fill="auto"/>
                        <w:hideMark/>
                      </w:tcPr>
                      <w:p w:rsidR="00D146AC" w:rsidRDefault="00D146AC" w:rsidP="00DA725A">
                        <w:pPr>
                          <w:jc w:val="both"/>
                          <w:rPr>
                            <w:sz w:val="18"/>
                            <w:szCs w:val="18"/>
                            <w:lang w:val="it-IT"/>
                          </w:rPr>
                        </w:pPr>
                        <w:r w:rsidRPr="00D82EE4">
                          <w:rPr>
                            <w:sz w:val="18"/>
                            <w:szCs w:val="18"/>
                            <w:lang w:val="it-IT"/>
                          </w:rPr>
                          <w:t>pentru un anumit punct de intrare sau grup de puncte de intrare, ca suma dintre produsele de capacitate în fiecare punct de ieșire sau grup de puncte de ieșire și distanța dintre punctul de intrare sau grupul de puncte de intrare respectiv și fiecare punct de ieșire sau grup de puncte de ieșire, împărțită la suma capacităților în fiecare punct de ieșire sau grup de puncte de ieșire:</w:t>
                        </w:r>
                      </w:p>
                      <w:p w:rsidR="00ED7726" w:rsidRDefault="00ED7726" w:rsidP="00DA725A">
                        <w:pPr>
                          <w:jc w:val="both"/>
                          <w:rPr>
                            <w:sz w:val="18"/>
                            <w:szCs w:val="18"/>
                            <w:lang w:val="it-IT"/>
                          </w:rPr>
                        </w:pPr>
                      </w:p>
                      <w:p w:rsidR="00ED7726" w:rsidRDefault="00ED7726" w:rsidP="00DA725A">
                        <w:pPr>
                          <w:jc w:val="both"/>
                          <w:rPr>
                            <w:sz w:val="18"/>
                            <w:szCs w:val="18"/>
                            <w:lang w:val="it-IT"/>
                          </w:rPr>
                        </w:pPr>
                      </w:p>
                      <w:p w:rsidR="00ED7726" w:rsidRDefault="00ED7726" w:rsidP="00DA725A">
                        <w:pPr>
                          <w:jc w:val="both"/>
                          <w:rPr>
                            <w:sz w:val="18"/>
                            <w:szCs w:val="18"/>
                            <w:lang w:val="it-IT"/>
                          </w:rPr>
                        </w:pPr>
                      </w:p>
                      <w:p w:rsidR="00ED7726" w:rsidRPr="00D82EE4" w:rsidRDefault="00ED7726" w:rsidP="00DA725A">
                        <w:pPr>
                          <w:jc w:val="both"/>
                          <w:rPr>
                            <w:sz w:val="18"/>
                            <w:szCs w:val="18"/>
                            <w:lang w:val="it-IT"/>
                          </w:rPr>
                        </w:pPr>
                      </w:p>
                      <w:p w:rsidR="00D146AC" w:rsidRPr="00043955" w:rsidRDefault="00D146AC" w:rsidP="002E610C">
                        <w:pPr>
                          <w:jc w:val="center"/>
                          <w:rPr>
                            <w:sz w:val="18"/>
                            <w:szCs w:val="18"/>
                          </w:rPr>
                        </w:pPr>
                        <w:r w:rsidRPr="00043955">
                          <w:rPr>
                            <w:noProof/>
                            <w:sz w:val="18"/>
                            <w:szCs w:val="18"/>
                            <w:lang w:eastAsia="en-US"/>
                          </w:rPr>
                          <w:drawing>
                            <wp:inline distT="0" distB="0" distL="0" distR="0" wp14:anchorId="4CFBF0FB" wp14:editId="78589988">
                              <wp:extent cx="1788288" cy="349760"/>
                              <wp:effectExtent l="0" t="0" r="2540" b="0"/>
                              <wp:docPr id="8" name="Picture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89989" cy="369651"/>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40"/>
                          <w:gridCol w:w="4908"/>
                        </w:tblGrid>
                        <w:tr w:rsidR="00D146AC" w:rsidRPr="00C27D66" w:rsidTr="00775DAD">
                          <w:tc>
                            <w:tcPr>
                              <w:tcW w:w="3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33"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En</w:t>
                              </w:r>
                              <w:r w:rsidRPr="00D82EE4">
                                <w:rPr>
                                  <w:sz w:val="18"/>
                                  <w:szCs w:val="18"/>
                                  <w:lang w:val="it-IT"/>
                                </w:rPr>
                                <w:t> este distanța medie ponderată pentru un punct de intrare sau pentru 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33"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Ex</w:t>
                              </w:r>
                              <w:r w:rsidRPr="00D82EE4">
                                <w:rPr>
                                  <w:sz w:val="18"/>
                                  <w:szCs w:val="18"/>
                                  <w:lang w:val="it-IT"/>
                                </w:rPr>
                                <w:t> este capacitatea contractată estimată într-un punct de ieșire sau într-un grup de puncte de ieșire;</w:t>
                              </w: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38" w:type="dxa"/>
                              <w:shd w:val="clear" w:color="auto" w:fill="auto"/>
                              <w:hideMark/>
                            </w:tcPr>
                            <w:p w:rsidR="00D146AC" w:rsidRPr="00D82EE4" w:rsidRDefault="00D146AC" w:rsidP="00DA725A">
                              <w:pPr>
                                <w:jc w:val="both"/>
                                <w:rPr>
                                  <w:sz w:val="18"/>
                                  <w:szCs w:val="18"/>
                                  <w:lang w:val="it-IT"/>
                                </w:rPr>
                              </w:pPr>
                              <w:r w:rsidRPr="00D82EE4">
                                <w:rPr>
                                  <w:sz w:val="18"/>
                                  <w:szCs w:val="18"/>
                                  <w:lang w:val="it-IT"/>
                                </w:rPr>
                                <w:t>D</w:t>
                              </w:r>
                              <w:r w:rsidRPr="00D82EE4">
                                <w:rPr>
                                  <w:sz w:val="18"/>
                                  <w:szCs w:val="18"/>
                                  <w:vertAlign w:val="subscript"/>
                                  <w:lang w:val="it-IT"/>
                                </w:rPr>
                                <w:t>En,Ex</w:t>
                              </w:r>
                              <w:r w:rsidRPr="00D82EE4">
                                <w:rPr>
                                  <w:sz w:val="18"/>
                                  <w:szCs w:val="18"/>
                                  <w:lang w:val="it-IT"/>
                                </w:rPr>
                                <w:t> este distanța dintre un anumit punct de intrare sau grup de puncte de intrare și un anumit punct de ieșire sau grup de puncte de ieșire, menționată la alineatul (1) litera (c).</w:t>
                              </w:r>
                            </w:p>
                          </w:tc>
                        </w:tr>
                      </w:tbl>
                      <w:p w:rsidR="00D146AC" w:rsidRPr="00D82EE4" w:rsidRDefault="00D146AC" w:rsidP="00DA725A">
                        <w:pPr>
                          <w:jc w:val="both"/>
                          <w:rPr>
                            <w:sz w:val="18"/>
                            <w:szCs w:val="18"/>
                            <w:lang w:val="it-IT"/>
                          </w:rPr>
                        </w:pPr>
                      </w:p>
                    </w:tc>
                  </w:tr>
                  <w:tr w:rsidR="00D146AC" w:rsidRPr="00C27D66" w:rsidTr="00775DAD">
                    <w:tc>
                      <w:tcPr>
                        <w:tcW w:w="42" w:type="dxa"/>
                        <w:gridSpan w:val="2"/>
                        <w:shd w:val="clear" w:color="auto" w:fill="auto"/>
                        <w:hideMark/>
                      </w:tcPr>
                      <w:p w:rsidR="00D146AC" w:rsidRPr="00043955" w:rsidRDefault="00D146AC" w:rsidP="00DA725A">
                        <w:pPr>
                          <w:jc w:val="both"/>
                          <w:rPr>
                            <w:sz w:val="18"/>
                            <w:szCs w:val="18"/>
                          </w:rPr>
                        </w:pPr>
                        <w:r w:rsidRPr="00043955">
                          <w:rPr>
                            <w:sz w:val="18"/>
                            <w:szCs w:val="18"/>
                          </w:rPr>
                          <w:t>(ii)</w:t>
                        </w:r>
                      </w:p>
                    </w:tc>
                    <w:tc>
                      <w:tcPr>
                        <w:tcW w:w="4664" w:type="dxa"/>
                        <w:shd w:val="clear" w:color="auto" w:fill="auto"/>
                        <w:hideMark/>
                      </w:tcPr>
                      <w:p w:rsidR="00D146AC" w:rsidRPr="00D82EE4" w:rsidRDefault="00D146AC" w:rsidP="00DA725A">
                        <w:pPr>
                          <w:jc w:val="both"/>
                          <w:rPr>
                            <w:sz w:val="18"/>
                            <w:szCs w:val="18"/>
                            <w:lang w:val="it-IT"/>
                          </w:rPr>
                        </w:pPr>
                        <w:r w:rsidRPr="00D82EE4">
                          <w:rPr>
                            <w:sz w:val="18"/>
                            <w:szCs w:val="18"/>
                            <w:lang w:val="it-IT"/>
                          </w:rPr>
                          <w:t>pentru un anumit punct de ieșire sau grup de puncte de ieșire, ca suma dintre produsele de capacitate în fiecare punct de intrare sau grup de puncte de intrare și distanța dintre fiecare punct de intrare sau grup de puncte de intrare și respectivul punct de ieșire sau grup de puncte de ieșire, împărțită la suma capacităților în fiecare punct de intrare sau grup de puncte de intrare:</w:t>
                        </w:r>
                      </w:p>
                      <w:p w:rsidR="00D146AC" w:rsidRPr="00043955" w:rsidRDefault="00D146AC" w:rsidP="00DA725A">
                        <w:pPr>
                          <w:jc w:val="center"/>
                          <w:rPr>
                            <w:sz w:val="18"/>
                            <w:szCs w:val="18"/>
                          </w:rPr>
                        </w:pPr>
                        <w:r w:rsidRPr="00043955">
                          <w:rPr>
                            <w:noProof/>
                            <w:sz w:val="18"/>
                            <w:szCs w:val="18"/>
                            <w:lang w:eastAsia="en-US"/>
                          </w:rPr>
                          <w:lastRenderedPageBreak/>
                          <w:drawing>
                            <wp:inline distT="0" distB="0" distL="0" distR="0" wp14:anchorId="7A06FA21" wp14:editId="78B6AA6A">
                              <wp:extent cx="2324100" cy="454556"/>
                              <wp:effectExtent l="0" t="0" r="0" b="3175"/>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37" cy="465731"/>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5"/>
                          <w:gridCol w:w="6"/>
                          <w:gridCol w:w="4900"/>
                        </w:tblGrid>
                        <w:tr w:rsidR="00D146AC" w:rsidRPr="00C27D66" w:rsidTr="00775DAD">
                          <w:tc>
                            <w:tcPr>
                              <w:tcW w:w="39" w:type="dxa"/>
                              <w:gridSpan w:val="2"/>
                              <w:shd w:val="clear" w:color="auto" w:fill="auto"/>
                              <w:hideMark/>
                            </w:tcPr>
                            <w:p w:rsidR="00D146AC" w:rsidRPr="00043955" w:rsidRDefault="00D146AC" w:rsidP="00DA725A">
                              <w:pPr>
                                <w:jc w:val="both"/>
                                <w:rPr>
                                  <w:sz w:val="18"/>
                                  <w:szCs w:val="18"/>
                                </w:rPr>
                              </w:pPr>
                              <w:r w:rsidRPr="00043955">
                                <w:rPr>
                                  <w:sz w:val="18"/>
                                  <w:szCs w:val="18"/>
                                </w:rPr>
                                <w:t> </w:t>
                              </w:r>
                            </w:p>
                          </w:tc>
                          <w:tc>
                            <w:tcPr>
                              <w:tcW w:w="4625"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Ex</w:t>
                              </w:r>
                              <w:r w:rsidRPr="00D82EE4">
                                <w:rPr>
                                  <w:sz w:val="18"/>
                                  <w:szCs w:val="18"/>
                                  <w:lang w:val="it-IT"/>
                                </w:rPr>
                                <w:t> este distanța medie ponderată pentru un punct de ieșire sau pentru un grup de puncte de ieșire;</w:t>
                              </w:r>
                            </w:p>
                          </w:tc>
                        </w:tr>
                        <w:tr w:rsidR="00D146AC" w:rsidRPr="00C27D66" w:rsidTr="00775DAD">
                          <w:tc>
                            <w:tcPr>
                              <w:tcW w:w="39"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25"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En</w:t>
                              </w:r>
                              <w:r w:rsidRPr="00D82EE4">
                                <w:rPr>
                                  <w:sz w:val="18"/>
                                  <w:szCs w:val="18"/>
                                  <w:lang w:val="it-IT"/>
                                </w:rPr>
                                <w:t> este capacitatea contractată estimată într-un punct de intrare sau într-un grup de puncte de intrare;</w:t>
                              </w: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31"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D</w:t>
                              </w:r>
                              <w:r w:rsidRPr="00D82EE4">
                                <w:rPr>
                                  <w:sz w:val="18"/>
                                  <w:szCs w:val="18"/>
                                  <w:vertAlign w:val="subscript"/>
                                  <w:lang w:val="it-IT"/>
                                </w:rPr>
                                <w:t>En,Ex</w:t>
                              </w:r>
                              <w:r w:rsidRPr="00D82EE4">
                                <w:rPr>
                                  <w:sz w:val="18"/>
                                  <w:szCs w:val="18"/>
                                  <w:lang w:val="it-IT"/>
                                </w:rPr>
                                <w:t> este distanța dintre un anumit punct de intrare sau grup de puncte de intrare și un anumit punct de ieșire sau grup de puncte de ieșire, menționată la alineatul (1) litera (c).</w:t>
                              </w:r>
                            </w:p>
                          </w:tc>
                        </w:tr>
                      </w:tbl>
                      <w:p w:rsidR="00D146AC" w:rsidRPr="00D82EE4" w:rsidRDefault="00D146AC" w:rsidP="00DA725A">
                        <w:pPr>
                          <w:jc w:val="both"/>
                          <w:rPr>
                            <w:sz w:val="18"/>
                            <w:szCs w:val="18"/>
                            <w:lang w:val="it-IT"/>
                          </w:rPr>
                        </w:pPr>
                      </w:p>
                    </w:tc>
                  </w:tr>
                </w:tbl>
                <w:p w:rsidR="00D146AC" w:rsidRPr="00D82EE4" w:rsidRDefault="00D146AC" w:rsidP="00DA725A">
                  <w:pPr>
                    <w:jc w:val="both"/>
                    <w:rPr>
                      <w:sz w:val="18"/>
                      <w:szCs w:val="18"/>
                      <w:lang w:val="it-IT"/>
                    </w:rPr>
                  </w:pP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lastRenderedPageBreak/>
                    <w:t>(b)</w:t>
                  </w:r>
                </w:p>
              </w:tc>
              <w:tc>
                <w:tcPr>
                  <w:tcW w:w="4705"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ponderea costului pentru fiecare punct de intrare sau pentru fiecare grup de puncte de intrare și pentru fiecare punct de ieșire sau grup de puncte de ieșire se calculează în conformitate cu formulele corespunzătoare de mai jos:</w:t>
                  </w:r>
                </w:p>
                <w:tbl>
                  <w:tblPr>
                    <w:tblW w:w="5000" w:type="pct"/>
                    <w:tblLayout w:type="fixed"/>
                    <w:tblCellMar>
                      <w:left w:w="0" w:type="dxa"/>
                      <w:right w:w="0" w:type="dxa"/>
                    </w:tblCellMar>
                    <w:tblLook w:val="04A0" w:firstRow="1" w:lastRow="0" w:firstColumn="1" w:lastColumn="0" w:noHBand="0" w:noVBand="1"/>
                  </w:tblPr>
                  <w:tblGrid>
                    <w:gridCol w:w="58"/>
                    <w:gridCol w:w="4927"/>
                  </w:tblGrid>
                  <w:tr w:rsidR="00D146AC" w:rsidRPr="00043955" w:rsidTr="00775DAD">
                    <w:tc>
                      <w:tcPr>
                        <w:tcW w:w="5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50" w:type="dxa"/>
                        <w:shd w:val="clear" w:color="auto" w:fill="auto"/>
                        <w:hideMark/>
                      </w:tcPr>
                      <w:p w:rsidR="00D146AC" w:rsidRPr="00043955" w:rsidRDefault="00D146AC" w:rsidP="00DA725A">
                        <w:pPr>
                          <w:jc w:val="both"/>
                          <w:rPr>
                            <w:sz w:val="18"/>
                            <w:szCs w:val="18"/>
                          </w:rPr>
                        </w:pPr>
                        <w:r w:rsidRPr="00043955">
                          <w:rPr>
                            <w:noProof/>
                            <w:sz w:val="18"/>
                            <w:szCs w:val="18"/>
                            <w:lang w:eastAsia="en-US"/>
                          </w:rPr>
                          <w:drawing>
                            <wp:inline distT="0" distB="0" distL="0" distR="0" wp14:anchorId="12B48A0A" wp14:editId="332059E8">
                              <wp:extent cx="2209800" cy="433433"/>
                              <wp:effectExtent l="0" t="0" r="0" b="5080"/>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ula"/>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65434" cy="444345"/>
                                      </a:xfrm>
                                      <a:prstGeom prst="rect">
                                        <a:avLst/>
                                      </a:prstGeom>
                                      <a:noFill/>
                                      <a:ln>
                                        <a:noFill/>
                                      </a:ln>
                                    </pic:spPr>
                                  </pic:pic>
                                </a:graphicData>
                              </a:graphic>
                            </wp:inline>
                          </w:drawing>
                        </w:r>
                      </w:p>
                    </w:tc>
                  </w:tr>
                  <w:tr w:rsidR="00D146AC" w:rsidRPr="00043955" w:rsidTr="00775DAD">
                    <w:tc>
                      <w:tcPr>
                        <w:tcW w:w="55"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50" w:type="dxa"/>
                        <w:shd w:val="clear" w:color="auto" w:fill="auto"/>
                        <w:hideMark/>
                      </w:tcPr>
                      <w:p w:rsidR="00D146AC" w:rsidRPr="00043955" w:rsidRDefault="00D146AC" w:rsidP="00DA725A">
                        <w:pPr>
                          <w:jc w:val="both"/>
                          <w:rPr>
                            <w:sz w:val="18"/>
                            <w:szCs w:val="18"/>
                          </w:rPr>
                        </w:pPr>
                        <w:r w:rsidRPr="00043955">
                          <w:rPr>
                            <w:noProof/>
                            <w:sz w:val="18"/>
                            <w:szCs w:val="18"/>
                            <w:lang w:eastAsia="en-US"/>
                          </w:rPr>
                          <w:drawing>
                            <wp:inline distT="0" distB="0" distL="0" distR="0" wp14:anchorId="7B25DC90" wp14:editId="768B84DC">
                              <wp:extent cx="2181225" cy="430598"/>
                              <wp:effectExtent l="0" t="0" r="0" b="762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ul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15033" cy="437272"/>
                                      </a:xfrm>
                                      <a:prstGeom prst="rect">
                                        <a:avLst/>
                                      </a:prstGeom>
                                      <a:noFill/>
                                      <a:ln>
                                        <a:noFill/>
                                      </a:ln>
                                    </pic:spPr>
                                  </pic:pic>
                                </a:graphicData>
                              </a:graphic>
                            </wp:inline>
                          </w:drawing>
                        </w:r>
                      </w:p>
                    </w:tc>
                  </w:tr>
                </w:tbl>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41"/>
                    <w:gridCol w:w="4944"/>
                  </w:tblGrid>
                  <w:tr w:rsidR="00D146AC" w:rsidRPr="00C27D66" w:rsidTr="00775DAD">
                    <w:tc>
                      <w:tcPr>
                        <w:tcW w:w="39"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c,En</w:t>
                        </w:r>
                        <w:r w:rsidRPr="00D82EE4">
                          <w:rPr>
                            <w:sz w:val="18"/>
                            <w:szCs w:val="18"/>
                            <w:lang w:val="it-IT"/>
                          </w:rPr>
                          <w:t> este ponderea costului pentru un anumit punct de intrare sau pentru un grup de puncte de intrare;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c,Ex</w:t>
                        </w:r>
                        <w:r w:rsidRPr="00D82EE4">
                          <w:rPr>
                            <w:sz w:val="18"/>
                            <w:szCs w:val="18"/>
                            <w:lang w:val="it-IT"/>
                          </w:rPr>
                          <w:t> este ponderea costului pentru un anumit punct de ieșire sau pentru un grup de puncte de ieșire;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En</w:t>
                        </w:r>
                        <w:r w:rsidRPr="00D82EE4">
                          <w:rPr>
                            <w:sz w:val="18"/>
                            <w:szCs w:val="18"/>
                            <w:lang w:val="it-IT"/>
                          </w:rPr>
                          <w:t> este distanța medie ponderată pentru un punct de intrare sau pentru un grup de puncte de intrare;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Ex</w:t>
                        </w:r>
                        <w:r w:rsidRPr="00D82EE4">
                          <w:rPr>
                            <w:sz w:val="18"/>
                            <w:szCs w:val="18"/>
                            <w:lang w:val="it-IT"/>
                          </w:rPr>
                          <w:t> este distanța medie ponderată pentru un punct de ieșire sau pentru un grup de puncte de ieșire;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En</w:t>
                        </w:r>
                        <w:r w:rsidRPr="00D82EE4">
                          <w:rPr>
                            <w:sz w:val="18"/>
                            <w:szCs w:val="18"/>
                            <w:lang w:val="it-IT"/>
                          </w:rPr>
                          <w:t> este capacitatea contractată estimată într-un punct de intrare sau într-un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Ex</w:t>
                        </w:r>
                        <w:r w:rsidRPr="00D82EE4">
                          <w:rPr>
                            <w:sz w:val="18"/>
                            <w:szCs w:val="18"/>
                            <w:lang w:val="it-IT"/>
                          </w:rPr>
                          <w:t> este capacitatea contractată estimată într-un punct de ieșire sau într-un grup de puncte de ieșire.</w:t>
                        </w:r>
                      </w:p>
                    </w:tc>
                  </w:tr>
                </w:tbl>
                <w:p w:rsidR="00D146AC" w:rsidRPr="00D82EE4" w:rsidRDefault="00D146AC" w:rsidP="00DA725A">
                  <w:pPr>
                    <w:jc w:val="both"/>
                    <w:rPr>
                      <w:sz w:val="18"/>
                      <w:szCs w:val="18"/>
                      <w:lang w:val="it-IT"/>
                    </w:rPr>
                  </w:pPr>
                </w:p>
              </w:tc>
            </w:tr>
            <w:tr w:rsidR="00D146AC" w:rsidRPr="00043955" w:rsidTr="00775DAD">
              <w:tc>
                <w:tcPr>
                  <w:tcW w:w="111" w:type="dxa"/>
                  <w:gridSpan w:val="2"/>
                  <w:shd w:val="clear" w:color="auto" w:fill="FFFFFF"/>
                  <w:hideMark/>
                </w:tcPr>
                <w:p w:rsidR="00D146AC" w:rsidRPr="00043955" w:rsidRDefault="00D146AC" w:rsidP="00DA725A">
                  <w:pPr>
                    <w:jc w:val="both"/>
                    <w:rPr>
                      <w:sz w:val="18"/>
                      <w:szCs w:val="18"/>
                    </w:rPr>
                  </w:pPr>
                  <w:r w:rsidRPr="00043955">
                    <w:rPr>
                      <w:sz w:val="18"/>
                      <w:szCs w:val="18"/>
                    </w:rPr>
                    <w:t>(c)</w:t>
                  </w:r>
                </w:p>
              </w:tc>
              <w:tc>
                <w:tcPr>
                  <w:tcW w:w="4635" w:type="dxa"/>
                  <w:shd w:val="clear" w:color="auto" w:fill="FFFFFF"/>
                  <w:hideMark/>
                </w:tcPr>
                <w:p w:rsidR="00D146AC" w:rsidRPr="00043955" w:rsidRDefault="00D146AC" w:rsidP="00DA725A">
                  <w:pPr>
                    <w:jc w:val="both"/>
                    <w:rPr>
                      <w:sz w:val="18"/>
                      <w:szCs w:val="18"/>
                    </w:rPr>
                  </w:pPr>
                  <w:r w:rsidRPr="00043955">
                    <w:rPr>
                      <w:sz w:val="18"/>
                      <w:szCs w:val="18"/>
                    </w:rPr>
                    <w:t>partea din venitul aferent serviciilor de transport care urmează să fie recuperată din tarifele de transport bazate pe capacitate în toate punctele de intrare și partea din venitul aferent serviciilor de transport care urmează să fie recuperată din tarifele de transport bazate pe capacitate în toate punctele de ieșire se identifică prin aplicarea raportului intrare/ieșire;</w:t>
                  </w: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4705"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partea din venitul aferent serviciilor de transport care urmează să fie recuperată din tarifele de transport bazate pe capacitate în fiecare punct de intrare sau în fiecare grup de puncte de intrare și pentru fiecare punct de ieșire sau grup de puncte de ieșire se calculează în conformitate cu formulele corespunzătoare de mai jos:</w:t>
                  </w:r>
                </w:p>
                <w:tbl>
                  <w:tblPr>
                    <w:tblW w:w="5000" w:type="pct"/>
                    <w:tblLayout w:type="fixed"/>
                    <w:tblCellMar>
                      <w:left w:w="0" w:type="dxa"/>
                      <w:right w:w="0" w:type="dxa"/>
                    </w:tblCellMar>
                    <w:tblLook w:val="04A0" w:firstRow="1" w:lastRow="0" w:firstColumn="1" w:lastColumn="0" w:noHBand="0" w:noVBand="1"/>
                  </w:tblPr>
                  <w:tblGrid>
                    <w:gridCol w:w="171"/>
                    <w:gridCol w:w="4814"/>
                  </w:tblGrid>
                  <w:tr w:rsidR="00D146AC" w:rsidRPr="00043955" w:rsidTr="00775DAD">
                    <w:tc>
                      <w:tcPr>
                        <w:tcW w:w="161" w:type="dxa"/>
                        <w:shd w:val="clear" w:color="auto" w:fill="auto"/>
                        <w:hideMark/>
                      </w:tcPr>
                      <w:p w:rsidR="00D146AC" w:rsidRPr="0097170C" w:rsidRDefault="00D146AC" w:rsidP="00DA725A">
                        <w:pPr>
                          <w:jc w:val="both"/>
                          <w:rPr>
                            <w:b/>
                            <w:sz w:val="18"/>
                            <w:szCs w:val="18"/>
                            <w:lang w:val="it-IT"/>
                          </w:rPr>
                        </w:pPr>
                        <w:r w:rsidRPr="0097170C">
                          <w:rPr>
                            <w:b/>
                            <w:sz w:val="18"/>
                            <w:szCs w:val="18"/>
                            <w:lang w:val="it-IT"/>
                          </w:rPr>
                          <w:lastRenderedPageBreak/>
                          <w:t> </w:t>
                        </w:r>
                      </w:p>
                    </w:tc>
                    <w:tc>
                      <w:tcPr>
                        <w:tcW w:w="4544" w:type="dxa"/>
                        <w:shd w:val="clear" w:color="auto" w:fill="auto"/>
                        <w:hideMark/>
                      </w:tcPr>
                      <w:p w:rsidR="00D146AC" w:rsidRPr="0097170C" w:rsidRDefault="00D146AC" w:rsidP="003B5644">
                        <w:pPr>
                          <w:jc w:val="center"/>
                          <w:rPr>
                            <w:b/>
                            <w:sz w:val="18"/>
                            <w:szCs w:val="18"/>
                          </w:rPr>
                        </w:pPr>
                        <w:r w:rsidRPr="0097170C">
                          <w:rPr>
                            <w:b/>
                            <w:sz w:val="18"/>
                            <w:szCs w:val="18"/>
                          </w:rPr>
                          <w:t>R</w:t>
                        </w:r>
                        <w:r w:rsidRPr="0097170C">
                          <w:rPr>
                            <w:b/>
                            <w:sz w:val="18"/>
                            <w:szCs w:val="18"/>
                            <w:vertAlign w:val="subscript"/>
                          </w:rPr>
                          <w:t>En</w:t>
                        </w:r>
                        <w:r w:rsidRPr="0097170C">
                          <w:rPr>
                            <w:b/>
                            <w:sz w:val="18"/>
                            <w:szCs w:val="18"/>
                          </w:rPr>
                          <w:t> = W</w:t>
                        </w:r>
                        <w:r w:rsidRPr="0097170C">
                          <w:rPr>
                            <w:b/>
                            <w:sz w:val="18"/>
                            <w:szCs w:val="18"/>
                            <w:vertAlign w:val="subscript"/>
                          </w:rPr>
                          <w:t>c,En</w:t>
                        </w:r>
                        <w:r w:rsidRPr="0097170C">
                          <w:rPr>
                            <w:b/>
                            <w:sz w:val="18"/>
                            <w:szCs w:val="18"/>
                          </w:rPr>
                          <w:t> × R</w:t>
                        </w:r>
                        <w:r w:rsidRPr="0097170C">
                          <w:rPr>
                            <w:b/>
                            <w:sz w:val="18"/>
                            <w:szCs w:val="18"/>
                            <w:vertAlign w:val="subscript"/>
                          </w:rPr>
                          <w:t>ΣEn</w:t>
                        </w:r>
                      </w:p>
                    </w:tc>
                  </w:tr>
                  <w:tr w:rsidR="00D146AC" w:rsidRPr="00043955" w:rsidTr="00775DAD">
                    <w:tc>
                      <w:tcPr>
                        <w:tcW w:w="161" w:type="dxa"/>
                        <w:shd w:val="clear" w:color="auto" w:fill="auto"/>
                        <w:hideMark/>
                      </w:tcPr>
                      <w:p w:rsidR="00D146AC" w:rsidRPr="0097170C" w:rsidRDefault="00D146AC" w:rsidP="00DA725A">
                        <w:pPr>
                          <w:jc w:val="both"/>
                          <w:rPr>
                            <w:b/>
                            <w:sz w:val="18"/>
                            <w:szCs w:val="18"/>
                          </w:rPr>
                        </w:pPr>
                        <w:r w:rsidRPr="0097170C">
                          <w:rPr>
                            <w:b/>
                            <w:sz w:val="18"/>
                            <w:szCs w:val="18"/>
                          </w:rPr>
                          <w:t> </w:t>
                        </w:r>
                      </w:p>
                    </w:tc>
                    <w:tc>
                      <w:tcPr>
                        <w:tcW w:w="4544" w:type="dxa"/>
                        <w:shd w:val="clear" w:color="auto" w:fill="auto"/>
                        <w:hideMark/>
                      </w:tcPr>
                      <w:p w:rsidR="00D146AC" w:rsidRPr="0097170C" w:rsidRDefault="00D146AC" w:rsidP="003B5644">
                        <w:pPr>
                          <w:jc w:val="center"/>
                          <w:rPr>
                            <w:b/>
                            <w:sz w:val="18"/>
                            <w:szCs w:val="18"/>
                          </w:rPr>
                        </w:pPr>
                        <w:r w:rsidRPr="0097170C">
                          <w:rPr>
                            <w:b/>
                            <w:sz w:val="18"/>
                            <w:szCs w:val="18"/>
                          </w:rPr>
                          <w:t>R</w:t>
                        </w:r>
                        <w:r w:rsidRPr="0097170C">
                          <w:rPr>
                            <w:b/>
                            <w:sz w:val="18"/>
                            <w:szCs w:val="18"/>
                            <w:vertAlign w:val="subscript"/>
                          </w:rPr>
                          <w:t>Ex</w:t>
                        </w:r>
                        <w:r w:rsidRPr="0097170C">
                          <w:rPr>
                            <w:b/>
                            <w:sz w:val="18"/>
                            <w:szCs w:val="18"/>
                          </w:rPr>
                          <w:t> = W</w:t>
                        </w:r>
                        <w:r w:rsidRPr="0097170C">
                          <w:rPr>
                            <w:b/>
                            <w:sz w:val="18"/>
                            <w:szCs w:val="18"/>
                            <w:vertAlign w:val="subscript"/>
                          </w:rPr>
                          <w:t>c,Ex</w:t>
                        </w:r>
                        <w:r w:rsidRPr="0097170C">
                          <w:rPr>
                            <w:b/>
                            <w:sz w:val="18"/>
                            <w:szCs w:val="18"/>
                          </w:rPr>
                          <w:t> × R</w:t>
                        </w:r>
                        <w:r w:rsidRPr="0097170C">
                          <w:rPr>
                            <w:b/>
                            <w:sz w:val="18"/>
                            <w:szCs w:val="18"/>
                            <w:vertAlign w:val="subscript"/>
                          </w:rPr>
                          <w:t>ΣEx</w:t>
                        </w:r>
                      </w:p>
                    </w:tc>
                  </w:tr>
                </w:tbl>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5"/>
                    <w:gridCol w:w="6"/>
                    <w:gridCol w:w="4944"/>
                  </w:tblGrid>
                  <w:tr w:rsidR="00D146AC" w:rsidRPr="00C27D66" w:rsidTr="00775DAD">
                    <w:tc>
                      <w:tcPr>
                        <w:tcW w:w="39" w:type="dxa"/>
                        <w:gridSpan w:val="2"/>
                        <w:shd w:val="clear" w:color="auto" w:fill="auto"/>
                        <w:hideMark/>
                      </w:tcPr>
                      <w:p w:rsidR="00D146AC" w:rsidRPr="00043955" w:rsidRDefault="00D146AC" w:rsidP="00DA725A">
                        <w:pPr>
                          <w:jc w:val="both"/>
                          <w:rPr>
                            <w:sz w:val="18"/>
                            <w:szCs w:val="18"/>
                          </w:rPr>
                        </w:pPr>
                        <w:r w:rsidRPr="00043955">
                          <w:rPr>
                            <w:sz w:val="18"/>
                            <w:szCs w:val="18"/>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c,En</w:t>
                        </w:r>
                        <w:r w:rsidRPr="00D82EE4">
                          <w:rPr>
                            <w:sz w:val="18"/>
                            <w:szCs w:val="18"/>
                            <w:lang w:val="it-IT"/>
                          </w:rPr>
                          <w:t> este ponderea costului pentru un anumit punct de intrare sau pentru un grup de puncte de intrare;</w:t>
                        </w:r>
                      </w:p>
                    </w:tc>
                  </w:tr>
                  <w:tr w:rsidR="00D146AC" w:rsidRPr="00C27D66" w:rsidTr="00775DAD">
                    <w:tc>
                      <w:tcPr>
                        <w:tcW w:w="39"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c,Ex</w:t>
                        </w:r>
                        <w:r w:rsidRPr="00D82EE4">
                          <w:rPr>
                            <w:sz w:val="18"/>
                            <w:szCs w:val="18"/>
                            <w:lang w:val="it-IT"/>
                          </w:rPr>
                          <w:t> este ponderea costului pentru un anumit punct de ieșire sau pentru un grup de puncte de ieșire;</w:t>
                        </w:r>
                      </w:p>
                    </w:tc>
                  </w:tr>
                  <w:tr w:rsidR="00D146AC" w:rsidRPr="00C27D66" w:rsidTr="00775DAD">
                    <w:tc>
                      <w:tcPr>
                        <w:tcW w:w="39"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R</w:t>
                        </w:r>
                        <w:r w:rsidRPr="00D82EE4">
                          <w:rPr>
                            <w:sz w:val="18"/>
                            <w:szCs w:val="18"/>
                            <w:vertAlign w:val="subscript"/>
                            <w:lang w:val="it-IT"/>
                          </w:rPr>
                          <w:t>En</w:t>
                        </w:r>
                        <w:r w:rsidRPr="00D82EE4">
                          <w:rPr>
                            <w:sz w:val="18"/>
                            <w:szCs w:val="18"/>
                            <w:lang w:val="it-IT"/>
                          </w:rPr>
                          <w:t> este partea din venitul aferent serviciilor de transport care urmează să fie recuperată din tarifele de transport bazate pe capacitate într-un punct de intrare sau într-un grup de puncte de intrare;</w:t>
                        </w:r>
                      </w:p>
                    </w:tc>
                  </w:tr>
                  <w:tr w:rsidR="00D146AC" w:rsidRPr="00C27D66" w:rsidTr="00775DAD">
                    <w:tc>
                      <w:tcPr>
                        <w:tcW w:w="33" w:type="dxa"/>
                        <w:shd w:val="clear" w:color="auto" w:fill="auto"/>
                      </w:tcPr>
                      <w:p w:rsidR="00D146AC" w:rsidRPr="00D82EE4" w:rsidRDefault="00D146AC" w:rsidP="00DA725A">
                        <w:pPr>
                          <w:jc w:val="both"/>
                          <w:rPr>
                            <w:sz w:val="18"/>
                            <w:szCs w:val="18"/>
                            <w:lang w:val="it-IT"/>
                          </w:rPr>
                        </w:pPr>
                      </w:p>
                    </w:tc>
                    <w:tc>
                      <w:tcPr>
                        <w:tcW w:w="4672" w:type="dxa"/>
                        <w:gridSpan w:val="2"/>
                        <w:shd w:val="clear" w:color="auto" w:fill="auto"/>
                      </w:tcPr>
                      <w:p w:rsidR="00D146AC" w:rsidRPr="00D82EE4" w:rsidRDefault="00D146AC" w:rsidP="00DA725A">
                        <w:pPr>
                          <w:jc w:val="both"/>
                          <w:rPr>
                            <w:sz w:val="18"/>
                            <w:szCs w:val="18"/>
                            <w:lang w:val="it-IT"/>
                          </w:rPr>
                        </w:pP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72"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R</w:t>
                        </w:r>
                        <w:r w:rsidRPr="00043955">
                          <w:rPr>
                            <w:sz w:val="18"/>
                            <w:szCs w:val="18"/>
                            <w:vertAlign w:val="subscript"/>
                          </w:rPr>
                          <w:t>Σ</w:t>
                        </w:r>
                        <w:r w:rsidRPr="00D82EE4">
                          <w:rPr>
                            <w:sz w:val="18"/>
                            <w:szCs w:val="18"/>
                            <w:vertAlign w:val="subscript"/>
                            <w:lang w:val="it-IT"/>
                          </w:rPr>
                          <w:t>En</w:t>
                        </w:r>
                        <w:r w:rsidRPr="00D82EE4">
                          <w:rPr>
                            <w:sz w:val="18"/>
                            <w:szCs w:val="18"/>
                            <w:lang w:val="it-IT"/>
                          </w:rPr>
                          <w:t> este partea din venitul aferent serviciilor de transport care urmează să fie recuperată din tarifele de transport bazate pe capacitate în toate punctele de intrare;</w:t>
                        </w: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72" w:type="dxa"/>
                        <w:gridSpan w:val="2"/>
                        <w:shd w:val="clear" w:color="auto" w:fill="auto"/>
                        <w:hideMark/>
                      </w:tcPr>
                      <w:p w:rsidR="00D146AC" w:rsidRDefault="00D146AC" w:rsidP="00DA725A">
                        <w:pPr>
                          <w:jc w:val="both"/>
                          <w:rPr>
                            <w:sz w:val="18"/>
                            <w:szCs w:val="18"/>
                            <w:lang w:val="it-IT"/>
                          </w:rPr>
                        </w:pPr>
                        <w:r w:rsidRPr="00D82EE4">
                          <w:rPr>
                            <w:sz w:val="18"/>
                            <w:szCs w:val="18"/>
                            <w:lang w:val="it-IT"/>
                          </w:rPr>
                          <w:t>R</w:t>
                        </w:r>
                        <w:r w:rsidRPr="00043955">
                          <w:rPr>
                            <w:sz w:val="18"/>
                            <w:szCs w:val="18"/>
                            <w:vertAlign w:val="subscript"/>
                          </w:rPr>
                          <w:t>Σ</w:t>
                        </w:r>
                        <w:r w:rsidRPr="00D82EE4">
                          <w:rPr>
                            <w:sz w:val="18"/>
                            <w:szCs w:val="18"/>
                            <w:vertAlign w:val="subscript"/>
                            <w:lang w:val="it-IT"/>
                          </w:rPr>
                          <w:t>Ex</w:t>
                        </w:r>
                        <w:r w:rsidRPr="00D82EE4">
                          <w:rPr>
                            <w:sz w:val="18"/>
                            <w:szCs w:val="18"/>
                            <w:lang w:val="it-IT"/>
                          </w:rPr>
                          <w:t> este partea din venitul aferent serviciilor de transport care urmează să fie recuperată din tarifele de transport bazate pe capacitate în toate punctele de ieșire.</w:t>
                        </w:r>
                      </w:p>
                      <w:p w:rsidR="00A16F6F" w:rsidRPr="00D82EE4" w:rsidRDefault="00A16F6F" w:rsidP="00DA725A">
                        <w:pPr>
                          <w:jc w:val="both"/>
                          <w:rPr>
                            <w:sz w:val="18"/>
                            <w:szCs w:val="18"/>
                            <w:lang w:val="it-IT"/>
                          </w:rPr>
                        </w:pPr>
                      </w:p>
                    </w:tc>
                  </w:tr>
                </w:tbl>
                <w:p w:rsidR="00D146AC" w:rsidRPr="00D82EE4" w:rsidRDefault="00D146AC" w:rsidP="00DA725A">
                  <w:pPr>
                    <w:jc w:val="both"/>
                    <w:rPr>
                      <w:sz w:val="18"/>
                      <w:szCs w:val="18"/>
                      <w:lang w:val="it-IT"/>
                    </w:rPr>
                  </w:pP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lastRenderedPageBreak/>
                    <w:t>(e)</w:t>
                  </w:r>
                </w:p>
              </w:tc>
              <w:tc>
                <w:tcPr>
                  <w:tcW w:w="4705" w:type="dxa"/>
                  <w:gridSpan w:val="2"/>
                  <w:shd w:val="clear" w:color="auto" w:fill="FFFFFF"/>
                  <w:hideMark/>
                </w:tcPr>
                <w:p w:rsidR="00D146AC" w:rsidRDefault="00D146AC" w:rsidP="00DA725A">
                  <w:pPr>
                    <w:jc w:val="both"/>
                    <w:rPr>
                      <w:sz w:val="18"/>
                      <w:szCs w:val="18"/>
                      <w:lang w:val="it-IT"/>
                    </w:rPr>
                  </w:pPr>
                  <w:r w:rsidRPr="00D82EE4">
                    <w:rPr>
                      <w:sz w:val="18"/>
                      <w:szCs w:val="18"/>
                      <w:lang w:val="it-IT"/>
                    </w:rPr>
                    <w:t>valorile rezultate menționate la litera (d) se împart la capacitatea contractată estimată în fiecare punct de intrare sau în fiecare grup de puncte de intrare și în fiecare punct de ieșire sau în fiecare grup de puncte de ieșire, în conformitate cu formulele corespunzătoare de mai jos:</w:t>
                  </w:r>
                </w:p>
                <w:p w:rsidR="00A16F6F" w:rsidRPr="00D82EE4" w:rsidRDefault="00A16F6F"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12"/>
                    <w:gridCol w:w="4873"/>
                  </w:tblGrid>
                  <w:tr w:rsidR="00D146AC" w:rsidRPr="00043955" w:rsidTr="00775DAD">
                    <w:tc>
                      <w:tcPr>
                        <w:tcW w:w="106"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599" w:type="dxa"/>
                        <w:shd w:val="clear" w:color="auto" w:fill="auto"/>
                        <w:hideMark/>
                      </w:tcPr>
                      <w:p w:rsidR="00D146AC" w:rsidRPr="00043955" w:rsidRDefault="00D146AC" w:rsidP="003B5644">
                        <w:pPr>
                          <w:jc w:val="center"/>
                          <w:rPr>
                            <w:sz w:val="18"/>
                            <w:szCs w:val="18"/>
                          </w:rPr>
                        </w:pPr>
                        <w:r w:rsidRPr="00043955">
                          <w:rPr>
                            <w:noProof/>
                            <w:sz w:val="18"/>
                            <w:szCs w:val="18"/>
                            <w:lang w:eastAsia="en-US"/>
                          </w:rPr>
                          <w:drawing>
                            <wp:inline distT="0" distB="0" distL="0" distR="0" wp14:anchorId="6174D233" wp14:editId="59B0C61E">
                              <wp:extent cx="914400" cy="355600"/>
                              <wp:effectExtent l="0" t="0" r="0" b="635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4714" cy="359611"/>
                                      </a:xfrm>
                                      <a:prstGeom prst="rect">
                                        <a:avLst/>
                                      </a:prstGeom>
                                      <a:noFill/>
                                      <a:ln>
                                        <a:noFill/>
                                      </a:ln>
                                    </pic:spPr>
                                  </pic:pic>
                                </a:graphicData>
                              </a:graphic>
                            </wp:inline>
                          </w:drawing>
                        </w:r>
                      </w:p>
                    </w:tc>
                  </w:tr>
                  <w:tr w:rsidR="00D146AC" w:rsidRPr="00043955" w:rsidTr="00775DAD">
                    <w:tc>
                      <w:tcPr>
                        <w:tcW w:w="106" w:type="dxa"/>
                        <w:shd w:val="clear" w:color="auto" w:fill="auto"/>
                        <w:hideMark/>
                      </w:tcPr>
                      <w:p w:rsidR="00D146AC" w:rsidRPr="00043955" w:rsidRDefault="00D146AC" w:rsidP="00DA725A">
                        <w:pPr>
                          <w:jc w:val="both"/>
                          <w:rPr>
                            <w:sz w:val="18"/>
                            <w:szCs w:val="18"/>
                          </w:rPr>
                        </w:pPr>
                        <w:r w:rsidRPr="00043955">
                          <w:rPr>
                            <w:sz w:val="18"/>
                            <w:szCs w:val="18"/>
                          </w:rPr>
                          <w:t> </w:t>
                        </w:r>
                      </w:p>
                    </w:tc>
                    <w:tc>
                      <w:tcPr>
                        <w:tcW w:w="4599" w:type="dxa"/>
                        <w:shd w:val="clear" w:color="auto" w:fill="auto"/>
                        <w:hideMark/>
                      </w:tcPr>
                      <w:p w:rsidR="00D146AC" w:rsidRPr="00043955" w:rsidRDefault="00D146AC" w:rsidP="003B5644">
                        <w:pPr>
                          <w:jc w:val="center"/>
                          <w:rPr>
                            <w:sz w:val="18"/>
                            <w:szCs w:val="18"/>
                          </w:rPr>
                        </w:pPr>
                        <w:r w:rsidRPr="00043955">
                          <w:rPr>
                            <w:noProof/>
                            <w:sz w:val="18"/>
                            <w:szCs w:val="18"/>
                            <w:lang w:eastAsia="en-US"/>
                          </w:rPr>
                          <w:drawing>
                            <wp:inline distT="0" distB="0" distL="0" distR="0" wp14:anchorId="6DAD53B3" wp14:editId="2D70DBF6">
                              <wp:extent cx="857250" cy="335706"/>
                              <wp:effectExtent l="0" t="0" r="0" b="762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2308" cy="345519"/>
                                      </a:xfrm>
                                      <a:prstGeom prst="rect">
                                        <a:avLst/>
                                      </a:prstGeom>
                                      <a:noFill/>
                                      <a:ln>
                                        <a:noFill/>
                                      </a:ln>
                                    </pic:spPr>
                                  </pic:pic>
                                </a:graphicData>
                              </a:graphic>
                            </wp:inline>
                          </w:drawing>
                        </w:r>
                      </w:p>
                    </w:tc>
                  </w:tr>
                </w:tbl>
                <w:p w:rsidR="00D146AC" w:rsidRDefault="00D146AC" w:rsidP="00DA725A">
                  <w:pPr>
                    <w:jc w:val="both"/>
                    <w:rPr>
                      <w:sz w:val="18"/>
                      <w:szCs w:val="18"/>
                    </w:rPr>
                  </w:pPr>
                  <w:r w:rsidRPr="00043955">
                    <w:rPr>
                      <w:sz w:val="18"/>
                      <w:szCs w:val="18"/>
                    </w:rPr>
                    <w:t>unde:</w:t>
                  </w:r>
                </w:p>
                <w:p w:rsidR="00A16F6F" w:rsidRPr="00043955" w:rsidRDefault="00A16F6F" w:rsidP="00DA725A">
                  <w:pPr>
                    <w:jc w:val="both"/>
                    <w:rPr>
                      <w:sz w:val="18"/>
                      <w:szCs w:val="18"/>
                    </w:rPr>
                  </w:pPr>
                </w:p>
                <w:tbl>
                  <w:tblPr>
                    <w:tblW w:w="5000" w:type="pct"/>
                    <w:tblLayout w:type="fixed"/>
                    <w:tblCellMar>
                      <w:left w:w="0" w:type="dxa"/>
                      <w:right w:w="0" w:type="dxa"/>
                    </w:tblCellMar>
                    <w:tblLook w:val="04A0" w:firstRow="1" w:lastRow="0" w:firstColumn="1" w:lastColumn="0" w:noHBand="0" w:noVBand="1"/>
                  </w:tblPr>
                  <w:tblGrid>
                    <w:gridCol w:w="40"/>
                    <w:gridCol w:w="4945"/>
                  </w:tblGrid>
                  <w:tr w:rsidR="00D146AC" w:rsidRPr="00C27D66" w:rsidTr="00775DAD">
                    <w:tc>
                      <w:tcPr>
                        <w:tcW w:w="3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T</w:t>
                        </w:r>
                        <w:r w:rsidRPr="00D82EE4">
                          <w:rPr>
                            <w:sz w:val="18"/>
                            <w:szCs w:val="18"/>
                            <w:vertAlign w:val="subscript"/>
                            <w:lang w:val="it-IT"/>
                          </w:rPr>
                          <w:t>En</w:t>
                        </w:r>
                        <w:r w:rsidRPr="00D82EE4">
                          <w:rPr>
                            <w:sz w:val="18"/>
                            <w:szCs w:val="18"/>
                            <w:lang w:val="it-IT"/>
                          </w:rPr>
                          <w:t> este prețul de referință într-un punct de intrare sau în fiecare punct de intrare dintr-un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T</w:t>
                        </w:r>
                        <w:r w:rsidRPr="00D82EE4">
                          <w:rPr>
                            <w:sz w:val="18"/>
                            <w:szCs w:val="18"/>
                            <w:vertAlign w:val="subscript"/>
                            <w:lang w:val="it-IT"/>
                          </w:rPr>
                          <w:t>Ex</w:t>
                        </w:r>
                        <w:r w:rsidRPr="00D82EE4">
                          <w:rPr>
                            <w:sz w:val="18"/>
                            <w:szCs w:val="18"/>
                            <w:lang w:val="it-IT"/>
                          </w:rPr>
                          <w:t> este prețul de referință într-un punct de ieșire sau în fiecare punct de ieșire dintr-un grup de puncte de ieșire;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En</w:t>
                        </w:r>
                        <w:r w:rsidRPr="00D82EE4">
                          <w:rPr>
                            <w:sz w:val="18"/>
                            <w:szCs w:val="18"/>
                            <w:lang w:val="it-IT"/>
                          </w:rPr>
                          <w:t> este capacitatea contractată estimată într-un punct de intrare sau într-un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Ex</w:t>
                        </w:r>
                        <w:r w:rsidRPr="00D82EE4">
                          <w:rPr>
                            <w:sz w:val="18"/>
                            <w:szCs w:val="18"/>
                            <w:lang w:val="it-IT"/>
                          </w:rPr>
                          <w:t> este capacitatea contractată estimată într-un punct de ieșire sau într-un grup de puncte de ieșire.</w:t>
                        </w: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DA725A">
            <w:pPr>
              <w:tabs>
                <w:tab w:val="left" w:pos="851"/>
              </w:tabs>
              <w:jc w:val="center"/>
              <w:rPr>
                <w:b/>
                <w:sz w:val="18"/>
                <w:szCs w:val="18"/>
                <w:lang w:val="ro-RO"/>
              </w:rPr>
            </w:pPr>
            <w:r w:rsidRPr="00043955">
              <w:rPr>
                <w:b/>
                <w:sz w:val="18"/>
                <w:szCs w:val="18"/>
                <w:lang w:val="ro-RO"/>
              </w:rPr>
              <w:lastRenderedPageBreak/>
              <w:t>Secțiunea 3</w:t>
            </w:r>
          </w:p>
          <w:p w:rsidR="00D146AC" w:rsidRDefault="00D146AC" w:rsidP="00DA725A">
            <w:pPr>
              <w:tabs>
                <w:tab w:val="left" w:pos="851"/>
              </w:tabs>
              <w:jc w:val="center"/>
              <w:rPr>
                <w:b/>
                <w:sz w:val="18"/>
                <w:szCs w:val="18"/>
                <w:lang w:val="ro-RO"/>
              </w:rPr>
            </w:pPr>
            <w:r w:rsidRPr="00043955">
              <w:rPr>
                <w:b/>
                <w:sz w:val="18"/>
                <w:szCs w:val="18"/>
                <w:lang w:val="ro-RO"/>
              </w:rPr>
              <w:t>Metodologia de stabilire a prețurilor de referință în funcție de distanța ponderată cu capacitatea</w:t>
            </w:r>
          </w:p>
          <w:p w:rsidR="00D146AC" w:rsidRDefault="00D146AC" w:rsidP="00DA725A">
            <w:pPr>
              <w:tabs>
                <w:tab w:val="left" w:pos="851"/>
              </w:tabs>
              <w:jc w:val="center"/>
              <w:rPr>
                <w:b/>
                <w:sz w:val="18"/>
                <w:szCs w:val="18"/>
                <w:lang w:val="ro-RO"/>
              </w:rPr>
            </w:pPr>
          </w:p>
          <w:p w:rsidR="00095343" w:rsidRPr="00380C00" w:rsidRDefault="00095343" w:rsidP="00095343">
            <w:pPr>
              <w:tabs>
                <w:tab w:val="left" w:pos="851"/>
              </w:tabs>
              <w:rPr>
                <w:sz w:val="18"/>
                <w:szCs w:val="18"/>
                <w:lang w:val="it-IT"/>
              </w:rPr>
            </w:pPr>
            <w:r w:rsidRPr="00380C00">
              <w:rPr>
                <w:b/>
                <w:bCs/>
                <w:sz w:val="18"/>
                <w:szCs w:val="18"/>
                <w:lang w:val="it-IT"/>
              </w:rPr>
              <w:t>338</w:t>
            </w:r>
            <w:r w:rsidRPr="00380C00">
              <w:rPr>
                <w:bCs/>
                <w:sz w:val="18"/>
                <w:szCs w:val="18"/>
                <w:lang w:val="it-IT"/>
              </w:rPr>
              <w:t>.</w:t>
            </w:r>
            <w:r w:rsidRPr="00380C00">
              <w:rPr>
                <w:sz w:val="18"/>
                <w:szCs w:val="18"/>
                <w:lang w:val="it-IT"/>
              </w:rPr>
              <w:t xml:space="preserve"> Metoda de calculare a preţurilor de referinţă în funcţie de distanţa medie ponderată bazată pe capacitate trebuie să respecte următorii parametri:</w:t>
            </w:r>
          </w:p>
          <w:p w:rsidR="00095343" w:rsidRPr="00380C00" w:rsidRDefault="00095343" w:rsidP="00095343">
            <w:pPr>
              <w:tabs>
                <w:tab w:val="left" w:pos="851"/>
              </w:tabs>
              <w:rPr>
                <w:sz w:val="18"/>
                <w:szCs w:val="18"/>
                <w:lang w:val="it-IT"/>
              </w:rPr>
            </w:pPr>
            <w:r w:rsidRPr="00380C00">
              <w:rPr>
                <w:sz w:val="18"/>
                <w:szCs w:val="18"/>
                <w:lang w:val="it-IT"/>
              </w:rPr>
              <w:t>1) partea din venitul aferent serviciilor de transport care trebuie recuperată din tarifele pentru serviciul de transport bazate pe capacitate;</w:t>
            </w:r>
          </w:p>
          <w:p w:rsidR="00095343" w:rsidRPr="00380C00" w:rsidRDefault="00095343" w:rsidP="00095343">
            <w:pPr>
              <w:tabs>
                <w:tab w:val="left" w:pos="851"/>
              </w:tabs>
              <w:rPr>
                <w:sz w:val="18"/>
                <w:szCs w:val="18"/>
                <w:lang w:val="it-IT"/>
              </w:rPr>
            </w:pPr>
            <w:r w:rsidRPr="00380C00">
              <w:rPr>
                <w:sz w:val="18"/>
                <w:szCs w:val="18"/>
                <w:lang w:val="it-IT"/>
              </w:rPr>
              <w:t>2) capacitatea contractată prognozată în fiecare punct de intrare sau într-un grup de puncte de intrare şi în fiecare punct de ieşire sau într-un grup de puncte de ieşire;</w:t>
            </w:r>
          </w:p>
          <w:p w:rsidR="00A16F6F" w:rsidRDefault="00095343" w:rsidP="00A16F6F">
            <w:pPr>
              <w:tabs>
                <w:tab w:val="left" w:pos="851"/>
              </w:tabs>
              <w:rPr>
                <w:sz w:val="18"/>
                <w:szCs w:val="18"/>
                <w:lang w:val="it-IT"/>
              </w:rPr>
            </w:pPr>
            <w:r w:rsidRPr="00380C00">
              <w:rPr>
                <w:sz w:val="18"/>
                <w:szCs w:val="18"/>
                <w:lang w:val="it-IT"/>
              </w:rPr>
              <w:t xml:space="preserve">3) în cazul în care punctele de intrare şi punctele de ieşire pot fi combinate într-un scenariu de flux relevant, distanţa cea mai scurtă a rutelor prin reţelele de transport dintre un punct de </w:t>
            </w:r>
            <w:r w:rsidRPr="00380C00">
              <w:rPr>
                <w:sz w:val="18"/>
                <w:szCs w:val="18"/>
                <w:lang w:val="it-IT"/>
              </w:rPr>
              <w:lastRenderedPageBreak/>
              <w:t>intrare sau un grup de puncte de intrare şi un punct de ieşire sau un grup de puncte de ieşire;</w:t>
            </w:r>
          </w:p>
          <w:p w:rsidR="00095343" w:rsidRPr="00380C00" w:rsidRDefault="00095343" w:rsidP="00A16F6F">
            <w:pPr>
              <w:tabs>
                <w:tab w:val="left" w:pos="851"/>
              </w:tabs>
              <w:rPr>
                <w:sz w:val="18"/>
                <w:szCs w:val="18"/>
                <w:lang w:val="it-IT"/>
              </w:rPr>
            </w:pPr>
            <w:r w:rsidRPr="00380C00">
              <w:rPr>
                <w:sz w:val="18"/>
                <w:szCs w:val="18"/>
                <w:lang w:val="it-IT"/>
              </w:rPr>
              <w:t>4) combinaţiile de puncte de intrare şi puncte de ieşire, în cazul în care unele puncte de intrare şi unele puncte de ieşire pot fi combinate într-un scenariu de flux;</w:t>
            </w:r>
          </w:p>
          <w:p w:rsidR="00095343" w:rsidRPr="00380C00" w:rsidRDefault="00095343" w:rsidP="00095343">
            <w:pPr>
              <w:tabs>
                <w:tab w:val="left" w:pos="851"/>
              </w:tabs>
              <w:rPr>
                <w:sz w:val="18"/>
                <w:szCs w:val="18"/>
                <w:lang w:val="it-IT"/>
              </w:rPr>
            </w:pPr>
            <w:r w:rsidRPr="00380C00">
              <w:rPr>
                <w:sz w:val="18"/>
                <w:szCs w:val="18"/>
                <w:lang w:val="it-IT"/>
              </w:rPr>
              <w:t xml:space="preserve">5) raportul intrare/ieşire menţionat la pct.409, subpunctul 5) lit.b) este de </w:t>
            </w:r>
            <w:r w:rsidRPr="00380C00">
              <w:rPr>
                <w:bCs/>
                <w:sz w:val="18"/>
                <w:szCs w:val="18"/>
                <w:lang w:val="it-IT"/>
              </w:rPr>
              <w:t>50/50.</w:t>
            </w:r>
          </w:p>
          <w:p w:rsidR="00095343" w:rsidRDefault="00095343" w:rsidP="00095343">
            <w:pPr>
              <w:tabs>
                <w:tab w:val="left" w:pos="851"/>
              </w:tabs>
              <w:rPr>
                <w:sz w:val="18"/>
                <w:szCs w:val="18"/>
                <w:lang w:val="it-IT"/>
              </w:rPr>
            </w:pPr>
            <w:r w:rsidRPr="00380C00">
              <w:rPr>
                <w:b/>
                <w:bCs/>
                <w:sz w:val="18"/>
                <w:szCs w:val="18"/>
                <w:lang w:val="it-IT"/>
              </w:rPr>
              <w:t>339</w:t>
            </w:r>
            <w:r w:rsidRPr="00380C00">
              <w:rPr>
                <w:bCs/>
                <w:sz w:val="18"/>
                <w:szCs w:val="18"/>
                <w:lang w:val="it-IT"/>
              </w:rPr>
              <w:t>.</w:t>
            </w:r>
            <w:r w:rsidRPr="00380C00">
              <w:rPr>
                <w:sz w:val="18"/>
                <w:szCs w:val="18"/>
                <w:lang w:val="it-IT"/>
              </w:rPr>
              <w:t xml:space="preserve"> În cazul în care punctele de intrare şi punctele de ieşire nu pot fi combinate într-un scenariu de flux, această combinaţie de puncte de intrare şi de ieşire nu se ia în calcul.</w:t>
            </w:r>
          </w:p>
          <w:p w:rsidR="00AC425B" w:rsidRDefault="00AC425B" w:rsidP="00095343">
            <w:pPr>
              <w:tabs>
                <w:tab w:val="left" w:pos="851"/>
              </w:tabs>
              <w:rPr>
                <w:sz w:val="18"/>
                <w:szCs w:val="18"/>
                <w:lang w:val="it-IT"/>
              </w:rPr>
            </w:pPr>
          </w:p>
          <w:p w:rsidR="00AC425B" w:rsidRPr="00380C00" w:rsidRDefault="00AC425B" w:rsidP="00095343">
            <w:pPr>
              <w:tabs>
                <w:tab w:val="left" w:pos="851"/>
              </w:tabs>
              <w:rPr>
                <w:sz w:val="18"/>
                <w:szCs w:val="18"/>
                <w:lang w:val="it-IT"/>
              </w:rPr>
            </w:pPr>
          </w:p>
          <w:p w:rsidR="00095343" w:rsidRPr="00380C00" w:rsidRDefault="00095343" w:rsidP="00095343">
            <w:pPr>
              <w:tabs>
                <w:tab w:val="left" w:pos="851"/>
              </w:tabs>
              <w:rPr>
                <w:sz w:val="18"/>
                <w:szCs w:val="18"/>
                <w:lang w:val="it-IT"/>
              </w:rPr>
            </w:pPr>
            <w:r w:rsidRPr="00380C00">
              <w:rPr>
                <w:b/>
                <w:bCs/>
                <w:sz w:val="18"/>
                <w:szCs w:val="18"/>
                <w:lang w:val="it-IT"/>
              </w:rPr>
              <w:t>340</w:t>
            </w:r>
            <w:r w:rsidRPr="00380C00">
              <w:rPr>
                <w:bCs/>
                <w:sz w:val="18"/>
                <w:szCs w:val="18"/>
                <w:lang w:val="it-IT"/>
              </w:rPr>
              <w:t>.</w:t>
            </w:r>
            <w:r w:rsidRPr="00380C00">
              <w:rPr>
                <w:sz w:val="18"/>
                <w:szCs w:val="18"/>
                <w:lang w:val="it-IT"/>
              </w:rPr>
              <w:t xml:space="preserve"> Preţurile de referinţă se determină în conformitate cu următoarele etape consecutive:</w:t>
            </w:r>
          </w:p>
          <w:p w:rsidR="00095343" w:rsidRPr="00380C00" w:rsidRDefault="00095343" w:rsidP="00095343">
            <w:pPr>
              <w:tabs>
                <w:tab w:val="left" w:pos="851"/>
              </w:tabs>
              <w:rPr>
                <w:sz w:val="18"/>
                <w:szCs w:val="18"/>
                <w:lang w:val="it-IT"/>
              </w:rPr>
            </w:pPr>
            <w:r w:rsidRPr="00380C00">
              <w:rPr>
                <w:sz w:val="18"/>
                <w:szCs w:val="18"/>
                <w:lang w:val="it-IT"/>
              </w:rPr>
              <w:t>1) se calculează distanţa medie ponderată pentru fiecare punct de intrare sau grup de puncte de intrare şi pentru fiecare punct de ieşire sau grup de puncte de ieşire, luând în considerare, după caz, combinaţiile menţionate la pct.338, subpunctul 4), în conformitate cu formulele corespunzătoare de mai jos:</w:t>
            </w:r>
          </w:p>
          <w:p w:rsidR="00D146AC" w:rsidRPr="005B64F0" w:rsidRDefault="00095343" w:rsidP="00095343">
            <w:pPr>
              <w:tabs>
                <w:tab w:val="left" w:pos="851"/>
              </w:tabs>
              <w:ind w:firstLine="1134"/>
              <w:jc w:val="both"/>
              <w:rPr>
                <w:sz w:val="18"/>
                <w:szCs w:val="18"/>
                <w:lang w:val="ro-RO"/>
              </w:rPr>
            </w:pPr>
            <w:r w:rsidRPr="00380C00">
              <w:rPr>
                <w:sz w:val="18"/>
                <w:szCs w:val="18"/>
                <w:lang w:val="it-IT"/>
              </w:rPr>
              <w:t xml:space="preserve">a) Distanţa medie ponderată pentru un punct de intrare sau un grup de puncte de intrare, în anul de reglementare </w:t>
            </w:r>
            <w:r w:rsidRPr="00380C00">
              <w:rPr>
                <w:i/>
                <w:iCs/>
                <w:sz w:val="18"/>
                <w:szCs w:val="18"/>
                <w:lang w:val="it-IT"/>
              </w:rPr>
              <w:t xml:space="preserve">„n” </w:t>
            </w:r>
            <w:r w:rsidRPr="005B64F0">
              <w:rPr>
                <w:noProof/>
                <w:sz w:val="18"/>
                <w:szCs w:val="18"/>
                <w:lang w:eastAsia="en-US"/>
              </w:rPr>
              <w:drawing>
                <wp:inline distT="0" distB="0" distL="0" distR="0">
                  <wp:extent cx="460375" cy="184150"/>
                  <wp:effectExtent l="0" t="0" r="0" b="6350"/>
                  <wp:docPr id="73" name="Picture 73" descr="\\192.168.1.34\DataJur\Legi_Rom\DE\A19\g420d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192.168.1.34\DataJur\Legi_Rom\DE\A19\g420d1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0375" cy="184150"/>
                          </a:xfrm>
                          <a:prstGeom prst="rect">
                            <a:avLst/>
                          </a:prstGeom>
                          <a:noFill/>
                          <a:ln>
                            <a:noFill/>
                          </a:ln>
                        </pic:spPr>
                      </pic:pic>
                    </a:graphicData>
                  </a:graphic>
                </wp:inline>
              </w:drawing>
            </w:r>
            <w:r w:rsidRPr="00380C00">
              <w:rPr>
                <w:sz w:val="18"/>
                <w:szCs w:val="18"/>
                <w:lang w:val="it-IT"/>
              </w:rPr>
              <w:t>reprezintă suma produselor dintre capacitatea în fiecare punct de ieşire sau grup de puncte de ieşire şi distanţa dintre punctul de intrare sau grupul de puncte de intrare respectiv şi fiecare punct de ieşire sau grup de puncte de ieşire, raportată la suma capacităţilor în fiecare punct de ieşire sau grup de puncte de ieşire. Astfel, pentru un punct de intrare sau un grup de puncte de intrare:</w:t>
            </w:r>
          </w:p>
          <w:p w:rsidR="009D2048" w:rsidRPr="005B64F0" w:rsidRDefault="009D2048" w:rsidP="00DA725A">
            <w:pPr>
              <w:tabs>
                <w:tab w:val="left" w:pos="851"/>
              </w:tabs>
              <w:ind w:firstLine="1134"/>
              <w:jc w:val="both"/>
              <w:rPr>
                <w:sz w:val="18"/>
                <w:szCs w:val="18"/>
                <w:lang w:val="ro-RO"/>
              </w:rPr>
            </w:pPr>
          </w:p>
          <w:p w:rsidR="00B323AA" w:rsidRPr="006C4B0E" w:rsidRDefault="009217D5" w:rsidP="009217D5">
            <w:pPr>
              <w:jc w:val="center"/>
              <w:rPr>
                <w:sz w:val="18"/>
                <w:szCs w:val="18"/>
              </w:rPr>
            </w:pPr>
            <w:r w:rsidRPr="005B64F0">
              <w:rPr>
                <w:sz w:val="18"/>
                <w:szCs w:val="18"/>
              </w:rPr>
              <w:object w:dxaOrig="2970" w:dyaOrig="1050">
                <v:shape id="_x0000_i1031" type="#_x0000_t75" style="width:136.5pt;height:47.25pt" o:ole="">
                  <v:imagedata r:id="rId60" o:title=""/>
                </v:shape>
                <o:OLEObject Type="Embed" ProgID="PBrush" ShapeID="_x0000_i1031" DrawAspect="Content" ObjectID="_1837326467" r:id="rId61"/>
              </w:object>
            </w:r>
          </w:p>
          <w:p w:rsidR="00D146AC" w:rsidRPr="005B64F0" w:rsidRDefault="00D146AC" w:rsidP="00DA725A">
            <w:pPr>
              <w:jc w:val="both"/>
              <w:rPr>
                <w:sz w:val="18"/>
                <w:szCs w:val="18"/>
                <w:lang w:val="ro-RO"/>
              </w:rPr>
            </w:pPr>
            <w:r w:rsidRPr="005B64F0">
              <w:rPr>
                <w:sz w:val="18"/>
                <w:szCs w:val="18"/>
                <w:lang w:val="ro-RO"/>
              </w:rPr>
              <w:t>unde:</w:t>
            </w:r>
          </w:p>
          <w:p w:rsidR="00D146AC" w:rsidRPr="005B64F0" w:rsidRDefault="00A3101C" w:rsidP="00DA725A">
            <w:pPr>
              <w:jc w:val="both"/>
              <w:rPr>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CAP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E</m:t>
                  </m:r>
                </m:sup>
              </m:sSubSup>
            </m:oMath>
            <w:r w:rsidR="00C36098" w:rsidRPr="00670674">
              <w:rPr>
                <w:sz w:val="18"/>
                <w:szCs w:val="18"/>
                <w:lang w:val="it-IT" w:eastAsia="en-US"/>
              </w:rPr>
              <w:t xml:space="preserve"> - </w:t>
            </w:r>
            <w:r w:rsidR="00C36098" w:rsidRPr="005B64F0">
              <w:rPr>
                <w:sz w:val="18"/>
                <w:szCs w:val="18"/>
                <w:lang w:val="ro-RO"/>
              </w:rPr>
              <w:t>capacitatea prognozată care urmează a fi contractată în anul de reglementare „n” într-un punct de ieşire sau un grup de puncte de ieşire;</w:t>
            </w:r>
          </w:p>
          <w:p w:rsidR="00D146AC" w:rsidRPr="005B64F0" w:rsidRDefault="00A3101C" w:rsidP="00DA725A">
            <w:pPr>
              <w:jc w:val="both"/>
              <w:rPr>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D</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r>
                    <m:rPr>
                      <m:sty m:val="bi"/>
                    </m:rPr>
                    <w:rPr>
                      <w:rFonts w:ascii="Cambria Math" w:eastAsiaTheme="minorEastAsia" w:hAnsi="Cambria Math"/>
                      <w:sz w:val="18"/>
                      <w:szCs w:val="18"/>
                      <w:lang w:val="it-IT" w:eastAsia="en-US"/>
                    </w:rPr>
                    <m:t>.</m:t>
                  </m:r>
                  <m:r>
                    <m:rPr>
                      <m:sty m:val="bi"/>
                    </m:rPr>
                    <w:rPr>
                      <w:rFonts w:ascii="Cambria Math" w:eastAsiaTheme="minorEastAsia" w:hAnsi="Cambria Math"/>
                      <w:sz w:val="18"/>
                      <w:szCs w:val="18"/>
                      <w:lang w:eastAsia="en-US"/>
                    </w:rPr>
                    <m:t>E</m:t>
                  </m:r>
                </m:sup>
              </m:sSubSup>
            </m:oMath>
            <w:r w:rsidR="00D146AC" w:rsidRPr="005B64F0">
              <w:rPr>
                <w:sz w:val="18"/>
                <w:szCs w:val="18"/>
                <w:vertAlign w:val="subscript"/>
                <w:lang w:val="ro-RO"/>
              </w:rPr>
              <w:t xml:space="preserve"> </w:t>
            </w:r>
            <w:r w:rsidR="00C36098" w:rsidRPr="005B64F0">
              <w:rPr>
                <w:sz w:val="18"/>
                <w:szCs w:val="18"/>
                <w:lang w:val="ro-RO"/>
              </w:rPr>
              <w:t>distanţa dintre un anumit punct de intrare sau un grup de puncte de intrare şi un punct de ieşire dat sau un grup de puncte de ieşire, menţionate în pct.338, subpunctul 4).</w:t>
            </w:r>
          </w:p>
          <w:p w:rsidR="00D146AC" w:rsidRPr="005B64F0" w:rsidRDefault="00D146AC" w:rsidP="00DA725A">
            <w:pPr>
              <w:jc w:val="both"/>
              <w:rPr>
                <w:sz w:val="18"/>
                <w:szCs w:val="18"/>
                <w:lang w:val="ro-RO"/>
              </w:rPr>
            </w:pPr>
          </w:p>
          <w:p w:rsidR="00B323AA" w:rsidRPr="005B64F0" w:rsidRDefault="0095050D" w:rsidP="0095050D">
            <w:pPr>
              <w:jc w:val="both"/>
              <w:rPr>
                <w:sz w:val="18"/>
                <w:szCs w:val="18"/>
                <w:lang w:val="ro-RO"/>
              </w:rPr>
            </w:pPr>
            <w:r w:rsidRPr="00380C00">
              <w:rPr>
                <w:sz w:val="18"/>
                <w:szCs w:val="18"/>
                <w:lang w:val="it-IT"/>
              </w:rPr>
              <w:t xml:space="preserve">b) Distanţa medie ponderată pentru un punct de ieşire sau un grup de puncte de ieşire, în anul de reglementare </w:t>
            </w:r>
            <w:r w:rsidRPr="00380C00">
              <w:rPr>
                <w:i/>
                <w:iCs/>
                <w:sz w:val="18"/>
                <w:szCs w:val="18"/>
                <w:lang w:val="it-IT"/>
              </w:rPr>
              <w:t>„n”</w:t>
            </w:r>
            <w:r w:rsidRPr="00380C00">
              <w:rPr>
                <w:sz w:val="18"/>
                <w:szCs w:val="18"/>
                <w:lang w:val="it-IT"/>
              </w:rPr>
              <w:t xml:space="preserve"> </w:t>
            </w:r>
            <w:r w:rsidRPr="005B64F0">
              <w:rPr>
                <w:noProof/>
                <w:sz w:val="18"/>
                <w:szCs w:val="18"/>
                <w:lang w:eastAsia="en-US"/>
              </w:rPr>
              <w:drawing>
                <wp:inline distT="0" distB="0" distL="0" distR="0">
                  <wp:extent cx="441960" cy="184150"/>
                  <wp:effectExtent l="0" t="0" r="0" b="6350"/>
                  <wp:docPr id="75" name="Picture 75" descr="\\192.168.1.34\DataJur\Legi_Rom\DE\A19\g420d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92.168.1.34\DataJur\Legi_Rom\DE\A19\g420d2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1960" cy="184150"/>
                          </a:xfrm>
                          <a:prstGeom prst="rect">
                            <a:avLst/>
                          </a:prstGeom>
                          <a:noFill/>
                          <a:ln>
                            <a:noFill/>
                          </a:ln>
                        </pic:spPr>
                      </pic:pic>
                    </a:graphicData>
                  </a:graphic>
                </wp:inline>
              </w:drawing>
            </w:r>
            <w:r w:rsidRPr="00380C00">
              <w:rPr>
                <w:sz w:val="18"/>
                <w:szCs w:val="18"/>
                <w:lang w:val="it-IT"/>
              </w:rPr>
              <w:t xml:space="preserve">reprezintă suma produselor dintre capacitatea în fiecare punct de intrare sau grup de puncte de intrare şi distanţa dintre fiecare punct </w:t>
            </w:r>
            <w:r w:rsidRPr="00380C00">
              <w:rPr>
                <w:sz w:val="18"/>
                <w:szCs w:val="18"/>
                <w:lang w:val="it-IT"/>
              </w:rPr>
              <w:lastRenderedPageBreak/>
              <w:t>de intrare sau grup de puncte de intrare şi respectivul punct de ieşire sau grup de puncte de ieşire, raportată la suma capacităţilor în fiecare punct de intrare sau grup de puncte de intrare. Astfel, pentru un punct de ieşire sau un grup de puncte de ieşire:</w:t>
            </w:r>
          </w:p>
          <w:p w:rsidR="00D146AC" w:rsidRPr="006C4B0E" w:rsidRDefault="00451274" w:rsidP="00DA725A">
            <w:pPr>
              <w:jc w:val="center"/>
              <w:rPr>
                <w:sz w:val="18"/>
                <w:szCs w:val="18"/>
              </w:rPr>
            </w:pPr>
            <w:r w:rsidRPr="005B64F0">
              <w:rPr>
                <w:sz w:val="18"/>
                <w:szCs w:val="18"/>
              </w:rPr>
              <w:object w:dxaOrig="2760" w:dyaOrig="1050">
                <v:shape id="_x0000_i1032" type="#_x0000_t75" style="width:138.7pt;height:53.45pt" o:ole="">
                  <v:imagedata r:id="rId63" o:title=""/>
                </v:shape>
                <o:OLEObject Type="Embed" ProgID="PBrush" ShapeID="_x0000_i1032" DrawAspect="Content" ObjectID="_1837326468" r:id="rId64"/>
              </w:object>
            </w:r>
          </w:p>
          <w:p w:rsidR="00D146AC" w:rsidRPr="005B64F0" w:rsidRDefault="00D146AC" w:rsidP="00DA725A">
            <w:pPr>
              <w:jc w:val="both"/>
              <w:rPr>
                <w:sz w:val="18"/>
                <w:szCs w:val="18"/>
                <w:lang w:val="ro-RO"/>
              </w:rPr>
            </w:pPr>
            <w:r w:rsidRPr="005B64F0">
              <w:rPr>
                <w:sz w:val="18"/>
                <w:szCs w:val="18"/>
                <w:lang w:val="ro-RO"/>
              </w:rPr>
              <w:t>unde:</w:t>
            </w:r>
          </w:p>
          <w:p w:rsidR="00D146AC" w:rsidRPr="005B64F0" w:rsidRDefault="00A3101C" w:rsidP="00DA725A">
            <w:pPr>
              <w:jc w:val="both"/>
              <w:rPr>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CAP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sup>
              </m:sSubSup>
            </m:oMath>
            <w:r w:rsidR="00FB0DF0" w:rsidRPr="00670674">
              <w:rPr>
                <w:sz w:val="18"/>
                <w:szCs w:val="18"/>
                <w:lang w:val="it-IT"/>
              </w:rPr>
              <w:t xml:space="preserve"> - </w:t>
            </w:r>
            <w:r w:rsidR="00FB0DF0" w:rsidRPr="00380C00">
              <w:rPr>
                <w:sz w:val="18"/>
                <w:szCs w:val="18"/>
                <w:lang w:val="it-IT"/>
              </w:rPr>
              <w:t xml:space="preserve">capacitatea prognozată care urmează a fi contractată în anul de reglementare </w:t>
            </w:r>
            <w:r w:rsidR="00FB0DF0" w:rsidRPr="00380C00">
              <w:rPr>
                <w:i/>
                <w:iCs/>
                <w:sz w:val="18"/>
                <w:szCs w:val="18"/>
                <w:lang w:val="it-IT"/>
              </w:rPr>
              <w:t>„n”</w:t>
            </w:r>
            <w:r w:rsidR="00FB0DF0" w:rsidRPr="00380C00">
              <w:rPr>
                <w:sz w:val="18"/>
                <w:szCs w:val="18"/>
                <w:lang w:val="it-IT"/>
              </w:rPr>
              <w:t xml:space="preserve"> într-un punct de intrare sau un grup de puncte de intrare</w:t>
            </w:r>
            <w:r w:rsidR="00D146AC" w:rsidRPr="005B64F0">
              <w:rPr>
                <w:sz w:val="18"/>
                <w:szCs w:val="18"/>
                <w:lang w:val="ro-RO"/>
              </w:rPr>
              <w:t>;</w:t>
            </w:r>
          </w:p>
          <w:p w:rsidR="00D146AC" w:rsidRPr="005B64F0" w:rsidRDefault="00D146AC" w:rsidP="00DA725A">
            <w:pPr>
              <w:jc w:val="both"/>
              <w:rPr>
                <w:sz w:val="18"/>
                <w:szCs w:val="18"/>
                <w:lang w:val="ro-RO"/>
              </w:rPr>
            </w:pPr>
          </w:p>
          <w:p w:rsidR="00D146AC" w:rsidRPr="005B64F0" w:rsidRDefault="00E56BBC" w:rsidP="00E56BBC">
            <w:pPr>
              <w:rPr>
                <w:sz w:val="18"/>
                <w:szCs w:val="18"/>
                <w:lang w:val="ro-RO"/>
              </w:rPr>
            </w:pPr>
            <w:r w:rsidRPr="005B64F0">
              <w:rPr>
                <w:sz w:val="18"/>
                <w:szCs w:val="18"/>
                <w:lang w:val="ro-RO"/>
              </w:rPr>
              <w:t>2) Se calculează ponderea fiecărui punct de intrare sau fiecărui grup de puncte de intrare şi fiecărui punct de ieşire sau fiecărui grup de puncte de ieşire din venitul total reglementat în conformitate cu următoarele formule:</w:t>
            </w:r>
          </w:p>
          <w:p w:rsidR="00E56BBC" w:rsidRPr="00670674" w:rsidRDefault="003B5644" w:rsidP="00CB2290">
            <w:pPr>
              <w:jc w:val="center"/>
              <w:rPr>
                <w:noProof/>
                <w:sz w:val="18"/>
                <w:szCs w:val="18"/>
                <w:lang w:val="it-IT" w:eastAsia="en-US"/>
              </w:rPr>
            </w:pPr>
            <w:r w:rsidRPr="005B64F0">
              <w:rPr>
                <w:sz w:val="18"/>
                <w:szCs w:val="18"/>
              </w:rPr>
              <w:object w:dxaOrig="2805" w:dyaOrig="1725">
                <v:shape id="_x0000_i1033" type="#_x0000_t75" style="width:111.75pt;height:64.5pt" o:ole="">
                  <v:imagedata r:id="rId65" o:title=""/>
                </v:shape>
                <o:OLEObject Type="Embed" ProgID="PBrush" ShapeID="_x0000_i1033" DrawAspect="Content" ObjectID="_1837326469" r:id="rId66"/>
              </w:object>
            </w:r>
            <w:r w:rsidR="008B5D6F" w:rsidRPr="00670674">
              <w:rPr>
                <w:sz w:val="18"/>
                <w:szCs w:val="18"/>
                <w:lang w:val="it-IT"/>
              </w:rPr>
              <w:t xml:space="preserve"> </w:t>
            </w:r>
          </w:p>
          <w:p w:rsidR="00E56BBC" w:rsidRPr="005B64F0" w:rsidRDefault="00E56BBC" w:rsidP="00CB2290">
            <w:pPr>
              <w:jc w:val="center"/>
              <w:rPr>
                <w:sz w:val="18"/>
                <w:szCs w:val="18"/>
                <w:lang w:val="ro-RO"/>
              </w:rPr>
            </w:pPr>
          </w:p>
          <w:p w:rsidR="00D146AC" w:rsidRPr="005B64F0" w:rsidRDefault="00D146AC" w:rsidP="00DA725A">
            <w:pPr>
              <w:jc w:val="both"/>
              <w:rPr>
                <w:sz w:val="18"/>
                <w:szCs w:val="18"/>
                <w:lang w:val="ro-RO"/>
              </w:rPr>
            </w:pPr>
            <w:r w:rsidRPr="005B64F0">
              <w:rPr>
                <w:sz w:val="18"/>
                <w:szCs w:val="18"/>
                <w:lang w:val="ro-RO"/>
              </w:rPr>
              <w:t>unde:</w:t>
            </w:r>
          </w:p>
          <w:p w:rsidR="00D146AC" w:rsidRPr="00670674" w:rsidRDefault="00A3101C" w:rsidP="00DA725A">
            <w:pPr>
              <w:jc w:val="both"/>
              <w:rPr>
                <w:sz w:val="18"/>
                <w:szCs w:val="18"/>
                <w:lang w:val="it-IT" w:eastAsia="en-US"/>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PC</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sup>
              </m:sSubSup>
            </m:oMath>
            <w:r w:rsidR="0033358D" w:rsidRPr="00670674">
              <w:rPr>
                <w:sz w:val="18"/>
                <w:szCs w:val="18"/>
                <w:lang w:val="it-IT" w:eastAsia="en-US"/>
              </w:rPr>
              <w:t xml:space="preserve"> - ponderea unui anumit punct de intrare sau unui grup de puncte de intrare din venitul total reglementat în anul de reglementare „n”;</w:t>
            </w:r>
          </w:p>
          <w:p w:rsidR="005635D3" w:rsidRPr="00670674" w:rsidRDefault="00A3101C" w:rsidP="00DA725A">
            <w:pPr>
              <w:jc w:val="both"/>
              <w:rPr>
                <w:sz w:val="18"/>
                <w:szCs w:val="18"/>
                <w:lang w:val="it-IT"/>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PC</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E</m:t>
                  </m:r>
                </m:sup>
              </m:sSubSup>
            </m:oMath>
            <w:r w:rsidR="0033358D" w:rsidRPr="00670674">
              <w:rPr>
                <w:sz w:val="18"/>
                <w:szCs w:val="18"/>
                <w:lang w:val="it-IT" w:eastAsia="en-US"/>
              </w:rPr>
              <w:t xml:space="preserve"> - </w:t>
            </w:r>
            <w:r w:rsidR="0033358D" w:rsidRPr="00380C00">
              <w:rPr>
                <w:sz w:val="18"/>
                <w:szCs w:val="18"/>
                <w:lang w:val="it-IT"/>
              </w:rPr>
              <w:t xml:space="preserve">ponderea unui anumit punct de ieşire sau unui grup de puncte de ieşire din venitul total reglementat în anul de reglementare </w:t>
            </w:r>
            <w:r w:rsidR="0033358D" w:rsidRPr="00380C00">
              <w:rPr>
                <w:i/>
                <w:iCs/>
                <w:sz w:val="18"/>
                <w:szCs w:val="18"/>
                <w:lang w:val="it-IT"/>
              </w:rPr>
              <w:t>„n”</w:t>
            </w:r>
            <w:r w:rsidR="0033358D" w:rsidRPr="00380C00">
              <w:rPr>
                <w:sz w:val="18"/>
                <w:szCs w:val="18"/>
                <w:lang w:val="it-IT"/>
              </w:rPr>
              <w:t>.</w:t>
            </w:r>
          </w:p>
          <w:p w:rsidR="0033358D" w:rsidRDefault="0033358D" w:rsidP="00DA725A">
            <w:pPr>
              <w:ind w:firstLine="709"/>
              <w:jc w:val="both"/>
              <w:rPr>
                <w:sz w:val="18"/>
                <w:szCs w:val="18"/>
                <w:lang w:val="ro-RO"/>
              </w:rPr>
            </w:pPr>
          </w:p>
          <w:p w:rsidR="0033358D" w:rsidRPr="00380C00" w:rsidRDefault="0033358D" w:rsidP="0033358D">
            <w:pPr>
              <w:ind w:firstLine="709"/>
              <w:jc w:val="both"/>
              <w:rPr>
                <w:sz w:val="18"/>
                <w:szCs w:val="18"/>
                <w:lang w:val="it-IT"/>
              </w:rPr>
            </w:pPr>
            <w:r w:rsidRPr="00380C00">
              <w:rPr>
                <w:sz w:val="18"/>
                <w:szCs w:val="18"/>
                <w:lang w:val="it-IT"/>
              </w:rPr>
              <w:t>3) Se determină partea din venitul aferent serviciilor de transport care urmează să fie recuperată din tarifele pentru serviciul de transport bazate pe capacitate în toate punctele de intrare şi partea din venitul aferent serviciilor de transport care urmează să fie recuperată din tarifele pentru serviciul de transport bazate pe capacitate în toate punctele de ieşire prin aplicarea raportului intrare/ieşire din venitul total reglementat;</w:t>
            </w:r>
          </w:p>
          <w:p w:rsidR="00D146AC" w:rsidRDefault="0033358D" w:rsidP="0033358D">
            <w:pPr>
              <w:ind w:firstLine="709"/>
              <w:jc w:val="both"/>
              <w:rPr>
                <w:sz w:val="18"/>
                <w:szCs w:val="18"/>
                <w:lang w:val="ro-RO"/>
              </w:rPr>
            </w:pPr>
            <w:r w:rsidRPr="00380C00">
              <w:rPr>
                <w:sz w:val="18"/>
                <w:szCs w:val="18"/>
                <w:lang w:val="it-IT"/>
              </w:rPr>
              <w:t>4) Se calculează partea din venitul aferent serviciilor de transport care urmează să fie obţinută prin aplicarea tarifele pentru serviciul de transport al gazelor naturale bazate pe capacitate, în fiecare punct de intrare sau în fiecare grup de puncte de intrare şi pentru fiecare punct de ieşire sau grup de puncte de ieşire, conform formulelor:</w:t>
            </w:r>
          </w:p>
          <w:p w:rsidR="00D146AC" w:rsidRDefault="00D146AC" w:rsidP="00DA725A">
            <w:pPr>
              <w:ind w:firstLine="709"/>
              <w:jc w:val="both"/>
              <w:rPr>
                <w:sz w:val="18"/>
                <w:szCs w:val="18"/>
                <w:lang w:val="ro-RO"/>
              </w:rPr>
            </w:pPr>
          </w:p>
          <w:p w:rsidR="00D146AC" w:rsidRPr="00670674" w:rsidRDefault="003B0BF5" w:rsidP="003B0BF5">
            <w:pPr>
              <w:jc w:val="center"/>
              <w:rPr>
                <w:sz w:val="18"/>
                <w:szCs w:val="18"/>
                <w:lang w:val="it-IT"/>
              </w:rPr>
            </w:pPr>
            <w:r>
              <w:object w:dxaOrig="2175" w:dyaOrig="840">
                <v:shape id="_x0000_i1034" type="#_x0000_t75" style="width:107.8pt;height:41.1pt" o:ole="">
                  <v:imagedata r:id="rId67" o:title=""/>
                </v:shape>
                <o:OLEObject Type="Embed" ProgID="PBrush" ShapeID="_x0000_i1034" DrawAspect="Content" ObjectID="_1837326470" r:id="rId68"/>
              </w:object>
            </w:r>
            <w:r w:rsidR="00874F65" w:rsidRPr="00670674">
              <w:rPr>
                <w:lang w:val="it-IT"/>
              </w:rPr>
              <w:t xml:space="preserve"> </w:t>
            </w:r>
          </w:p>
          <w:p w:rsidR="00D146AC" w:rsidRDefault="00D146AC" w:rsidP="00DA725A">
            <w:pPr>
              <w:ind w:firstLine="709"/>
              <w:jc w:val="both"/>
              <w:rPr>
                <w:sz w:val="18"/>
                <w:szCs w:val="18"/>
                <w:lang w:val="ro-RO"/>
              </w:rPr>
            </w:pPr>
          </w:p>
          <w:p w:rsidR="00D146AC" w:rsidRPr="00043955" w:rsidRDefault="00D146AC" w:rsidP="005B64F0">
            <w:pPr>
              <w:jc w:val="both"/>
              <w:rPr>
                <w:sz w:val="18"/>
                <w:szCs w:val="18"/>
                <w:lang w:val="ro-RO"/>
              </w:rPr>
            </w:pPr>
            <w:r w:rsidRPr="005B64F0">
              <w:rPr>
                <w:b/>
                <w:sz w:val="18"/>
                <w:szCs w:val="18"/>
                <w:lang w:val="ro-RO"/>
              </w:rPr>
              <w:t>unde</w:t>
            </w:r>
            <w:r w:rsidRPr="00043955">
              <w:rPr>
                <w:sz w:val="18"/>
                <w:szCs w:val="18"/>
                <w:lang w:val="ro-RO"/>
              </w:rPr>
              <w:t>:</w:t>
            </w:r>
          </w:p>
          <w:p w:rsidR="00D146AC" w:rsidRPr="00670674" w:rsidRDefault="00A3101C" w:rsidP="00DA725A">
            <w:pPr>
              <w:jc w:val="both"/>
              <w:rPr>
                <w:sz w:val="18"/>
                <w:szCs w:val="18"/>
                <w:lang w:val="it-IT" w:eastAsia="en-US"/>
              </w:rPr>
            </w:pPr>
            <m:oMath>
              <m:sSubSup>
                <m:sSubSupPr>
                  <m:ctrlPr>
                    <w:rPr>
                      <w:rFonts w:ascii="Cambria Math" w:eastAsiaTheme="minorEastAsia" w:hAnsi="Cambria Math"/>
                      <w:b/>
                      <w:i/>
                      <w:sz w:val="22"/>
                      <w:szCs w:val="24"/>
                      <w:lang w:eastAsia="en-US"/>
                    </w:rPr>
                  </m:ctrlPr>
                </m:sSubSupPr>
                <m:e>
                  <m:r>
                    <m:rPr>
                      <m:sty m:val="bi"/>
                    </m:rPr>
                    <w:rPr>
                      <w:rFonts w:ascii="Cambria Math" w:eastAsiaTheme="minorEastAsia" w:hAnsi="Cambria Math"/>
                      <w:sz w:val="22"/>
                      <w:szCs w:val="24"/>
                      <w:lang w:eastAsia="en-US"/>
                    </w:rPr>
                    <m:t>VT</m:t>
                  </m:r>
                </m:e>
                <m:sub>
                  <m:r>
                    <m:rPr>
                      <m:sty m:val="bi"/>
                    </m:rPr>
                    <w:rPr>
                      <w:rFonts w:ascii="Cambria Math" w:eastAsiaTheme="minorEastAsia" w:hAnsi="Cambria Math"/>
                      <w:sz w:val="22"/>
                      <w:szCs w:val="24"/>
                      <w:lang w:eastAsia="en-US"/>
                    </w:rPr>
                    <m:t>N</m:t>
                  </m:r>
                </m:sub>
                <m:sup>
                  <m:r>
                    <m:rPr>
                      <m:sty m:val="bi"/>
                    </m:rPr>
                    <w:rPr>
                      <w:rFonts w:ascii="Cambria Math" w:eastAsiaTheme="minorEastAsia" w:hAnsi="Cambria Math"/>
                      <w:sz w:val="22"/>
                      <w:szCs w:val="24"/>
                      <w:lang w:eastAsia="en-US"/>
                    </w:rPr>
                    <m:t>I</m:t>
                  </m:r>
                </m:sup>
              </m:sSubSup>
            </m:oMath>
            <w:r w:rsidR="00BF682E" w:rsidRPr="00670674">
              <w:rPr>
                <w:sz w:val="24"/>
                <w:szCs w:val="24"/>
                <w:lang w:val="it-IT" w:eastAsia="en-US"/>
              </w:rPr>
              <w:t xml:space="preserve"> </w:t>
            </w:r>
            <w:r w:rsidR="00BF682E" w:rsidRPr="00670674">
              <w:rPr>
                <w:sz w:val="18"/>
                <w:szCs w:val="18"/>
                <w:lang w:val="it-IT" w:eastAsia="en-US"/>
              </w:rPr>
              <w:t xml:space="preserve">- </w:t>
            </w:r>
            <w:r w:rsidR="00E216C7" w:rsidRPr="00380C00">
              <w:rPr>
                <w:sz w:val="18"/>
                <w:szCs w:val="18"/>
                <w:lang w:val="it-IT"/>
              </w:rPr>
              <w:t xml:space="preserve">partea din venitul aferent serviciilor de transport al gazelor naturale care urmează să fie obţinută, în anul de reglementare </w:t>
            </w:r>
            <w:r w:rsidR="00E216C7" w:rsidRPr="00380C00">
              <w:rPr>
                <w:i/>
                <w:iCs/>
                <w:sz w:val="18"/>
                <w:szCs w:val="18"/>
                <w:lang w:val="it-IT"/>
              </w:rPr>
              <w:t xml:space="preserve">„n”, </w:t>
            </w:r>
            <w:r w:rsidR="00E216C7" w:rsidRPr="00380C00">
              <w:rPr>
                <w:sz w:val="18"/>
                <w:szCs w:val="18"/>
                <w:lang w:val="it-IT"/>
              </w:rPr>
              <w:t>prin aplicarea tarifelor pentru serviciul de transport al gazelor naturale bazate pe capacitate într-un punct de intrare sau într-un grup de puncte de intrare;</w:t>
            </w:r>
          </w:p>
          <w:p w:rsidR="00326D37" w:rsidRPr="00670674" w:rsidRDefault="00A3101C" w:rsidP="00DA725A">
            <w:pPr>
              <w:jc w:val="both"/>
              <w:rPr>
                <w:sz w:val="18"/>
                <w:szCs w:val="18"/>
                <w:lang w:val="it-IT"/>
              </w:rPr>
            </w:pPr>
            <m:oMath>
              <m:sSubSup>
                <m:sSubSupPr>
                  <m:ctrlPr>
                    <w:rPr>
                      <w:rFonts w:ascii="Cambria Math" w:eastAsiaTheme="minorEastAsia" w:hAnsi="Cambria Math"/>
                      <w:b/>
                      <w:i/>
                      <w:szCs w:val="18"/>
                      <w:lang w:eastAsia="en-US"/>
                    </w:rPr>
                  </m:ctrlPr>
                </m:sSubSupPr>
                <m:e>
                  <m:r>
                    <m:rPr>
                      <m:sty m:val="bi"/>
                    </m:rPr>
                    <w:rPr>
                      <w:rFonts w:ascii="Cambria Math" w:eastAsiaTheme="minorEastAsia" w:hAnsi="Cambria Math"/>
                      <w:szCs w:val="18"/>
                      <w:lang w:eastAsia="en-US"/>
                    </w:rPr>
                    <m:t>VT</m:t>
                  </m:r>
                </m:e>
                <m:sub>
                  <m:r>
                    <m:rPr>
                      <m:sty m:val="bi"/>
                    </m:rPr>
                    <w:rPr>
                      <w:rFonts w:ascii="Cambria Math" w:eastAsiaTheme="minorEastAsia" w:hAnsi="Cambria Math"/>
                      <w:szCs w:val="18"/>
                      <w:lang w:eastAsia="en-US"/>
                    </w:rPr>
                    <m:t>N</m:t>
                  </m:r>
                </m:sub>
                <m:sup>
                  <m:r>
                    <m:rPr>
                      <m:sty m:val="bi"/>
                    </m:rPr>
                    <w:rPr>
                      <w:rFonts w:ascii="Cambria Math" w:eastAsiaTheme="minorEastAsia" w:hAnsi="Cambria Math"/>
                      <w:szCs w:val="18"/>
                      <w:lang w:eastAsia="en-US"/>
                    </w:rPr>
                    <m:t>E</m:t>
                  </m:r>
                </m:sup>
              </m:sSubSup>
            </m:oMath>
            <w:r w:rsidR="00BF682E" w:rsidRPr="00670674">
              <w:rPr>
                <w:sz w:val="18"/>
                <w:szCs w:val="18"/>
                <w:lang w:val="it-IT" w:eastAsia="en-US"/>
              </w:rPr>
              <w:t xml:space="preserve"> - </w:t>
            </w:r>
            <w:r w:rsidR="00BF682E" w:rsidRPr="00670674">
              <w:rPr>
                <w:sz w:val="18"/>
                <w:szCs w:val="18"/>
                <w:lang w:val="it-IT"/>
              </w:rPr>
              <w:t xml:space="preserve"> </w:t>
            </w:r>
            <w:r w:rsidR="00E216C7" w:rsidRPr="00670674">
              <w:rPr>
                <w:sz w:val="18"/>
                <w:szCs w:val="18"/>
                <w:lang w:val="it-IT"/>
              </w:rPr>
              <w:t xml:space="preserve">partea din venitul aferent serviciilor de transport care urmează să fie obţinută, în anul de reglementare </w:t>
            </w:r>
            <w:r w:rsidR="00E216C7" w:rsidRPr="00670674">
              <w:rPr>
                <w:i/>
                <w:iCs/>
                <w:sz w:val="18"/>
                <w:szCs w:val="18"/>
                <w:lang w:val="it-IT"/>
              </w:rPr>
              <w:t>„n”,</w:t>
            </w:r>
            <w:r w:rsidR="00E216C7" w:rsidRPr="00670674">
              <w:rPr>
                <w:sz w:val="18"/>
                <w:szCs w:val="18"/>
                <w:lang w:val="it-IT"/>
              </w:rPr>
              <w:t xml:space="preserve"> din aplicarea tarifelor pentru serviciul de transport al gazelor naturale bazate pe capacitate într-un punct de ieşire sau într-un grup de puncte de ieşire.</w:t>
            </w:r>
          </w:p>
          <w:p w:rsidR="00BF682E" w:rsidRPr="00670674" w:rsidRDefault="00BF682E" w:rsidP="00DA725A">
            <w:pPr>
              <w:jc w:val="both"/>
              <w:rPr>
                <w:sz w:val="18"/>
                <w:szCs w:val="18"/>
                <w:lang w:val="it-IT"/>
              </w:rPr>
            </w:pPr>
          </w:p>
          <w:p w:rsidR="00D146AC" w:rsidRDefault="00D146AC" w:rsidP="00DA725A">
            <w:pPr>
              <w:ind w:firstLine="709"/>
              <w:jc w:val="both"/>
              <w:rPr>
                <w:sz w:val="18"/>
                <w:szCs w:val="18"/>
                <w:lang w:val="ro-RO"/>
              </w:rPr>
            </w:pPr>
            <w:r w:rsidRPr="00043955">
              <w:rPr>
                <w:sz w:val="18"/>
                <w:szCs w:val="18"/>
                <w:lang w:val="ro-RO"/>
              </w:rPr>
              <w:t xml:space="preserve">5) valorile rezultate </w:t>
            </w:r>
            <w:r w:rsidRPr="00F42E2D">
              <w:rPr>
                <w:sz w:val="18"/>
                <w:szCs w:val="18"/>
                <w:lang w:val="ro-RO"/>
              </w:rPr>
              <w:t>menționate la subpunct. 4) se</w:t>
            </w:r>
            <w:r w:rsidRPr="00043955">
              <w:rPr>
                <w:sz w:val="18"/>
                <w:szCs w:val="18"/>
                <w:lang w:val="ro-RO"/>
              </w:rPr>
              <w:t xml:space="preserve"> împart la capacitatea contractată estimată în fiecare punct de intrare sau în fiecare grup de puncte de intrare și în fiecare punct de ieșire sau în fiecare grup de puncte de ieșire, în conformitate cu formulele corespunzătoare de mai jos:</w:t>
            </w:r>
          </w:p>
          <w:p w:rsidR="00D146AC" w:rsidRDefault="00D146AC" w:rsidP="00DA725A">
            <w:pPr>
              <w:ind w:firstLine="709"/>
              <w:jc w:val="both"/>
              <w:rPr>
                <w:sz w:val="18"/>
                <w:szCs w:val="18"/>
                <w:lang w:val="ro-RO"/>
              </w:rPr>
            </w:pPr>
          </w:p>
          <w:p w:rsidR="00D146AC" w:rsidRPr="00670674" w:rsidRDefault="0029114F" w:rsidP="00F63BF4">
            <w:pPr>
              <w:jc w:val="center"/>
              <w:rPr>
                <w:sz w:val="18"/>
                <w:szCs w:val="18"/>
                <w:lang w:val="it-IT"/>
              </w:rPr>
            </w:pPr>
            <w:r>
              <w:object w:dxaOrig="1350" w:dyaOrig="1305">
                <v:shape id="_x0000_i1035" type="#_x0000_t75" style="width:60.95pt;height:51.25pt" o:ole="">
                  <v:imagedata r:id="rId69" o:title=""/>
                </v:shape>
                <o:OLEObject Type="Embed" ProgID="PBrush" ShapeID="_x0000_i1035" DrawAspect="Content" ObjectID="_1837326471" r:id="rId70"/>
              </w:object>
            </w:r>
            <w:r w:rsidR="00874F65" w:rsidRPr="00670674">
              <w:rPr>
                <w:lang w:val="it-IT"/>
              </w:rPr>
              <w:t xml:space="preserve"> </w:t>
            </w:r>
          </w:p>
          <w:p w:rsidR="00D146AC" w:rsidRPr="00043955" w:rsidRDefault="00D146AC" w:rsidP="00DA725A">
            <w:pPr>
              <w:jc w:val="both"/>
              <w:rPr>
                <w:sz w:val="18"/>
                <w:szCs w:val="18"/>
                <w:lang w:val="ro-RO"/>
              </w:rPr>
            </w:pPr>
          </w:p>
          <w:p w:rsidR="00D146AC" w:rsidRPr="009C5254" w:rsidRDefault="00D146AC" w:rsidP="00DA725A">
            <w:pPr>
              <w:jc w:val="both"/>
              <w:rPr>
                <w:szCs w:val="18"/>
                <w:lang w:val="ro-RO"/>
              </w:rPr>
            </w:pPr>
            <w:r w:rsidRPr="009C5254">
              <w:rPr>
                <w:szCs w:val="18"/>
                <w:lang w:val="ro-RO"/>
              </w:rPr>
              <w:t>unde:</w:t>
            </w:r>
          </w:p>
          <w:p w:rsidR="00D146AC" w:rsidRPr="00380C00" w:rsidRDefault="00A3101C" w:rsidP="00DA725A">
            <w:pPr>
              <w:jc w:val="both"/>
              <w:rPr>
                <w:sz w:val="18"/>
                <w:szCs w:val="18"/>
                <w:lang w:val="it-IT"/>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sup>
              </m:sSubSup>
            </m:oMath>
            <w:r w:rsidR="00A6777D" w:rsidRPr="00670674">
              <w:rPr>
                <w:sz w:val="18"/>
                <w:szCs w:val="18"/>
                <w:lang w:val="it-IT"/>
              </w:rPr>
              <w:t>-</w:t>
            </w:r>
            <w:r w:rsidR="009C5254" w:rsidRPr="00380C00">
              <w:rPr>
                <w:sz w:val="18"/>
                <w:szCs w:val="18"/>
                <w:lang w:val="it-IT"/>
              </w:rPr>
              <w:t>preţul de referinţă într-un punct de intrare sau în fiecare punct de intrare dintr-un grup de puncte de intrare;</w:t>
            </w:r>
          </w:p>
          <w:p w:rsidR="009C5254" w:rsidRPr="00043955" w:rsidRDefault="00A3101C" w:rsidP="00A6777D">
            <w:pPr>
              <w:jc w:val="both"/>
              <w:rPr>
                <w:b/>
                <w:bCs/>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E</m:t>
                  </m:r>
                </m:sup>
              </m:sSubSup>
            </m:oMath>
            <w:r w:rsidR="00A6777D" w:rsidRPr="00670674">
              <w:rPr>
                <w:sz w:val="18"/>
                <w:szCs w:val="18"/>
                <w:lang w:val="it-IT"/>
              </w:rPr>
              <w:t>-</w:t>
            </w:r>
            <w:r w:rsidR="009C5254" w:rsidRPr="00380C00">
              <w:rPr>
                <w:sz w:val="18"/>
                <w:szCs w:val="18"/>
                <w:lang w:val="it-IT"/>
              </w:rPr>
              <w:t>preţul de referinţă într-un punct de ieşire sau în fiecare punct de ieşire dintr-un grup de puncte de ieşire</w:t>
            </w:r>
            <w:r w:rsidR="009C5254" w:rsidRPr="00380C00">
              <w:rPr>
                <w:lang w:val="it-IT"/>
              </w:rPr>
              <w:t>.</w:t>
            </w:r>
          </w:p>
        </w:tc>
        <w:tc>
          <w:tcPr>
            <w:tcW w:w="1275" w:type="dxa"/>
          </w:tcPr>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E01102" w:rsidRDefault="00E01102" w:rsidP="00DA725A">
            <w:pPr>
              <w:jc w:val="both"/>
              <w:rPr>
                <w:b/>
                <w:sz w:val="18"/>
                <w:szCs w:val="18"/>
                <w:lang w:val="it-IT"/>
              </w:rPr>
            </w:pPr>
          </w:p>
          <w:p w:rsidR="00E01102" w:rsidRDefault="00E01102"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16F6F" w:rsidRDefault="00A16F6F" w:rsidP="00DA725A">
            <w:pPr>
              <w:rPr>
                <w:sz w:val="18"/>
                <w:szCs w:val="18"/>
              </w:rPr>
            </w:pPr>
          </w:p>
          <w:p w:rsidR="00A16F6F" w:rsidRDefault="00A16F6F"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BA1EB2" w:rsidRPr="00E84D74" w:rsidRDefault="00BA1EB2" w:rsidP="00DA725A">
            <w:pPr>
              <w:jc w:val="center"/>
              <w:rPr>
                <w:b/>
                <w:sz w:val="18"/>
                <w:szCs w:val="18"/>
              </w:rPr>
            </w:pPr>
            <w:r w:rsidRPr="00E84D74">
              <w:rPr>
                <w:b/>
                <w:sz w:val="18"/>
                <w:szCs w:val="18"/>
              </w:rPr>
              <w:lastRenderedPageBreak/>
              <w:t>Article 8</w:t>
            </w:r>
          </w:p>
          <w:p w:rsidR="00BA1EB2" w:rsidRPr="00E84D74" w:rsidRDefault="00BA1EB2" w:rsidP="00DA725A">
            <w:pPr>
              <w:jc w:val="center"/>
              <w:rPr>
                <w:b/>
                <w:sz w:val="18"/>
                <w:szCs w:val="18"/>
              </w:rPr>
            </w:pPr>
            <w:r w:rsidRPr="00E84D74">
              <w:rPr>
                <w:b/>
                <w:sz w:val="18"/>
                <w:szCs w:val="18"/>
              </w:rPr>
              <w:t>Capacity weighted distance reference price methodology</w:t>
            </w:r>
          </w:p>
          <w:p w:rsidR="00BA1EB2" w:rsidRPr="00E84D74" w:rsidRDefault="00BA1EB2" w:rsidP="00DA725A">
            <w:pPr>
              <w:jc w:val="both"/>
              <w:rPr>
                <w:sz w:val="18"/>
                <w:szCs w:val="18"/>
              </w:rPr>
            </w:pPr>
          </w:p>
          <w:p w:rsidR="008C5AFB" w:rsidRPr="00E84D74" w:rsidRDefault="00BA1EB2" w:rsidP="00DA725A">
            <w:pPr>
              <w:jc w:val="both"/>
              <w:rPr>
                <w:sz w:val="18"/>
                <w:szCs w:val="18"/>
              </w:rPr>
            </w:pPr>
            <w:r w:rsidRPr="00E84D74">
              <w:rPr>
                <w:sz w:val="18"/>
                <w:szCs w:val="18"/>
              </w:rPr>
              <w:t xml:space="preserve">1. The parameters for the capacity weighted distance reference price methodology shall be as follows: </w:t>
            </w:r>
          </w:p>
          <w:p w:rsidR="008C5AFB" w:rsidRPr="00E84D74" w:rsidRDefault="00BA1EB2" w:rsidP="00DA725A">
            <w:pPr>
              <w:jc w:val="both"/>
              <w:rPr>
                <w:sz w:val="18"/>
                <w:szCs w:val="18"/>
              </w:rPr>
            </w:pPr>
            <w:r w:rsidRPr="00E84D74">
              <w:rPr>
                <w:sz w:val="18"/>
                <w:szCs w:val="18"/>
              </w:rPr>
              <w:t xml:space="preserve">(a) the part of the transmission services revenue to be recovered from capacity-based transmission tariffs; </w:t>
            </w:r>
          </w:p>
          <w:p w:rsidR="008C5AFB" w:rsidRPr="00E84D74" w:rsidRDefault="00BA1EB2" w:rsidP="00DA725A">
            <w:pPr>
              <w:jc w:val="both"/>
              <w:rPr>
                <w:sz w:val="18"/>
                <w:szCs w:val="18"/>
              </w:rPr>
            </w:pPr>
            <w:r w:rsidRPr="00E84D74">
              <w:rPr>
                <w:sz w:val="18"/>
                <w:szCs w:val="18"/>
              </w:rPr>
              <w:t xml:space="preserve">(b) the forecasted contracted capacity at each entry point or a cluster of entry points and at each exit point or a cluster of exit points; </w:t>
            </w:r>
          </w:p>
          <w:p w:rsidR="008C5AFB" w:rsidRPr="00E84D74" w:rsidRDefault="00BA1EB2" w:rsidP="00DA725A">
            <w:pPr>
              <w:jc w:val="both"/>
              <w:rPr>
                <w:sz w:val="18"/>
                <w:szCs w:val="18"/>
              </w:rPr>
            </w:pPr>
            <w:r w:rsidRPr="00E84D74">
              <w:rPr>
                <w:sz w:val="18"/>
                <w:szCs w:val="18"/>
              </w:rPr>
              <w:t xml:space="preserve">(c) where entry points and exit points can be combined in a relevant flow scenario, the shortest distance of the pipeline routes between an entry point or a cluster of entry points and an exit point or a cluster of exit points; </w:t>
            </w:r>
          </w:p>
          <w:p w:rsidR="00DA7161" w:rsidRPr="00E84D74" w:rsidRDefault="00BA1EB2" w:rsidP="00DA725A">
            <w:pPr>
              <w:jc w:val="both"/>
              <w:rPr>
                <w:sz w:val="18"/>
                <w:szCs w:val="18"/>
              </w:rPr>
            </w:pPr>
            <w:r w:rsidRPr="00E84D74">
              <w:rPr>
                <w:sz w:val="18"/>
                <w:szCs w:val="18"/>
              </w:rPr>
              <w:lastRenderedPageBreak/>
              <w:t xml:space="preserve">(d) the combinations of entry points and exit points, where some entry points and some exit points can be combined in a relevant flow scenario; </w:t>
            </w:r>
          </w:p>
          <w:p w:rsidR="00DA7161" w:rsidRPr="00E84D74" w:rsidRDefault="00BA1EB2" w:rsidP="00DA725A">
            <w:pPr>
              <w:jc w:val="both"/>
              <w:rPr>
                <w:sz w:val="18"/>
                <w:szCs w:val="18"/>
              </w:rPr>
            </w:pPr>
            <w:r w:rsidRPr="00E84D74">
              <w:rPr>
                <w:sz w:val="18"/>
                <w:szCs w:val="18"/>
              </w:rPr>
              <w:t xml:space="preserve">(e) the entry-exit split referred to in Article 30(1)(b)(v)(2) shall </w:t>
            </w:r>
            <w:r w:rsidRPr="00E84D74">
              <w:rPr>
                <w:b/>
                <w:sz w:val="18"/>
                <w:szCs w:val="18"/>
              </w:rPr>
              <w:t>be 50/50.</w:t>
            </w:r>
            <w:r w:rsidRPr="00E84D74">
              <w:rPr>
                <w:sz w:val="18"/>
                <w:szCs w:val="18"/>
              </w:rPr>
              <w:t xml:space="preserve"> </w:t>
            </w:r>
          </w:p>
          <w:p w:rsidR="00DA7161" w:rsidRPr="00E84D74" w:rsidRDefault="00DA7161" w:rsidP="00DA725A">
            <w:pPr>
              <w:jc w:val="both"/>
              <w:rPr>
                <w:sz w:val="18"/>
                <w:szCs w:val="18"/>
              </w:rPr>
            </w:pPr>
          </w:p>
          <w:p w:rsidR="00DA7161" w:rsidRDefault="00DA7161" w:rsidP="00DA725A">
            <w:pPr>
              <w:jc w:val="both"/>
              <w:rPr>
                <w:sz w:val="18"/>
                <w:szCs w:val="18"/>
              </w:rPr>
            </w:pPr>
          </w:p>
          <w:p w:rsidR="00A16F6F" w:rsidRDefault="00A16F6F" w:rsidP="00DA725A">
            <w:pPr>
              <w:jc w:val="both"/>
              <w:rPr>
                <w:sz w:val="18"/>
                <w:szCs w:val="18"/>
              </w:rPr>
            </w:pPr>
          </w:p>
          <w:p w:rsidR="00A16F6F" w:rsidRPr="00E84D74" w:rsidRDefault="00A16F6F" w:rsidP="00DA725A">
            <w:pPr>
              <w:jc w:val="both"/>
              <w:rPr>
                <w:sz w:val="18"/>
                <w:szCs w:val="18"/>
              </w:rPr>
            </w:pPr>
          </w:p>
          <w:p w:rsidR="00BA1EB2" w:rsidRDefault="00BA1EB2" w:rsidP="00DA725A">
            <w:pPr>
              <w:jc w:val="both"/>
              <w:rPr>
                <w:sz w:val="18"/>
                <w:szCs w:val="18"/>
              </w:rPr>
            </w:pPr>
            <w:r w:rsidRPr="00E84D74">
              <w:rPr>
                <w:sz w:val="18"/>
                <w:szCs w:val="18"/>
              </w:rPr>
              <w:t xml:space="preserve">Where entry points and exit points cannot be combined in a flow scenario, this combination of entry and exit points shall not be taken into account. </w:t>
            </w:r>
          </w:p>
          <w:p w:rsidR="00AC425B" w:rsidRPr="00E84D74" w:rsidRDefault="00AC425B" w:rsidP="00DA725A">
            <w:pPr>
              <w:jc w:val="both"/>
              <w:rPr>
                <w:sz w:val="18"/>
                <w:szCs w:val="18"/>
              </w:rPr>
            </w:pPr>
          </w:p>
          <w:p w:rsidR="009D2048" w:rsidRPr="00E84D74" w:rsidRDefault="00BA1EB2" w:rsidP="00DA725A">
            <w:pPr>
              <w:jc w:val="both"/>
              <w:rPr>
                <w:sz w:val="18"/>
                <w:szCs w:val="18"/>
              </w:rPr>
            </w:pPr>
            <w:r w:rsidRPr="00E84D74">
              <w:rPr>
                <w:sz w:val="18"/>
                <w:szCs w:val="18"/>
              </w:rPr>
              <w:t xml:space="preserve">2. The reference prices shall be derived in the following sequential steps: </w:t>
            </w:r>
          </w:p>
          <w:p w:rsidR="00DA7161" w:rsidRPr="00E84D74" w:rsidRDefault="00DA7161" w:rsidP="00DA725A">
            <w:pPr>
              <w:jc w:val="both"/>
              <w:rPr>
                <w:sz w:val="18"/>
                <w:szCs w:val="18"/>
              </w:rPr>
            </w:pPr>
            <w:r w:rsidRPr="00E84D74">
              <w:rPr>
                <w:sz w:val="18"/>
                <w:szCs w:val="18"/>
              </w:rPr>
              <w:tab/>
            </w:r>
          </w:p>
          <w:p w:rsidR="009D2048" w:rsidRPr="00E84D74" w:rsidRDefault="00BA1EB2" w:rsidP="00DA725A">
            <w:pPr>
              <w:jc w:val="both"/>
              <w:rPr>
                <w:sz w:val="18"/>
                <w:szCs w:val="18"/>
              </w:rPr>
            </w:pPr>
            <w:r w:rsidRPr="00E84D74">
              <w:rPr>
                <w:sz w:val="18"/>
                <w:szCs w:val="18"/>
              </w:rPr>
              <w:t xml:space="preserve">(a) the weighted average distance for each entry point or each cluster of entry points and for each exit point or each cluster of exit points shall be calculated, taking into account, where relevant, the combinations referred to in paragraph 1(d), in accordance with the following respective formulas: </w:t>
            </w:r>
          </w:p>
          <w:p w:rsidR="00D146AC" w:rsidRPr="00E84D74" w:rsidRDefault="00BF5D07" w:rsidP="00DA725A">
            <w:pPr>
              <w:jc w:val="both"/>
              <w:rPr>
                <w:sz w:val="18"/>
                <w:szCs w:val="18"/>
              </w:rPr>
            </w:pPr>
            <w:r w:rsidRPr="00E84D74">
              <w:rPr>
                <w:sz w:val="18"/>
                <w:szCs w:val="18"/>
              </w:rPr>
              <w:tab/>
            </w:r>
            <w:r w:rsidR="00BA1EB2" w:rsidRPr="00E84D74">
              <w:rPr>
                <w:sz w:val="18"/>
                <w:szCs w:val="18"/>
              </w:rPr>
              <w:t>(i) for an entry point or cluster of entry points, as the sum of the products of capacity at each exit point or cluster of exit points and the distance from this entry point or cluster of entry points to each exit point or cluster of exit points, divided by the sum of capacities at each exit point or cluster of exit points:</w:t>
            </w:r>
          </w:p>
          <w:p w:rsidR="007F46D0" w:rsidRPr="00E84D74" w:rsidRDefault="007F46D0" w:rsidP="00DA725A">
            <w:pPr>
              <w:jc w:val="both"/>
              <w:rPr>
                <w:sz w:val="18"/>
                <w:szCs w:val="18"/>
              </w:rPr>
            </w:pPr>
          </w:p>
          <w:p w:rsidR="007F46D0" w:rsidRPr="00E84D74" w:rsidRDefault="007F46D0" w:rsidP="00DA725A">
            <w:pPr>
              <w:jc w:val="both"/>
              <w:rPr>
                <w:sz w:val="18"/>
                <w:szCs w:val="18"/>
              </w:rPr>
            </w:pPr>
          </w:p>
          <w:p w:rsidR="00BF5D07" w:rsidRPr="00E84D74" w:rsidRDefault="00BF5D07" w:rsidP="005B64F0">
            <w:pPr>
              <w:jc w:val="center"/>
              <w:rPr>
                <w:b/>
                <w:sz w:val="18"/>
                <w:szCs w:val="18"/>
              </w:rPr>
            </w:pPr>
            <w:r w:rsidRPr="00E84D74">
              <w:rPr>
                <w:noProof/>
                <w:sz w:val="18"/>
                <w:szCs w:val="18"/>
                <w:lang w:eastAsia="en-US"/>
              </w:rPr>
              <w:drawing>
                <wp:inline distT="0" distB="0" distL="0" distR="0" wp14:anchorId="699C4473" wp14:editId="2AFACD84">
                  <wp:extent cx="1619277" cy="316704"/>
                  <wp:effectExtent l="0" t="0" r="0" b="7620"/>
                  <wp:docPr id="60" name="Picture 6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35324" cy="339401"/>
                          </a:xfrm>
                          <a:prstGeom prst="rect">
                            <a:avLst/>
                          </a:prstGeom>
                          <a:noFill/>
                          <a:ln>
                            <a:noFill/>
                          </a:ln>
                        </pic:spPr>
                      </pic:pic>
                    </a:graphicData>
                  </a:graphic>
                </wp:inline>
              </w:drawing>
            </w:r>
          </w:p>
          <w:p w:rsidR="00AA24C5" w:rsidRPr="00E84D74" w:rsidRDefault="00AA24C5" w:rsidP="00DA725A">
            <w:pPr>
              <w:jc w:val="both"/>
              <w:rPr>
                <w:sz w:val="18"/>
                <w:szCs w:val="18"/>
              </w:rPr>
            </w:pPr>
            <w:r w:rsidRPr="00E84D74">
              <w:rPr>
                <w:sz w:val="18"/>
                <w:szCs w:val="18"/>
              </w:rPr>
              <w:t>Where:</w:t>
            </w:r>
          </w:p>
          <w:p w:rsidR="00AA24C5" w:rsidRPr="00E84D74" w:rsidRDefault="00AA24C5" w:rsidP="00DA725A">
            <w:pPr>
              <w:jc w:val="both"/>
              <w:rPr>
                <w:sz w:val="18"/>
                <w:szCs w:val="18"/>
              </w:rPr>
            </w:pPr>
            <w:r w:rsidRPr="00E84D74">
              <w:rPr>
                <w:b/>
                <w:sz w:val="18"/>
                <w:szCs w:val="18"/>
              </w:rPr>
              <w:t>ADEn</w:t>
            </w:r>
            <w:r w:rsidRPr="00E84D74">
              <w:rPr>
                <w:sz w:val="18"/>
                <w:szCs w:val="18"/>
              </w:rPr>
              <w:t xml:space="preserve"> is the weighted average distance for an entry point or a cluster of entry points;</w:t>
            </w:r>
          </w:p>
          <w:p w:rsidR="00AA24C5" w:rsidRPr="00E84D74" w:rsidRDefault="00AA24C5" w:rsidP="00DA725A">
            <w:pPr>
              <w:jc w:val="both"/>
              <w:rPr>
                <w:sz w:val="18"/>
                <w:szCs w:val="18"/>
              </w:rPr>
            </w:pPr>
            <w:r w:rsidRPr="00E84D74">
              <w:rPr>
                <w:b/>
                <w:sz w:val="18"/>
                <w:szCs w:val="18"/>
              </w:rPr>
              <w:t>CAPEx</w:t>
            </w:r>
            <w:r w:rsidRPr="00E84D74">
              <w:rPr>
                <w:sz w:val="18"/>
                <w:szCs w:val="18"/>
              </w:rPr>
              <w:t xml:space="preserve"> is the forecasted contracted capacity at an exit point or a cluster of exit points;</w:t>
            </w:r>
          </w:p>
          <w:p w:rsidR="00AA24C5" w:rsidRPr="00E84D74" w:rsidRDefault="00AA24C5" w:rsidP="00DA725A">
            <w:pPr>
              <w:jc w:val="both"/>
              <w:rPr>
                <w:sz w:val="18"/>
                <w:szCs w:val="18"/>
              </w:rPr>
            </w:pPr>
            <w:r w:rsidRPr="00E84D74">
              <w:rPr>
                <w:b/>
                <w:sz w:val="18"/>
                <w:szCs w:val="18"/>
              </w:rPr>
              <w:t xml:space="preserve">DEn,Ex </w:t>
            </w:r>
            <w:r w:rsidRPr="00E84D74">
              <w:rPr>
                <w:sz w:val="18"/>
                <w:szCs w:val="18"/>
              </w:rPr>
              <w:t>is the distance between a given entry point or a cluster of entry points and a given exit point</w:t>
            </w:r>
          </w:p>
          <w:p w:rsidR="00AA24C5" w:rsidRPr="00E84D74" w:rsidRDefault="00AA24C5" w:rsidP="00DA725A">
            <w:pPr>
              <w:jc w:val="both"/>
              <w:rPr>
                <w:sz w:val="18"/>
                <w:szCs w:val="18"/>
              </w:rPr>
            </w:pPr>
            <w:r w:rsidRPr="00E84D74">
              <w:rPr>
                <w:sz w:val="18"/>
                <w:szCs w:val="18"/>
              </w:rPr>
              <w:t>or a cluster of exit points referred to in paragraph 1(c).</w:t>
            </w:r>
          </w:p>
          <w:p w:rsidR="00AA24C5" w:rsidRPr="00E84D74" w:rsidRDefault="00AA24C5" w:rsidP="00DA725A">
            <w:pPr>
              <w:jc w:val="both"/>
              <w:rPr>
                <w:sz w:val="18"/>
                <w:szCs w:val="18"/>
              </w:rPr>
            </w:pPr>
          </w:p>
          <w:p w:rsidR="00AA24C5" w:rsidRPr="00E84D74" w:rsidRDefault="00AF5BEB" w:rsidP="00DA725A">
            <w:pPr>
              <w:jc w:val="both"/>
              <w:rPr>
                <w:sz w:val="18"/>
                <w:szCs w:val="18"/>
              </w:rPr>
            </w:pPr>
            <w:r w:rsidRPr="00E84D74">
              <w:rPr>
                <w:sz w:val="18"/>
                <w:szCs w:val="18"/>
              </w:rPr>
              <w:tab/>
            </w:r>
            <w:r w:rsidR="00AA24C5" w:rsidRPr="00E84D74">
              <w:rPr>
                <w:sz w:val="18"/>
                <w:szCs w:val="18"/>
              </w:rPr>
              <w:t xml:space="preserve">(ii) for an exit point or cluster of exit points, as the sum of the products of capacity at each entry point or cluster of entry points and the distance to this exit point or cluster of exit points from </w:t>
            </w:r>
          </w:p>
          <w:p w:rsidR="00AA24C5" w:rsidRPr="00E84D74" w:rsidRDefault="00AA24C5" w:rsidP="00DA725A">
            <w:pPr>
              <w:jc w:val="both"/>
              <w:rPr>
                <w:sz w:val="18"/>
                <w:szCs w:val="18"/>
              </w:rPr>
            </w:pPr>
            <w:r w:rsidRPr="00E84D74">
              <w:rPr>
                <w:sz w:val="18"/>
                <w:szCs w:val="18"/>
              </w:rPr>
              <w:lastRenderedPageBreak/>
              <w:t xml:space="preserve">each entry point or cluster of entry points, divided by the sum of capacities at each entry point </w:t>
            </w:r>
          </w:p>
          <w:p w:rsidR="00BF5D07" w:rsidRPr="00E84D74" w:rsidRDefault="00AA24C5" w:rsidP="00DA725A">
            <w:pPr>
              <w:jc w:val="both"/>
              <w:rPr>
                <w:sz w:val="18"/>
                <w:szCs w:val="18"/>
              </w:rPr>
            </w:pPr>
            <w:r w:rsidRPr="00E84D74">
              <w:rPr>
                <w:sz w:val="18"/>
                <w:szCs w:val="18"/>
              </w:rPr>
              <w:t>or cluster of entry points:</w:t>
            </w:r>
          </w:p>
          <w:p w:rsidR="00B323AA" w:rsidRPr="00E84D74" w:rsidRDefault="00B323AA" w:rsidP="00DA725A">
            <w:pPr>
              <w:jc w:val="both"/>
              <w:rPr>
                <w:sz w:val="18"/>
                <w:szCs w:val="18"/>
              </w:rPr>
            </w:pPr>
          </w:p>
          <w:p w:rsidR="005D449E" w:rsidRPr="00E84D74" w:rsidRDefault="005D449E" w:rsidP="00DA725A">
            <w:pPr>
              <w:jc w:val="center"/>
              <w:rPr>
                <w:b/>
                <w:sz w:val="18"/>
                <w:szCs w:val="18"/>
              </w:rPr>
            </w:pPr>
            <w:r w:rsidRPr="00E84D74">
              <w:rPr>
                <w:noProof/>
                <w:sz w:val="18"/>
                <w:szCs w:val="18"/>
                <w:lang w:eastAsia="en-US"/>
              </w:rPr>
              <w:drawing>
                <wp:inline distT="0" distB="0" distL="0" distR="0" wp14:anchorId="737BB700" wp14:editId="6C2869BE">
                  <wp:extent cx="1533594" cy="299946"/>
                  <wp:effectExtent l="0" t="0" r="0" b="5080"/>
                  <wp:docPr id="62" name="Picture 6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91413" cy="311255"/>
                          </a:xfrm>
                          <a:prstGeom prst="rect">
                            <a:avLst/>
                          </a:prstGeom>
                          <a:noFill/>
                          <a:ln>
                            <a:noFill/>
                          </a:ln>
                        </pic:spPr>
                      </pic:pic>
                    </a:graphicData>
                  </a:graphic>
                </wp:inline>
              </w:drawing>
            </w:r>
          </w:p>
          <w:p w:rsidR="00D9247B" w:rsidRPr="00E84D74" w:rsidRDefault="005D449E" w:rsidP="00DA725A">
            <w:pPr>
              <w:rPr>
                <w:sz w:val="18"/>
                <w:szCs w:val="18"/>
              </w:rPr>
            </w:pPr>
            <w:r w:rsidRPr="00E84D74">
              <w:rPr>
                <w:sz w:val="18"/>
                <w:szCs w:val="18"/>
              </w:rPr>
              <w:t xml:space="preserve">Where: </w:t>
            </w:r>
          </w:p>
          <w:p w:rsidR="00D9247B" w:rsidRPr="00E84D74" w:rsidRDefault="005D449E" w:rsidP="00DA725A">
            <w:pPr>
              <w:rPr>
                <w:sz w:val="18"/>
                <w:szCs w:val="18"/>
              </w:rPr>
            </w:pPr>
            <w:r w:rsidRPr="00E84D74">
              <w:rPr>
                <w:b/>
                <w:sz w:val="18"/>
                <w:szCs w:val="18"/>
              </w:rPr>
              <w:t xml:space="preserve">ADEx </w:t>
            </w:r>
            <w:r w:rsidRPr="00E84D74">
              <w:rPr>
                <w:sz w:val="18"/>
                <w:szCs w:val="18"/>
              </w:rPr>
              <w:t xml:space="preserve">is the weighted average distance for an exit point or a cluster of exit points; </w:t>
            </w:r>
          </w:p>
          <w:p w:rsidR="00D9247B" w:rsidRPr="00E84D74" w:rsidRDefault="005D449E" w:rsidP="00DA725A">
            <w:pPr>
              <w:rPr>
                <w:sz w:val="18"/>
                <w:szCs w:val="18"/>
              </w:rPr>
            </w:pPr>
            <w:r w:rsidRPr="00E84D74">
              <w:rPr>
                <w:b/>
                <w:sz w:val="18"/>
                <w:szCs w:val="18"/>
              </w:rPr>
              <w:t xml:space="preserve">CAPEn </w:t>
            </w:r>
            <w:r w:rsidRPr="00E84D74">
              <w:rPr>
                <w:sz w:val="18"/>
                <w:szCs w:val="18"/>
              </w:rPr>
              <w:t xml:space="preserve">is the forecasted contracted capacity at an entry point or a cluster of entry points; </w:t>
            </w:r>
            <w:r w:rsidRPr="00E84D74">
              <w:rPr>
                <w:b/>
                <w:sz w:val="18"/>
                <w:szCs w:val="18"/>
              </w:rPr>
              <w:t>DEn,Ex</w:t>
            </w:r>
            <w:r w:rsidRPr="00E84D74">
              <w:rPr>
                <w:sz w:val="18"/>
                <w:szCs w:val="18"/>
              </w:rPr>
              <w:t xml:space="preserve"> is the distance between a given entry point or a cluster of entry points and a given exit point or a cluster of exit points referred to in paragraph 1(c). </w:t>
            </w:r>
          </w:p>
          <w:p w:rsidR="00D9247B" w:rsidRPr="00E84D74" w:rsidRDefault="00D9247B" w:rsidP="00DA725A">
            <w:pPr>
              <w:rPr>
                <w:sz w:val="18"/>
                <w:szCs w:val="18"/>
              </w:rPr>
            </w:pPr>
          </w:p>
          <w:p w:rsidR="005D449E" w:rsidRPr="00E84D74" w:rsidRDefault="005D449E" w:rsidP="00DA725A">
            <w:pPr>
              <w:rPr>
                <w:sz w:val="18"/>
                <w:szCs w:val="18"/>
              </w:rPr>
            </w:pPr>
            <w:r w:rsidRPr="00E84D74">
              <w:rPr>
                <w:sz w:val="18"/>
                <w:szCs w:val="18"/>
              </w:rPr>
              <w:t>(b) the weight of cost for each entry point or each cluster of entry points and for each exit point or each cluster of exit points shall be calculated in accordance with the following respective formulas:</w:t>
            </w:r>
          </w:p>
          <w:p w:rsidR="00B035B3" w:rsidRPr="00E84D74" w:rsidRDefault="00B035B3" w:rsidP="00DA725A">
            <w:pPr>
              <w:rPr>
                <w:sz w:val="18"/>
                <w:szCs w:val="18"/>
              </w:rPr>
            </w:pPr>
          </w:p>
          <w:p w:rsidR="00D9247B" w:rsidRPr="00E84D74" w:rsidRDefault="00D9247B" w:rsidP="00DA725A">
            <w:pPr>
              <w:jc w:val="center"/>
              <w:rPr>
                <w:b/>
                <w:sz w:val="18"/>
                <w:szCs w:val="18"/>
              </w:rPr>
            </w:pPr>
            <w:r w:rsidRPr="00E84D74">
              <w:rPr>
                <w:noProof/>
                <w:sz w:val="18"/>
                <w:szCs w:val="18"/>
                <w:lang w:eastAsia="en-US"/>
              </w:rPr>
              <w:drawing>
                <wp:inline distT="0" distB="0" distL="0" distR="0" wp14:anchorId="665575BB" wp14:editId="77927DB1">
                  <wp:extent cx="1800225" cy="347594"/>
                  <wp:effectExtent l="0" t="0" r="0" b="0"/>
                  <wp:docPr id="6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38339" cy="354953"/>
                          </a:xfrm>
                          <a:prstGeom prst="rect">
                            <a:avLst/>
                          </a:prstGeom>
                          <a:noFill/>
                          <a:ln>
                            <a:noFill/>
                          </a:ln>
                        </pic:spPr>
                      </pic:pic>
                    </a:graphicData>
                  </a:graphic>
                </wp:inline>
              </w:drawing>
            </w:r>
          </w:p>
          <w:p w:rsidR="00D9247B" w:rsidRPr="00E84D74" w:rsidRDefault="00D9247B" w:rsidP="00DA725A">
            <w:pPr>
              <w:jc w:val="center"/>
              <w:rPr>
                <w:b/>
                <w:sz w:val="18"/>
                <w:szCs w:val="18"/>
              </w:rPr>
            </w:pPr>
            <w:r w:rsidRPr="00E84D74">
              <w:rPr>
                <w:noProof/>
                <w:sz w:val="18"/>
                <w:szCs w:val="18"/>
                <w:lang w:eastAsia="en-US"/>
              </w:rPr>
              <w:drawing>
                <wp:inline distT="0" distB="0" distL="0" distR="0" wp14:anchorId="0BE6BDBD" wp14:editId="2E09B6C8">
                  <wp:extent cx="1771650" cy="346066"/>
                  <wp:effectExtent l="0" t="0" r="0" b="0"/>
                  <wp:docPr id="6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29173" cy="357302"/>
                          </a:xfrm>
                          <a:prstGeom prst="rect">
                            <a:avLst/>
                          </a:prstGeom>
                          <a:noFill/>
                          <a:ln>
                            <a:noFill/>
                          </a:ln>
                        </pic:spPr>
                      </pic:pic>
                    </a:graphicData>
                  </a:graphic>
                </wp:inline>
              </w:drawing>
            </w:r>
          </w:p>
          <w:p w:rsidR="00D9247B" w:rsidRPr="00E84D74" w:rsidRDefault="00B56BE6" w:rsidP="00DA725A">
            <w:pPr>
              <w:rPr>
                <w:b/>
                <w:sz w:val="18"/>
                <w:szCs w:val="18"/>
              </w:rPr>
            </w:pPr>
            <w:r w:rsidRPr="00E84D74">
              <w:rPr>
                <w:b/>
                <w:sz w:val="18"/>
                <w:szCs w:val="18"/>
              </w:rPr>
              <w:t>Where</w:t>
            </w:r>
          </w:p>
          <w:p w:rsidR="00B56BE6" w:rsidRPr="00E84D74" w:rsidRDefault="00B56BE6" w:rsidP="00DA725A">
            <w:pPr>
              <w:rPr>
                <w:b/>
                <w:sz w:val="18"/>
                <w:szCs w:val="18"/>
              </w:rPr>
            </w:pPr>
          </w:p>
          <w:p w:rsidR="00B56BE6" w:rsidRPr="00E84D74" w:rsidRDefault="00B56BE6" w:rsidP="00DA725A">
            <w:pPr>
              <w:rPr>
                <w:sz w:val="18"/>
                <w:szCs w:val="18"/>
              </w:rPr>
            </w:pPr>
            <w:r w:rsidRPr="00E84D74">
              <w:rPr>
                <w:rFonts w:eastAsia="Calibri"/>
                <w:b/>
                <w:sz w:val="18"/>
                <w:szCs w:val="18"/>
              </w:rPr>
              <w:t>Wc,En</w:t>
            </w:r>
            <w:r w:rsidRPr="00E84D74">
              <w:rPr>
                <w:sz w:val="18"/>
                <w:szCs w:val="18"/>
              </w:rPr>
              <w:t xml:space="preserve"> is the weight of cost for a given entry point or a cluster of entry points;</w:t>
            </w:r>
          </w:p>
          <w:p w:rsidR="00B56BE6" w:rsidRPr="00E84D74" w:rsidRDefault="00B56BE6" w:rsidP="00DA725A">
            <w:pPr>
              <w:rPr>
                <w:sz w:val="18"/>
                <w:szCs w:val="18"/>
              </w:rPr>
            </w:pPr>
            <w:r w:rsidRPr="00E84D74">
              <w:rPr>
                <w:rFonts w:eastAsia="Calibri"/>
                <w:b/>
                <w:sz w:val="18"/>
                <w:szCs w:val="18"/>
              </w:rPr>
              <w:t>Wc,Ex</w:t>
            </w:r>
            <w:r w:rsidRPr="00E84D74">
              <w:rPr>
                <w:sz w:val="18"/>
                <w:szCs w:val="18"/>
              </w:rPr>
              <w:t xml:space="preserve"> is the weight of cost for a given exit point or a cluster of exit points;</w:t>
            </w:r>
          </w:p>
          <w:p w:rsidR="00B56BE6" w:rsidRPr="00E84D74" w:rsidRDefault="00B56BE6" w:rsidP="00DA725A">
            <w:pPr>
              <w:ind w:left="5" w:right="37"/>
              <w:rPr>
                <w:sz w:val="18"/>
                <w:szCs w:val="18"/>
              </w:rPr>
            </w:pPr>
            <w:r w:rsidRPr="00E84D74">
              <w:rPr>
                <w:rFonts w:ascii="Calibri" w:eastAsia="Calibri" w:hAnsi="Calibri" w:cs="Calibri"/>
                <w:b/>
                <w:sz w:val="18"/>
                <w:szCs w:val="18"/>
              </w:rPr>
              <w:t>AD</w:t>
            </w:r>
            <w:r w:rsidRPr="00E84D74">
              <w:rPr>
                <w:rFonts w:ascii="Calibri" w:eastAsia="Calibri" w:hAnsi="Calibri" w:cs="Calibri"/>
                <w:b/>
                <w:sz w:val="18"/>
                <w:szCs w:val="18"/>
                <w:vertAlign w:val="subscript"/>
              </w:rPr>
              <w:t>En</w:t>
            </w:r>
            <w:r w:rsidRPr="00E84D74">
              <w:rPr>
                <w:sz w:val="18"/>
                <w:szCs w:val="18"/>
              </w:rPr>
              <w:t xml:space="preserve"> is the weighted average distance for an entry point or a cluster of entry points;</w:t>
            </w:r>
          </w:p>
          <w:p w:rsidR="00FD37B6" w:rsidRPr="00E84D74" w:rsidRDefault="00B56BE6" w:rsidP="00DA725A">
            <w:pPr>
              <w:ind w:left="3" w:right="174"/>
              <w:rPr>
                <w:sz w:val="18"/>
                <w:szCs w:val="18"/>
              </w:rPr>
            </w:pPr>
            <w:r w:rsidRPr="00E84D74">
              <w:rPr>
                <w:rFonts w:ascii="Calibri" w:eastAsia="Calibri" w:hAnsi="Calibri" w:cs="Calibri"/>
                <w:b/>
                <w:sz w:val="18"/>
                <w:szCs w:val="18"/>
              </w:rPr>
              <w:t>AD</w:t>
            </w:r>
            <w:r w:rsidRPr="00E84D74">
              <w:rPr>
                <w:rFonts w:ascii="Calibri" w:eastAsia="Calibri" w:hAnsi="Calibri" w:cs="Calibri"/>
                <w:b/>
                <w:sz w:val="18"/>
                <w:szCs w:val="18"/>
                <w:vertAlign w:val="subscript"/>
              </w:rPr>
              <w:t>Ex</w:t>
            </w:r>
            <w:r w:rsidRPr="00E84D74">
              <w:rPr>
                <w:sz w:val="18"/>
                <w:szCs w:val="18"/>
              </w:rPr>
              <w:t xml:space="preserve"> is the </w:t>
            </w:r>
            <w:r w:rsidR="00FD37B6" w:rsidRPr="00E84D74">
              <w:rPr>
                <w:sz w:val="18"/>
                <w:szCs w:val="18"/>
              </w:rPr>
              <w:t>weighted average d</w:t>
            </w:r>
            <w:r w:rsidRPr="00E84D74">
              <w:rPr>
                <w:sz w:val="18"/>
                <w:szCs w:val="18"/>
              </w:rPr>
              <w:t xml:space="preserve">istance for an exit point or a cluster of exit points; </w:t>
            </w:r>
          </w:p>
          <w:p w:rsidR="00FD37B6" w:rsidRPr="00E84D74" w:rsidRDefault="00B56BE6" w:rsidP="00DA725A">
            <w:pPr>
              <w:ind w:left="3" w:right="174"/>
              <w:rPr>
                <w:sz w:val="18"/>
                <w:szCs w:val="18"/>
              </w:rPr>
            </w:pPr>
            <w:r w:rsidRPr="00E84D74">
              <w:rPr>
                <w:rFonts w:ascii="Calibri" w:eastAsia="Calibri" w:hAnsi="Calibri" w:cs="Calibri"/>
                <w:b/>
                <w:sz w:val="18"/>
                <w:szCs w:val="18"/>
              </w:rPr>
              <w:t>CAP</w:t>
            </w:r>
            <w:r w:rsidRPr="00E84D74">
              <w:rPr>
                <w:rFonts w:ascii="Calibri" w:eastAsia="Calibri" w:hAnsi="Calibri" w:cs="Calibri"/>
                <w:b/>
                <w:sz w:val="18"/>
                <w:szCs w:val="18"/>
                <w:vertAlign w:val="subscript"/>
              </w:rPr>
              <w:t>En</w:t>
            </w:r>
            <w:r w:rsidRPr="00E84D74">
              <w:rPr>
                <w:sz w:val="18"/>
                <w:szCs w:val="18"/>
              </w:rPr>
              <w:t xml:space="preserve"> is the forecasted contracted capacity at an entry point or a cluster of entry points; </w:t>
            </w:r>
          </w:p>
          <w:p w:rsidR="00B56BE6" w:rsidRPr="00E84D74" w:rsidRDefault="00B56BE6" w:rsidP="00DA725A">
            <w:pPr>
              <w:ind w:left="3" w:right="174"/>
              <w:rPr>
                <w:sz w:val="18"/>
                <w:szCs w:val="18"/>
              </w:rPr>
            </w:pPr>
            <w:r w:rsidRPr="00E84D74">
              <w:rPr>
                <w:rFonts w:ascii="Calibri" w:eastAsia="Calibri" w:hAnsi="Calibri" w:cs="Calibri"/>
                <w:b/>
                <w:sz w:val="18"/>
                <w:szCs w:val="18"/>
              </w:rPr>
              <w:t>CAP</w:t>
            </w:r>
            <w:r w:rsidRPr="00E84D74">
              <w:rPr>
                <w:rFonts w:ascii="Calibri" w:eastAsia="Calibri" w:hAnsi="Calibri" w:cs="Calibri"/>
                <w:b/>
                <w:sz w:val="18"/>
                <w:szCs w:val="18"/>
                <w:vertAlign w:val="subscript"/>
              </w:rPr>
              <w:t>Ex</w:t>
            </w:r>
            <w:r w:rsidRPr="00E84D74">
              <w:rPr>
                <w:sz w:val="18"/>
                <w:szCs w:val="18"/>
              </w:rPr>
              <w:t xml:space="preserve"> is the forecasted contracted capacity at an exit point or a cluster of exit points.</w:t>
            </w:r>
          </w:p>
          <w:p w:rsidR="00B56BE6" w:rsidRPr="00E84D74" w:rsidRDefault="00B56BE6" w:rsidP="00DA725A">
            <w:pPr>
              <w:rPr>
                <w:b/>
                <w:sz w:val="18"/>
                <w:szCs w:val="18"/>
              </w:rPr>
            </w:pPr>
          </w:p>
          <w:p w:rsidR="009D0BD4" w:rsidRPr="00E84D74" w:rsidRDefault="009D0BD4" w:rsidP="00DA725A">
            <w:pPr>
              <w:numPr>
                <w:ilvl w:val="0"/>
                <w:numId w:val="48"/>
              </w:numPr>
              <w:spacing w:line="269" w:lineRule="auto"/>
              <w:ind w:right="37" w:hanging="10"/>
              <w:jc w:val="both"/>
              <w:rPr>
                <w:sz w:val="18"/>
                <w:szCs w:val="18"/>
              </w:rPr>
            </w:pPr>
            <w:r w:rsidRPr="00E84D74">
              <w:rPr>
                <w:sz w:val="18"/>
                <w:szCs w:val="18"/>
              </w:rPr>
              <w:t xml:space="preserve">the part of the transmission services revenue to be recovered from capacity-based transmission tariffsat all entry points and the part of the transmission services revenue to be recovered from capacity-based </w:t>
            </w:r>
            <w:r w:rsidRPr="00E84D74">
              <w:rPr>
                <w:sz w:val="18"/>
                <w:szCs w:val="18"/>
              </w:rPr>
              <w:lastRenderedPageBreak/>
              <w:t>transmission tariffs at all exit points shall be identified by applying the entry-exit split;</w:t>
            </w:r>
          </w:p>
          <w:p w:rsidR="009D0BD4" w:rsidRPr="00E84D74" w:rsidRDefault="009D0BD4" w:rsidP="00DA725A">
            <w:pPr>
              <w:numPr>
                <w:ilvl w:val="0"/>
                <w:numId w:val="48"/>
              </w:numPr>
              <w:spacing w:line="269" w:lineRule="auto"/>
              <w:ind w:right="37" w:hanging="10"/>
              <w:jc w:val="both"/>
              <w:rPr>
                <w:sz w:val="18"/>
                <w:szCs w:val="18"/>
              </w:rPr>
            </w:pPr>
            <w:r w:rsidRPr="00E84D74">
              <w:rPr>
                <w:sz w:val="18"/>
                <w:szCs w:val="18"/>
              </w:rPr>
              <w:t>the part of the transmission services revenue to be recovered from capacity-based transmission tariffsat each entry point or each cluster of entry points and for each exit point or each cluster of exit points shall be calculated in accordance with the following respective formulas:</w:t>
            </w:r>
          </w:p>
          <w:p w:rsidR="00546C9E" w:rsidRPr="00E84D74" w:rsidRDefault="00546C9E" w:rsidP="00DA725A">
            <w:pPr>
              <w:jc w:val="center"/>
              <w:rPr>
                <w:b/>
                <w:sz w:val="18"/>
                <w:szCs w:val="18"/>
              </w:rPr>
            </w:pPr>
          </w:p>
          <w:p w:rsidR="009D0BD4" w:rsidRPr="00E84D74" w:rsidRDefault="009D0BD4" w:rsidP="00DA725A">
            <w:pPr>
              <w:jc w:val="center"/>
              <w:rPr>
                <w:b/>
                <w:sz w:val="18"/>
                <w:szCs w:val="18"/>
              </w:rPr>
            </w:pPr>
            <w:r w:rsidRPr="00E84D74">
              <w:rPr>
                <w:b/>
                <w:sz w:val="18"/>
                <w:szCs w:val="18"/>
              </w:rPr>
              <w:t>REn = Wc,En × R∑En</w:t>
            </w:r>
          </w:p>
          <w:p w:rsidR="00FD37B6" w:rsidRPr="00E84D74" w:rsidRDefault="009D0BD4" w:rsidP="00DA725A">
            <w:pPr>
              <w:jc w:val="center"/>
              <w:rPr>
                <w:b/>
                <w:sz w:val="18"/>
                <w:szCs w:val="18"/>
              </w:rPr>
            </w:pPr>
            <w:r w:rsidRPr="00E84D74">
              <w:rPr>
                <w:b/>
                <w:sz w:val="18"/>
                <w:szCs w:val="18"/>
              </w:rPr>
              <w:t>REx = Wc,Ex × R∑Ex</w:t>
            </w:r>
          </w:p>
          <w:p w:rsidR="0097170C" w:rsidRPr="00E84D74" w:rsidRDefault="0097170C" w:rsidP="00DA725A">
            <w:pPr>
              <w:rPr>
                <w:b/>
                <w:sz w:val="18"/>
                <w:szCs w:val="18"/>
              </w:rPr>
            </w:pPr>
            <w:r w:rsidRPr="00E84D74">
              <w:rPr>
                <w:b/>
                <w:sz w:val="18"/>
                <w:szCs w:val="18"/>
              </w:rPr>
              <w:t>Where:</w:t>
            </w:r>
          </w:p>
          <w:p w:rsidR="0097170C" w:rsidRPr="00E84D74" w:rsidRDefault="0097170C" w:rsidP="00DA725A">
            <w:pPr>
              <w:rPr>
                <w:b/>
                <w:sz w:val="18"/>
                <w:szCs w:val="18"/>
              </w:rPr>
            </w:pPr>
            <w:r w:rsidRPr="00E84D74">
              <w:rPr>
                <w:b/>
                <w:sz w:val="18"/>
                <w:szCs w:val="18"/>
              </w:rPr>
              <w:t xml:space="preserve">Wc,En </w:t>
            </w:r>
            <w:r w:rsidRPr="00E84D74">
              <w:rPr>
                <w:sz w:val="18"/>
                <w:szCs w:val="18"/>
              </w:rPr>
              <w:t>is the weight of cost for a given entry point or a cluster of entry points;</w:t>
            </w:r>
          </w:p>
          <w:p w:rsidR="0097170C" w:rsidRPr="00E84D74" w:rsidRDefault="0097170C" w:rsidP="00DA725A">
            <w:pPr>
              <w:rPr>
                <w:sz w:val="18"/>
                <w:szCs w:val="18"/>
              </w:rPr>
            </w:pPr>
            <w:r w:rsidRPr="00E84D74">
              <w:rPr>
                <w:b/>
                <w:sz w:val="18"/>
                <w:szCs w:val="18"/>
              </w:rPr>
              <w:t xml:space="preserve">Wc,Ex </w:t>
            </w:r>
            <w:r w:rsidRPr="00E84D74">
              <w:rPr>
                <w:sz w:val="18"/>
                <w:szCs w:val="18"/>
              </w:rPr>
              <w:t>is the weight of cost for a given exit point or a cluster of exit points;</w:t>
            </w:r>
          </w:p>
          <w:p w:rsidR="0097170C" w:rsidRPr="00E84D74" w:rsidRDefault="0097170C" w:rsidP="00DA725A">
            <w:pPr>
              <w:rPr>
                <w:b/>
                <w:sz w:val="18"/>
                <w:szCs w:val="18"/>
              </w:rPr>
            </w:pPr>
            <w:r w:rsidRPr="00E84D74">
              <w:rPr>
                <w:b/>
                <w:sz w:val="18"/>
                <w:szCs w:val="18"/>
              </w:rPr>
              <w:t xml:space="preserve">REn </w:t>
            </w:r>
            <w:r w:rsidRPr="00E84D74">
              <w:rPr>
                <w:sz w:val="18"/>
                <w:szCs w:val="18"/>
              </w:rPr>
              <w:t>is the part of the transmission services revenue to be recovered from capacity-based transmission tariffs at an entry point or a cluster of entry points;</w:t>
            </w:r>
          </w:p>
          <w:p w:rsidR="0097170C" w:rsidRPr="00E84D74" w:rsidRDefault="0097170C" w:rsidP="00DA725A">
            <w:pPr>
              <w:rPr>
                <w:sz w:val="18"/>
                <w:szCs w:val="18"/>
              </w:rPr>
            </w:pPr>
            <w:r w:rsidRPr="00E84D74">
              <w:rPr>
                <w:b/>
                <w:sz w:val="18"/>
                <w:szCs w:val="18"/>
              </w:rPr>
              <w:t xml:space="preserve">REx </w:t>
            </w:r>
            <w:r w:rsidRPr="00E84D74">
              <w:rPr>
                <w:sz w:val="18"/>
                <w:szCs w:val="18"/>
              </w:rPr>
              <w:t xml:space="preserve">is the part of the transmission services revenue to be recovered from capacity-based transmission </w:t>
            </w:r>
          </w:p>
          <w:p w:rsidR="0097170C" w:rsidRPr="00E84D74" w:rsidRDefault="0097170C" w:rsidP="00DA725A">
            <w:pPr>
              <w:rPr>
                <w:b/>
                <w:sz w:val="18"/>
                <w:szCs w:val="18"/>
              </w:rPr>
            </w:pPr>
            <w:r w:rsidRPr="00E84D74">
              <w:rPr>
                <w:b/>
                <w:sz w:val="18"/>
                <w:szCs w:val="18"/>
              </w:rPr>
              <w:t>tariffs at an exit point or a cluster of exit points;</w:t>
            </w:r>
          </w:p>
          <w:p w:rsidR="0097170C" w:rsidRPr="00E84D74" w:rsidRDefault="0097170C" w:rsidP="00DA725A">
            <w:pPr>
              <w:rPr>
                <w:sz w:val="18"/>
                <w:szCs w:val="18"/>
              </w:rPr>
            </w:pPr>
            <w:r w:rsidRPr="00E84D74">
              <w:rPr>
                <w:b/>
                <w:sz w:val="18"/>
                <w:szCs w:val="18"/>
              </w:rPr>
              <w:t xml:space="preserve">R∑En </w:t>
            </w:r>
            <w:r w:rsidRPr="00E84D74">
              <w:rPr>
                <w:sz w:val="18"/>
                <w:szCs w:val="18"/>
              </w:rPr>
              <w:t>is the part of the transmission services revenue to be recovered from capacity-based transmission tariffs at all entry points;</w:t>
            </w:r>
          </w:p>
          <w:p w:rsidR="0097170C" w:rsidRPr="00E84D74" w:rsidRDefault="0097170C" w:rsidP="00DA725A">
            <w:pPr>
              <w:rPr>
                <w:sz w:val="18"/>
                <w:szCs w:val="18"/>
              </w:rPr>
            </w:pPr>
            <w:r w:rsidRPr="00E84D74">
              <w:rPr>
                <w:b/>
                <w:sz w:val="18"/>
                <w:szCs w:val="18"/>
              </w:rPr>
              <w:t>R∑Ex</w:t>
            </w:r>
            <w:r w:rsidRPr="00E84D74">
              <w:rPr>
                <w:sz w:val="18"/>
                <w:szCs w:val="18"/>
              </w:rPr>
              <w:t xml:space="preserve"> is the part of the transmission services revenue to be recovered from capacity-based transmission tariffs at all exit points.“</w:t>
            </w:r>
          </w:p>
          <w:p w:rsidR="00537885" w:rsidRPr="00E84D74" w:rsidRDefault="00537885" w:rsidP="00DA725A">
            <w:pPr>
              <w:rPr>
                <w:b/>
                <w:sz w:val="18"/>
                <w:szCs w:val="18"/>
              </w:rPr>
            </w:pPr>
          </w:p>
          <w:p w:rsidR="009D0BD4" w:rsidRPr="00E84D74" w:rsidRDefault="0097170C" w:rsidP="00DA725A">
            <w:pPr>
              <w:rPr>
                <w:sz w:val="18"/>
                <w:szCs w:val="18"/>
              </w:rPr>
            </w:pPr>
            <w:r w:rsidRPr="00E84D74">
              <w:rPr>
                <w:b/>
                <w:sz w:val="18"/>
                <w:szCs w:val="18"/>
              </w:rPr>
              <w:t xml:space="preserve">(e) </w:t>
            </w:r>
            <w:r w:rsidRPr="00E84D74">
              <w:rPr>
                <w:sz w:val="18"/>
                <w:szCs w:val="18"/>
              </w:rPr>
              <w:t>the resulting values referred to in point (d) shall be divided by the forecasted contracted capacity at</w:t>
            </w:r>
            <w:r w:rsidR="00546C9E" w:rsidRPr="00E84D74">
              <w:rPr>
                <w:sz w:val="18"/>
                <w:szCs w:val="18"/>
              </w:rPr>
              <w:t xml:space="preserve"> </w:t>
            </w:r>
            <w:r w:rsidRPr="00E84D74">
              <w:rPr>
                <w:sz w:val="18"/>
                <w:szCs w:val="18"/>
              </w:rPr>
              <w:t>each entry point or each cluster of entry points and at each exit point or each cluster of exit points in</w:t>
            </w:r>
            <w:r w:rsidR="00546C9E" w:rsidRPr="00E84D74">
              <w:rPr>
                <w:sz w:val="18"/>
                <w:szCs w:val="18"/>
              </w:rPr>
              <w:t xml:space="preserve"> </w:t>
            </w:r>
            <w:r w:rsidRPr="00E84D74">
              <w:rPr>
                <w:sz w:val="18"/>
                <w:szCs w:val="18"/>
              </w:rPr>
              <w:t>accordance with the</w:t>
            </w:r>
            <w:r w:rsidR="00546C9E" w:rsidRPr="00E84D74">
              <w:rPr>
                <w:sz w:val="18"/>
                <w:szCs w:val="18"/>
              </w:rPr>
              <w:t xml:space="preserve"> following respective formulas:</w:t>
            </w:r>
          </w:p>
          <w:p w:rsidR="00546C9E" w:rsidRPr="00E84D74" w:rsidRDefault="00546C9E" w:rsidP="00DA725A">
            <w:pPr>
              <w:rPr>
                <w:sz w:val="18"/>
                <w:szCs w:val="18"/>
              </w:rPr>
            </w:pPr>
          </w:p>
          <w:p w:rsidR="00546C9E" w:rsidRPr="00E84D74" w:rsidRDefault="00537885" w:rsidP="00DA725A">
            <w:pPr>
              <w:jc w:val="center"/>
              <w:rPr>
                <w:b/>
                <w:sz w:val="18"/>
                <w:szCs w:val="18"/>
              </w:rPr>
            </w:pPr>
            <w:r w:rsidRPr="00E84D74">
              <w:rPr>
                <w:noProof/>
                <w:sz w:val="18"/>
                <w:szCs w:val="18"/>
                <w:lang w:eastAsia="en-US"/>
              </w:rPr>
              <w:drawing>
                <wp:inline distT="0" distB="0" distL="0" distR="0" wp14:anchorId="7335A123" wp14:editId="6B73B0AD">
                  <wp:extent cx="914400" cy="355600"/>
                  <wp:effectExtent l="0" t="0" r="0" b="6350"/>
                  <wp:docPr id="65" name="Picture 6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4714" cy="359611"/>
                          </a:xfrm>
                          <a:prstGeom prst="rect">
                            <a:avLst/>
                          </a:prstGeom>
                          <a:noFill/>
                          <a:ln>
                            <a:noFill/>
                          </a:ln>
                        </pic:spPr>
                      </pic:pic>
                    </a:graphicData>
                  </a:graphic>
                </wp:inline>
              </w:drawing>
            </w:r>
          </w:p>
          <w:p w:rsidR="00537885" w:rsidRPr="00E84D74" w:rsidRDefault="00537885" w:rsidP="00DA725A">
            <w:pPr>
              <w:jc w:val="center"/>
              <w:rPr>
                <w:b/>
                <w:sz w:val="18"/>
                <w:szCs w:val="18"/>
              </w:rPr>
            </w:pPr>
            <w:r w:rsidRPr="00E84D74">
              <w:rPr>
                <w:noProof/>
                <w:sz w:val="18"/>
                <w:szCs w:val="18"/>
                <w:lang w:eastAsia="en-US"/>
              </w:rPr>
              <w:drawing>
                <wp:inline distT="0" distB="0" distL="0" distR="0" wp14:anchorId="4082CA89" wp14:editId="74A0CF4B">
                  <wp:extent cx="857250" cy="335706"/>
                  <wp:effectExtent l="0" t="0" r="0" b="7620"/>
                  <wp:docPr id="66" name="Picture 6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2308" cy="345519"/>
                          </a:xfrm>
                          <a:prstGeom prst="rect">
                            <a:avLst/>
                          </a:prstGeom>
                          <a:noFill/>
                          <a:ln>
                            <a:noFill/>
                          </a:ln>
                        </pic:spPr>
                      </pic:pic>
                    </a:graphicData>
                  </a:graphic>
                </wp:inline>
              </w:drawing>
            </w:r>
          </w:p>
          <w:p w:rsidR="00537885" w:rsidRPr="00E84D74" w:rsidRDefault="00537885" w:rsidP="00DA725A">
            <w:pPr>
              <w:rPr>
                <w:b/>
                <w:sz w:val="18"/>
                <w:szCs w:val="18"/>
              </w:rPr>
            </w:pPr>
          </w:p>
          <w:p w:rsidR="00537885" w:rsidRPr="00E84D74" w:rsidRDefault="00537885" w:rsidP="00DA725A">
            <w:pPr>
              <w:rPr>
                <w:b/>
                <w:sz w:val="18"/>
                <w:szCs w:val="18"/>
              </w:rPr>
            </w:pPr>
            <w:r w:rsidRPr="00E84D74">
              <w:rPr>
                <w:b/>
                <w:sz w:val="18"/>
                <w:szCs w:val="18"/>
              </w:rPr>
              <w:t>Where:</w:t>
            </w:r>
          </w:p>
          <w:p w:rsidR="00571AC8" w:rsidRPr="00E84D74" w:rsidRDefault="00571AC8" w:rsidP="00DA725A">
            <w:pPr>
              <w:rPr>
                <w:b/>
                <w:sz w:val="18"/>
                <w:szCs w:val="18"/>
              </w:rPr>
            </w:pPr>
            <w:r w:rsidRPr="00E84D74">
              <w:rPr>
                <w:b/>
                <w:sz w:val="18"/>
                <w:szCs w:val="18"/>
              </w:rPr>
              <w:t xml:space="preserve">TEn </w:t>
            </w:r>
            <w:r w:rsidRPr="00E84D74">
              <w:rPr>
                <w:sz w:val="18"/>
                <w:szCs w:val="18"/>
              </w:rPr>
              <w:t>is the reference price at an entry point or each entry point within a cluster of entry points;</w:t>
            </w:r>
          </w:p>
          <w:p w:rsidR="00571AC8" w:rsidRPr="00E84D74" w:rsidRDefault="00571AC8" w:rsidP="00DA725A">
            <w:pPr>
              <w:rPr>
                <w:b/>
                <w:sz w:val="18"/>
                <w:szCs w:val="18"/>
              </w:rPr>
            </w:pPr>
            <w:r w:rsidRPr="00E84D74">
              <w:rPr>
                <w:b/>
                <w:sz w:val="18"/>
                <w:szCs w:val="18"/>
              </w:rPr>
              <w:lastRenderedPageBreak/>
              <w:t xml:space="preserve">TEx </w:t>
            </w:r>
            <w:r w:rsidRPr="00E84D74">
              <w:rPr>
                <w:sz w:val="18"/>
                <w:szCs w:val="18"/>
              </w:rPr>
              <w:t>is the reference price at an exit point or each exit point within a cluster of exit points;</w:t>
            </w:r>
          </w:p>
          <w:p w:rsidR="00571AC8" w:rsidRPr="00E84D74" w:rsidRDefault="00571AC8" w:rsidP="00DA725A">
            <w:pPr>
              <w:rPr>
                <w:b/>
                <w:sz w:val="18"/>
                <w:szCs w:val="18"/>
              </w:rPr>
            </w:pPr>
            <w:r w:rsidRPr="00E84D74">
              <w:rPr>
                <w:b/>
                <w:sz w:val="18"/>
                <w:szCs w:val="18"/>
              </w:rPr>
              <w:t xml:space="preserve">CAPEn </w:t>
            </w:r>
            <w:r w:rsidRPr="00E84D74">
              <w:rPr>
                <w:sz w:val="18"/>
                <w:szCs w:val="18"/>
              </w:rPr>
              <w:t>is the forecasted contracted capacity at an entry point or a cluster of entry points;</w:t>
            </w:r>
          </w:p>
          <w:p w:rsidR="00537885" w:rsidRPr="00E84D74" w:rsidRDefault="00571AC8" w:rsidP="00DA725A">
            <w:pPr>
              <w:rPr>
                <w:b/>
                <w:sz w:val="18"/>
                <w:szCs w:val="18"/>
              </w:rPr>
            </w:pPr>
            <w:r w:rsidRPr="00E84D74">
              <w:rPr>
                <w:b/>
                <w:sz w:val="18"/>
                <w:szCs w:val="18"/>
              </w:rPr>
              <w:t xml:space="preserve">CAPEx </w:t>
            </w:r>
            <w:r w:rsidRPr="00E84D74">
              <w:rPr>
                <w:sz w:val="18"/>
                <w:szCs w:val="18"/>
              </w:rPr>
              <w:t>is the forecasted contracted capacity at an exit point or a cluster of exit points.</w:t>
            </w:r>
          </w:p>
        </w:tc>
      </w:tr>
      <w:tr w:rsidR="00D146AC" w:rsidRPr="00043955" w:rsidTr="00FC3840">
        <w:trPr>
          <w:trHeight w:val="1240"/>
        </w:trPr>
        <w:tc>
          <w:tcPr>
            <w:tcW w:w="5245" w:type="dxa"/>
          </w:tcPr>
          <w:p w:rsidR="00D146AC" w:rsidRPr="00286F2C" w:rsidRDefault="00D146AC" w:rsidP="00DA725A">
            <w:pPr>
              <w:shd w:val="clear" w:color="auto" w:fill="FFFFFF"/>
              <w:jc w:val="center"/>
              <w:rPr>
                <w:b/>
                <w:i/>
                <w:iCs/>
                <w:sz w:val="18"/>
                <w:szCs w:val="18"/>
              </w:rPr>
            </w:pPr>
            <w:r w:rsidRPr="00286F2C">
              <w:rPr>
                <w:b/>
                <w:i/>
                <w:iCs/>
                <w:sz w:val="18"/>
                <w:szCs w:val="18"/>
              </w:rPr>
              <w:lastRenderedPageBreak/>
              <w:t>Articolul 9</w:t>
            </w:r>
          </w:p>
          <w:p w:rsidR="00D146AC" w:rsidRDefault="00D146AC" w:rsidP="00DA725A">
            <w:pPr>
              <w:shd w:val="clear" w:color="auto" w:fill="FFFFFF"/>
              <w:jc w:val="center"/>
              <w:rPr>
                <w:b/>
                <w:bCs/>
                <w:sz w:val="18"/>
                <w:szCs w:val="18"/>
              </w:rPr>
            </w:pPr>
            <w:r w:rsidRPr="00286F2C">
              <w:rPr>
                <w:b/>
                <w:bCs/>
                <w:sz w:val="18"/>
                <w:szCs w:val="18"/>
              </w:rPr>
              <w:t>Ajustarea tarifelor în punctele de intrare dinspre instalațiile de înmagazinare și în punctele de ieșire către acestea și în punctele de intrare dinspre instalațiile GNL și infrastructurile care pun capăt izolării</w:t>
            </w:r>
          </w:p>
          <w:p w:rsidR="00A16F6F" w:rsidRPr="00286F2C" w:rsidRDefault="00A16F6F" w:rsidP="00DA725A">
            <w:pPr>
              <w:shd w:val="clear" w:color="auto" w:fill="FFFFFF"/>
              <w:jc w:val="center"/>
              <w:rPr>
                <w:b/>
                <w:bCs/>
                <w:sz w:val="18"/>
                <w:szCs w:val="18"/>
              </w:rPr>
            </w:pPr>
          </w:p>
          <w:p w:rsidR="00D146AC" w:rsidRPr="00D82EE4" w:rsidRDefault="00D146AC" w:rsidP="00DA725A">
            <w:pPr>
              <w:shd w:val="clear" w:color="auto" w:fill="FFFFFF"/>
              <w:jc w:val="both"/>
              <w:rPr>
                <w:sz w:val="18"/>
                <w:szCs w:val="18"/>
                <w:lang w:val="it-IT"/>
              </w:rPr>
            </w:pPr>
            <w:r w:rsidRPr="00D82EE4">
              <w:rPr>
                <w:sz w:val="18"/>
                <w:szCs w:val="18"/>
                <w:lang w:val="it-IT"/>
              </w:rPr>
              <w:t>(1)   Tarifelor de transport bazate pe capacitate li se aplică, în punctele de intrare dinspre instalațiile de înmagazinare și în punctele de ieșire către acestea, un discount de cel puțin 50 %, cu excepția cazului și în măsura în care o instalație de înmagazinare care este conectată la mai multe rețele de transport sau de distribuție este utilizată pentru a concura cu un punct de interconectare.</w:t>
            </w:r>
          </w:p>
          <w:p w:rsidR="00A16F6F" w:rsidRDefault="00A16F6F"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(2)   La punctele de intrare dinspre instalațiile GNL și la punctele de intrare dinspre și de ieșire către infrastructurile dezvoltate cu scopul de a pune capăt izolării statelor membre în ceea ce privește sistemele lor de transport de gaze, se poate aplica un discount respectivelor tarife de transport bazate pe capacitate în scopul sporirii securității aprovizionării.</w:t>
            </w:r>
          </w:p>
        </w:tc>
        <w:tc>
          <w:tcPr>
            <w:tcW w:w="4962" w:type="dxa"/>
          </w:tcPr>
          <w:p w:rsidR="00D146AC" w:rsidRPr="00043955" w:rsidRDefault="00D146AC" w:rsidP="00A6777D">
            <w:pPr>
              <w:jc w:val="center"/>
              <w:rPr>
                <w:b/>
                <w:sz w:val="18"/>
                <w:szCs w:val="18"/>
                <w:lang w:val="ro-RO"/>
              </w:rPr>
            </w:pPr>
            <w:r w:rsidRPr="00043955">
              <w:rPr>
                <w:b/>
                <w:sz w:val="18"/>
                <w:szCs w:val="18"/>
                <w:lang w:val="ro-RO"/>
              </w:rPr>
              <w:t>Secțiunea 4</w:t>
            </w:r>
          </w:p>
          <w:p w:rsidR="00D146AC" w:rsidRPr="00043955" w:rsidRDefault="00D146AC" w:rsidP="00DA725A">
            <w:pPr>
              <w:jc w:val="center"/>
              <w:rPr>
                <w:b/>
                <w:sz w:val="18"/>
                <w:szCs w:val="18"/>
                <w:lang w:val="ro-RO"/>
              </w:rPr>
            </w:pPr>
            <w:r w:rsidRPr="00043955">
              <w:rPr>
                <w:b/>
                <w:sz w:val="18"/>
                <w:szCs w:val="18"/>
                <w:lang w:val="ro-RO"/>
              </w:rPr>
              <w:t>Ajustarea tarifelor în punctele de intrare spre instalațiile de înmagazinare și în punctele de ieșire către acestea și în punctele de intrare spre instalațiile GNL și infrastructurile care pun capăt izolării</w:t>
            </w:r>
          </w:p>
          <w:p w:rsidR="00D146AC" w:rsidRPr="00043955" w:rsidRDefault="00D146AC" w:rsidP="00DA725A">
            <w:pPr>
              <w:jc w:val="both"/>
              <w:rPr>
                <w:b/>
                <w:sz w:val="18"/>
                <w:szCs w:val="18"/>
                <w:lang w:val="ro-RO"/>
              </w:rPr>
            </w:pPr>
          </w:p>
          <w:p w:rsidR="00A6777D" w:rsidRPr="00380C00" w:rsidRDefault="00A6777D" w:rsidP="00A6777D">
            <w:pPr>
              <w:tabs>
                <w:tab w:val="left" w:pos="709"/>
              </w:tabs>
              <w:jc w:val="both"/>
              <w:outlineLvl w:val="0"/>
              <w:rPr>
                <w:sz w:val="18"/>
                <w:szCs w:val="18"/>
                <w:lang w:val="it-IT"/>
              </w:rPr>
            </w:pPr>
            <w:r w:rsidRPr="00380C00">
              <w:rPr>
                <w:b/>
                <w:bCs/>
                <w:sz w:val="18"/>
                <w:szCs w:val="18"/>
                <w:lang w:val="it-IT"/>
              </w:rPr>
              <w:t>341.</w:t>
            </w:r>
            <w:r w:rsidRPr="00380C00">
              <w:rPr>
                <w:sz w:val="18"/>
                <w:szCs w:val="18"/>
                <w:lang w:val="it-IT"/>
              </w:rPr>
              <w:t xml:space="preserve"> Tarifelor pentru serviciul de transport bazate pe capacitate li se aplică, în punctele de intrare spre depozitele de stocare şi în punctele de ieşire dinspre acestea, o reducere de cel puţin 50%, cu excepţia cazului şi în măsura în care un depozit de stocare care este conectat la mai multe reţele de transport sau de distribuţie este utilizat pentru a concura cu un punct de interconectare.</w:t>
            </w:r>
          </w:p>
          <w:p w:rsidR="00A6777D" w:rsidRPr="00380C00" w:rsidRDefault="00A6777D" w:rsidP="00A6777D">
            <w:pPr>
              <w:tabs>
                <w:tab w:val="left" w:pos="709"/>
              </w:tabs>
              <w:jc w:val="both"/>
              <w:outlineLvl w:val="0"/>
              <w:rPr>
                <w:sz w:val="18"/>
                <w:szCs w:val="18"/>
                <w:lang w:val="it-IT"/>
              </w:rPr>
            </w:pPr>
            <w:r w:rsidRPr="00380C00">
              <w:rPr>
                <w:b/>
                <w:bCs/>
                <w:sz w:val="18"/>
                <w:szCs w:val="18"/>
                <w:lang w:val="it-IT"/>
              </w:rPr>
              <w:t>342.</w:t>
            </w:r>
            <w:r w:rsidRPr="00380C00">
              <w:rPr>
                <w:sz w:val="18"/>
                <w:szCs w:val="18"/>
                <w:lang w:val="it-IT"/>
              </w:rPr>
              <w:t xml:space="preserve"> La punctele de intrare spre instalaţiile GNL şi la punctele de intrare spre şi de ieşire către infrastructurile dezvoltate cu scopul de a pune capăt izolării Părţilor Contractante în ceea ce priveşte sistemele lor de transport de gaze naturale, se poate aplica o reducere a tarifelor respective pentru serviciul de transport bazate pe capacitate în scopul sporirii securităţii aprovizionării.</w:t>
            </w:r>
          </w:p>
          <w:p w:rsidR="00D146AC" w:rsidRPr="00380C00" w:rsidRDefault="00D146AC" w:rsidP="00DA725A">
            <w:pPr>
              <w:shd w:val="clear" w:color="auto" w:fill="FFFFFF"/>
              <w:jc w:val="both"/>
              <w:rPr>
                <w:b/>
                <w:bCs/>
                <w:sz w:val="18"/>
                <w:szCs w:val="18"/>
                <w:lang w:val="it-IT"/>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571AC8" w:rsidRPr="00E84D74" w:rsidRDefault="00571AC8" w:rsidP="00DA725A">
            <w:pPr>
              <w:spacing w:line="259" w:lineRule="auto"/>
              <w:ind w:right="37"/>
              <w:jc w:val="center"/>
              <w:rPr>
                <w:sz w:val="18"/>
                <w:szCs w:val="18"/>
              </w:rPr>
            </w:pPr>
            <w:r w:rsidRPr="00E84D74">
              <w:rPr>
                <w:rFonts w:eastAsia="Calibri"/>
                <w:b/>
                <w:i/>
                <w:sz w:val="18"/>
                <w:szCs w:val="18"/>
              </w:rPr>
              <w:t>Article 9</w:t>
            </w:r>
          </w:p>
          <w:p w:rsidR="00D146AC" w:rsidRPr="00E84D74" w:rsidRDefault="00571AC8" w:rsidP="00DA725A">
            <w:pPr>
              <w:jc w:val="center"/>
              <w:rPr>
                <w:b/>
                <w:sz w:val="18"/>
                <w:szCs w:val="18"/>
              </w:rPr>
            </w:pPr>
            <w:r w:rsidRPr="00E84D74">
              <w:rPr>
                <w:b/>
                <w:sz w:val="18"/>
                <w:szCs w:val="18"/>
              </w:rPr>
              <w:t>Adjustments of tariffs at entry points from and exit points to storage facilities and at entry points from LNG facilities and infrastructure ending isolation</w:t>
            </w:r>
          </w:p>
          <w:p w:rsidR="00571AC8" w:rsidRPr="00E84D74" w:rsidRDefault="00571AC8" w:rsidP="00DA725A">
            <w:pPr>
              <w:jc w:val="both"/>
              <w:rPr>
                <w:b/>
                <w:sz w:val="18"/>
                <w:szCs w:val="18"/>
              </w:rPr>
            </w:pPr>
          </w:p>
          <w:p w:rsidR="006C7F0C" w:rsidRPr="00E84D74" w:rsidRDefault="006C7F0C" w:rsidP="00A16F6F">
            <w:pPr>
              <w:numPr>
                <w:ilvl w:val="0"/>
                <w:numId w:val="49"/>
              </w:numPr>
              <w:tabs>
                <w:tab w:val="left" w:pos="180"/>
              </w:tabs>
              <w:jc w:val="both"/>
              <w:rPr>
                <w:sz w:val="18"/>
                <w:szCs w:val="18"/>
              </w:rPr>
            </w:pPr>
            <w:r w:rsidRPr="00E84D74">
              <w:rPr>
                <w:sz w:val="18"/>
                <w:szCs w:val="18"/>
              </w:rPr>
              <w:t>A discount of at least 50% shall be applied to capacity-based transmission tariffs at entry points from and exit points to storage facilities, unless and to the extent a storage facility which is connected to more than one transmission or distribution network is used to compete with an interconnection point.</w:t>
            </w:r>
          </w:p>
          <w:p w:rsidR="00A16F6F" w:rsidRDefault="00A16F6F" w:rsidP="00A16F6F">
            <w:pPr>
              <w:ind w:left="10"/>
              <w:jc w:val="both"/>
              <w:rPr>
                <w:sz w:val="18"/>
                <w:szCs w:val="18"/>
              </w:rPr>
            </w:pPr>
          </w:p>
          <w:p w:rsidR="006C7F0C" w:rsidRPr="00E84D74" w:rsidRDefault="006C7F0C" w:rsidP="00A16F6F">
            <w:pPr>
              <w:numPr>
                <w:ilvl w:val="0"/>
                <w:numId w:val="49"/>
              </w:numPr>
              <w:tabs>
                <w:tab w:val="left" w:pos="180"/>
              </w:tabs>
              <w:ind w:left="38" w:hanging="28"/>
              <w:jc w:val="both"/>
              <w:rPr>
                <w:sz w:val="18"/>
                <w:szCs w:val="18"/>
              </w:rPr>
            </w:pPr>
            <w:r w:rsidRPr="00E84D74">
              <w:rPr>
                <w:sz w:val="18"/>
                <w:szCs w:val="18"/>
              </w:rPr>
              <w:t>At entry points from LNG facilities, and at entry points from and exit points to infrastructure developed with the purpose of ending the isolation of Contracting Parties in respect of their gas transmission systems, a discount may be applied to the respective capacity-based transmission tariffs for the purposes of increasing security of supply.</w:t>
            </w:r>
          </w:p>
          <w:p w:rsidR="00571AC8" w:rsidRPr="00E84D74" w:rsidRDefault="00571AC8" w:rsidP="00DA725A">
            <w:pPr>
              <w:jc w:val="both"/>
              <w:rPr>
                <w:b/>
                <w:sz w:val="18"/>
                <w:szCs w:val="18"/>
              </w:rPr>
            </w:pPr>
          </w:p>
        </w:tc>
      </w:tr>
      <w:tr w:rsidR="00D146AC" w:rsidRPr="00043955" w:rsidTr="00FC3840">
        <w:trPr>
          <w:trHeight w:val="1240"/>
        </w:trPr>
        <w:tc>
          <w:tcPr>
            <w:tcW w:w="5245" w:type="dxa"/>
          </w:tcPr>
          <w:p w:rsidR="00D146AC" w:rsidRPr="00C22E45" w:rsidRDefault="00D146AC" w:rsidP="00DA725A">
            <w:pPr>
              <w:shd w:val="clear" w:color="auto" w:fill="FFFFFF"/>
              <w:jc w:val="center"/>
              <w:rPr>
                <w:b/>
                <w:i/>
                <w:iCs/>
                <w:sz w:val="18"/>
                <w:szCs w:val="18"/>
                <w:lang w:val="it-IT"/>
              </w:rPr>
            </w:pPr>
            <w:r w:rsidRPr="00C22E45">
              <w:rPr>
                <w:b/>
                <w:i/>
                <w:iCs/>
                <w:sz w:val="18"/>
                <w:szCs w:val="18"/>
                <w:lang w:val="it-IT"/>
              </w:rPr>
              <w:t>Articolul 10</w:t>
            </w:r>
          </w:p>
          <w:p w:rsidR="00D146AC" w:rsidRPr="00C22E45" w:rsidRDefault="00D146AC" w:rsidP="00DA725A">
            <w:pPr>
              <w:shd w:val="clear" w:color="auto" w:fill="FFFFFF"/>
              <w:jc w:val="center"/>
              <w:rPr>
                <w:b/>
                <w:bCs/>
                <w:sz w:val="18"/>
                <w:szCs w:val="18"/>
                <w:lang w:val="it-IT"/>
              </w:rPr>
            </w:pPr>
            <w:r w:rsidRPr="00C22E45">
              <w:rPr>
                <w:b/>
                <w:bCs/>
                <w:sz w:val="18"/>
                <w:szCs w:val="18"/>
                <w:lang w:val="it-IT"/>
              </w:rPr>
              <w:t>Norme privind sistemele de intrare/ieșire dintr-un stat membru în care sunt activi doi sau mai mulți operatori de transport și de sistem</w:t>
            </w:r>
          </w:p>
          <w:p w:rsidR="00D146AC" w:rsidRPr="00D82EE4" w:rsidRDefault="00D146AC" w:rsidP="00DA725A">
            <w:pPr>
              <w:shd w:val="clear" w:color="auto" w:fill="FFFFFF"/>
              <w:jc w:val="both"/>
              <w:rPr>
                <w:sz w:val="18"/>
                <w:szCs w:val="18"/>
                <w:lang w:val="it-IT"/>
              </w:rPr>
            </w:pPr>
            <w:r w:rsidRPr="00D82EE4">
              <w:rPr>
                <w:sz w:val="18"/>
                <w:szCs w:val="18"/>
                <w:lang w:val="it-IT"/>
              </w:rPr>
              <w:t>(1)   În conformitate cu articolul 6 alineatul (3), toți operatorii de transport și de sistem din cadrul unui sistem de intrare/ieșire dintr-un stat membru aplică, în comun, aceeași metodologie de stabilire a prețurilor de referință.</w:t>
            </w:r>
          </w:p>
          <w:p w:rsidR="00D146AC" w:rsidRPr="00D82EE4" w:rsidRDefault="00D146AC" w:rsidP="00DA725A">
            <w:pPr>
              <w:shd w:val="clear" w:color="auto" w:fill="FFFFFF"/>
              <w:jc w:val="both"/>
              <w:rPr>
                <w:sz w:val="18"/>
                <w:szCs w:val="18"/>
                <w:lang w:val="it-IT"/>
              </w:rPr>
            </w:pPr>
            <w:r w:rsidRPr="00D82EE4">
              <w:rPr>
                <w:sz w:val="18"/>
                <w:szCs w:val="18"/>
                <w:lang w:val="it-IT"/>
              </w:rPr>
              <w:t>(2)   Ca o excepție de la alineatul (1) și sub rezerva alineatului (3), autoritatea națională de reglementare poate decide: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5" w:type="dxa"/>
                  <w:shd w:val="clear" w:color="auto" w:fill="FFFFFF"/>
                  <w:hideMark/>
                </w:tcPr>
                <w:p w:rsidR="00D146AC" w:rsidRDefault="00D146AC" w:rsidP="00DA725A">
                  <w:pPr>
                    <w:jc w:val="both"/>
                    <w:rPr>
                      <w:sz w:val="18"/>
                      <w:szCs w:val="18"/>
                      <w:lang w:val="it-IT"/>
                    </w:rPr>
                  </w:pPr>
                  <w:r w:rsidRPr="00D82EE4">
                    <w:rPr>
                      <w:sz w:val="18"/>
                      <w:szCs w:val="18"/>
                      <w:lang w:val="it-IT"/>
                    </w:rPr>
                    <w:t>că fiecare operator de transport și de sistem din cadrul unui sistem de intrare/ieșire trebuie să aplice separat aceeași metodologie de stabilire a prețurilor de referință;</w:t>
                  </w:r>
                </w:p>
                <w:p w:rsidR="00A16F6F" w:rsidRPr="00D82EE4" w:rsidRDefault="00A16F6F" w:rsidP="00DA725A">
                  <w:pPr>
                    <w:jc w:val="both"/>
                    <w:rPr>
                      <w:sz w:val="18"/>
                      <w:szCs w:val="18"/>
                      <w:lang w:val="it-IT"/>
                    </w:rPr>
                  </w:pP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Default="00D146AC" w:rsidP="00DA725A">
                  <w:pPr>
                    <w:jc w:val="both"/>
                    <w:rPr>
                      <w:sz w:val="18"/>
                      <w:szCs w:val="18"/>
                      <w:lang w:val="it-IT"/>
                    </w:rPr>
                  </w:pPr>
                  <w:r w:rsidRPr="00D82EE4">
                    <w:rPr>
                      <w:sz w:val="18"/>
                      <w:szCs w:val="18"/>
                      <w:lang w:val="it-IT"/>
                    </w:rPr>
                    <w:t xml:space="preserve">ca o excepție de la articolul 6 alineatul (3), în momentul planificării fuziunilor sistemelor de intrare/ieșire, cu privire la etapele intermediare care permit aplicarea separată a diferitelor metodologii de stabilire a prețurilor de referință de către fiecare operator de transport și de sistem din cadrul sistemelor de intrare/ieșire în cauză. Această decizie stabilește perioada de aplicare a etapelor </w:t>
                  </w:r>
                  <w:r w:rsidRPr="00D82EE4">
                    <w:rPr>
                      <w:sz w:val="18"/>
                      <w:szCs w:val="18"/>
                      <w:lang w:val="it-IT"/>
                    </w:rPr>
                    <w:lastRenderedPageBreak/>
                    <w:t>intermediare. Înainte de implementarea acestor etape intermediare, autoritatea națională de reglementare sau operatorii de transport și de sistem, conform deciziei autorității naționale de reglementare, efectuează o evaluare a impactului și o analiză cost-beneficiu.</w:t>
                  </w:r>
                </w:p>
                <w:p w:rsidR="00A16F6F" w:rsidRDefault="00A16F6F" w:rsidP="00DA725A">
                  <w:pPr>
                    <w:jc w:val="both"/>
                    <w:rPr>
                      <w:sz w:val="18"/>
                      <w:szCs w:val="18"/>
                      <w:lang w:val="it-IT"/>
                    </w:rPr>
                  </w:pPr>
                </w:p>
                <w:p w:rsidR="00A16F6F" w:rsidRPr="00D82EE4" w:rsidRDefault="00A16F6F"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lastRenderedPageBreak/>
              <w:t>Ca urmare a aplicării separate a diferitelor metodologii de stabilire a prețurilor de referință, venitul aferent serviciilor de transport ale operatorilor de transport și de sistem implicați se ajustează în consecință.</w:t>
            </w:r>
          </w:p>
          <w:p w:rsidR="00D146AC" w:rsidRPr="00D82EE4" w:rsidRDefault="00D146AC" w:rsidP="00DA725A">
            <w:pPr>
              <w:shd w:val="clear" w:color="auto" w:fill="FFFFFF"/>
              <w:jc w:val="both"/>
              <w:rPr>
                <w:sz w:val="18"/>
                <w:szCs w:val="18"/>
                <w:lang w:val="it-IT"/>
              </w:rPr>
            </w:pPr>
            <w:r w:rsidRPr="00D82EE4">
              <w:rPr>
                <w:sz w:val="18"/>
                <w:szCs w:val="18"/>
                <w:lang w:val="it-IT"/>
              </w:rPr>
              <w:t>(3)   Pentru a permite aplicarea corespunzătoare, în comun, a aceleiași metodologii de stabilire a prețurilor de referință, trebuie instituit un mecanism eficace de compensare între operatorii de transport și de sistem.</w:t>
            </w:r>
          </w:p>
          <w:p w:rsidR="00D146AC" w:rsidRPr="00D82EE4" w:rsidRDefault="00D146AC" w:rsidP="00DA725A">
            <w:pPr>
              <w:shd w:val="clear" w:color="auto" w:fill="FFFFFF"/>
              <w:jc w:val="both"/>
              <w:rPr>
                <w:sz w:val="18"/>
                <w:szCs w:val="18"/>
                <w:lang w:val="it-IT"/>
              </w:rPr>
            </w:pPr>
            <w:r w:rsidRPr="00D82EE4">
              <w:rPr>
                <w:sz w:val="18"/>
                <w:szCs w:val="18"/>
                <w:lang w:val="it-IT"/>
              </w:rPr>
              <w:t>Decizia menționată la alineatul (2) litera (a) sau, respectiv, la alineatul (2) litera (b) poate fi luată în cazul în care sunt îndeplinite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81"/>
              <w:gridCol w:w="4906"/>
            </w:tblGrid>
            <w:tr w:rsidR="00D146AC" w:rsidRPr="00C27D66" w:rsidTr="00775DAD">
              <w:tc>
                <w:tcPr>
                  <w:tcW w:w="4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706"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se instituie un mecanism eficace de compensare între operatorii de transport și de sistem, care are drept scop:</w:t>
                  </w:r>
                </w:p>
                <w:tbl>
                  <w:tblPr>
                    <w:tblW w:w="5000" w:type="pct"/>
                    <w:tblLayout w:type="fixed"/>
                    <w:tblCellMar>
                      <w:left w:w="0" w:type="dxa"/>
                      <w:right w:w="0" w:type="dxa"/>
                    </w:tblCellMar>
                    <w:tblLook w:val="04A0" w:firstRow="1" w:lastRow="0" w:firstColumn="1" w:lastColumn="0" w:noHBand="0" w:noVBand="1"/>
                  </w:tblPr>
                  <w:tblGrid>
                    <w:gridCol w:w="102"/>
                    <w:gridCol w:w="39"/>
                    <w:gridCol w:w="4846"/>
                  </w:tblGrid>
                  <w:tr w:rsidR="00D146AC" w:rsidRPr="00043955" w:rsidTr="00775DAD">
                    <w:tc>
                      <w:tcPr>
                        <w:tcW w:w="96" w:type="dxa"/>
                        <w:shd w:val="clear" w:color="auto" w:fill="auto"/>
                        <w:hideMark/>
                      </w:tcPr>
                      <w:p w:rsidR="00D146AC" w:rsidRPr="00043955" w:rsidRDefault="00D146AC" w:rsidP="00DA725A">
                        <w:pPr>
                          <w:jc w:val="both"/>
                          <w:rPr>
                            <w:sz w:val="18"/>
                            <w:szCs w:val="18"/>
                          </w:rPr>
                        </w:pPr>
                        <w:r w:rsidRPr="00043955">
                          <w:rPr>
                            <w:sz w:val="18"/>
                            <w:szCs w:val="18"/>
                          </w:rPr>
                          <w:t>(i)</w:t>
                        </w:r>
                      </w:p>
                    </w:tc>
                    <w:tc>
                      <w:tcPr>
                        <w:tcW w:w="4610" w:type="dxa"/>
                        <w:gridSpan w:val="2"/>
                        <w:shd w:val="clear" w:color="auto" w:fill="auto"/>
                        <w:hideMark/>
                      </w:tcPr>
                      <w:p w:rsidR="00D146AC" w:rsidRPr="00043955" w:rsidRDefault="00D146AC" w:rsidP="00DA725A">
                        <w:pPr>
                          <w:jc w:val="both"/>
                          <w:rPr>
                            <w:sz w:val="18"/>
                            <w:szCs w:val="18"/>
                          </w:rPr>
                        </w:pPr>
                        <w:r w:rsidRPr="00043955">
                          <w:rPr>
                            <w:sz w:val="18"/>
                            <w:szCs w:val="18"/>
                          </w:rPr>
                          <w:t>să prevină efectele negative asupra venitului aferent serviciilor de transport ale operatorilor de transport și de sistem implicați;</w:t>
                        </w:r>
                      </w:p>
                    </w:tc>
                  </w:tr>
                  <w:tr w:rsidR="00D146AC" w:rsidRPr="00C27D66" w:rsidTr="00775DAD">
                    <w:tc>
                      <w:tcPr>
                        <w:tcW w:w="133" w:type="dxa"/>
                        <w:gridSpan w:val="2"/>
                        <w:shd w:val="clear" w:color="auto" w:fill="auto"/>
                        <w:hideMark/>
                      </w:tcPr>
                      <w:p w:rsidR="00D146AC" w:rsidRPr="00043955" w:rsidRDefault="00D146AC" w:rsidP="00DA725A">
                        <w:pPr>
                          <w:jc w:val="both"/>
                          <w:rPr>
                            <w:sz w:val="18"/>
                            <w:szCs w:val="18"/>
                          </w:rPr>
                        </w:pPr>
                        <w:r w:rsidRPr="00043955">
                          <w:rPr>
                            <w:sz w:val="18"/>
                            <w:szCs w:val="18"/>
                          </w:rPr>
                          <w:t>(ii)</w:t>
                        </w:r>
                      </w:p>
                    </w:tc>
                    <w:tc>
                      <w:tcPr>
                        <w:tcW w:w="4573" w:type="dxa"/>
                        <w:shd w:val="clear" w:color="auto" w:fill="auto"/>
                        <w:hideMark/>
                      </w:tcPr>
                      <w:p w:rsidR="00D146AC" w:rsidRPr="00D82EE4" w:rsidRDefault="00D146AC" w:rsidP="00DA725A">
                        <w:pPr>
                          <w:jc w:val="both"/>
                          <w:rPr>
                            <w:sz w:val="18"/>
                            <w:szCs w:val="18"/>
                            <w:lang w:val="it-IT"/>
                          </w:rPr>
                        </w:pPr>
                        <w:r w:rsidRPr="00D82EE4">
                          <w:rPr>
                            <w:sz w:val="18"/>
                            <w:szCs w:val="18"/>
                            <w:lang w:val="it-IT"/>
                          </w:rPr>
                          <w:t>să evite subvenționarea încrucișată între utilizarea rețelei în interiorul sistemului și utilizarea rețelei între sisteme;</w:t>
                        </w:r>
                      </w:p>
                    </w:tc>
                  </w:tr>
                </w:tbl>
                <w:p w:rsidR="00D146AC" w:rsidRPr="00D82EE4" w:rsidRDefault="00D146AC" w:rsidP="00DA725A">
                  <w:pPr>
                    <w:jc w:val="both"/>
                    <w:rPr>
                      <w:sz w:val="18"/>
                      <w:szCs w:val="18"/>
                      <w:lang w:val="it-IT"/>
                    </w:rPr>
                  </w:pPr>
                </w:p>
              </w:tc>
            </w:tr>
            <w:tr w:rsidR="00D146AC" w:rsidRPr="00043955" w:rsidTr="00775DAD">
              <w:tc>
                <w:tcPr>
                  <w:tcW w:w="116" w:type="dxa"/>
                  <w:gridSpan w:val="2"/>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Pr="00043955" w:rsidRDefault="00D146AC" w:rsidP="00DA725A">
                  <w:pPr>
                    <w:jc w:val="both"/>
                    <w:rPr>
                      <w:sz w:val="18"/>
                      <w:szCs w:val="18"/>
                    </w:rPr>
                  </w:pPr>
                  <w:r w:rsidRPr="00043955">
                    <w:rPr>
                      <w:sz w:val="18"/>
                      <w:szCs w:val="18"/>
                    </w:rPr>
                    <w:t>prin această aplicare separată se asigură faptul că costurile corespund celor aplicate de un operator eficient de transport și de sistem.</w:t>
                  </w:r>
                </w:p>
              </w:tc>
            </w:tr>
          </w:tbl>
          <w:p w:rsidR="00D146AC" w:rsidRDefault="00D146AC" w:rsidP="00DA725A">
            <w:pPr>
              <w:shd w:val="clear" w:color="auto" w:fill="FFFFFF"/>
              <w:jc w:val="both"/>
              <w:rPr>
                <w:sz w:val="18"/>
                <w:szCs w:val="18"/>
                <w:lang w:val="it-IT"/>
              </w:rPr>
            </w:pPr>
            <w:r w:rsidRPr="00D82EE4">
              <w:rPr>
                <w:sz w:val="18"/>
                <w:szCs w:val="18"/>
                <w:lang w:val="it-IT"/>
              </w:rPr>
              <w:t>(4)   Perioada maximă stabilită în decizia menționată la alineatul (2) litera (a) sau, respectiv, la alineatul (2) litera (b) trebuie să fie de cel mult cinci ani de la data menționată la articolul 38 alineatul (2). Cu suficient timp înainte de data stabilită în decizia respectivă, autoritatea națională de reglementare poate decide să amâne această dată.</w:t>
            </w:r>
          </w:p>
          <w:p w:rsidR="00A15DD5" w:rsidRPr="00D82EE4" w:rsidRDefault="00A15DD5"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(5)   În paralel cu consultarea finală prevăzută la articolul 26, autoritatea națională de reglementare efectuează o consultare cu privire la principiile unui mecanism eficace de compensare între operatorii de transport și de sistem, precum cel menționat la alineatul (3), și la consecințele acestuia asupra nivelurilor de tarif. Mecanismul de compensare între operatorii de transport și de sistem se aplică în conformitate cu articolul 41 alineatul (6) litera (a) din Directiva 2009/73/CE și se publică împreună cu răspunsurile primite în cadrul consultării.</w:t>
            </w:r>
          </w:p>
          <w:p w:rsidR="00112886" w:rsidRPr="00D82EE4" w:rsidRDefault="00112886"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(6)   Prețul de rezervă menționat la articolul 22 alineatul (1) se calculează în conformitate cu dispozițiile articolului respectiv. În cazul în care se aplică alineatul (2), se efectuează următoarele două calcule: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15"/>
              <w:gridCol w:w="4891"/>
            </w:tblGrid>
            <w:tr w:rsidR="00D146AC" w:rsidRPr="00043955" w:rsidTr="00775DAD">
              <w:tc>
                <w:tcPr>
                  <w:tcW w:w="130" w:type="dxa"/>
                  <w:gridSpan w:val="2"/>
                  <w:shd w:val="clear" w:color="auto" w:fill="FFFFFF"/>
                  <w:hideMark/>
                </w:tcPr>
                <w:p w:rsidR="00D146AC" w:rsidRPr="00043955" w:rsidRDefault="00D146AC" w:rsidP="00DA725A">
                  <w:pPr>
                    <w:jc w:val="both"/>
                    <w:rPr>
                      <w:sz w:val="18"/>
                      <w:szCs w:val="18"/>
                    </w:rPr>
                  </w:pPr>
                  <w:r w:rsidRPr="00043955">
                    <w:rPr>
                      <w:sz w:val="18"/>
                      <w:szCs w:val="18"/>
                    </w:rPr>
                    <w:lastRenderedPageBreak/>
                    <w:t>(a)</w:t>
                  </w:r>
                </w:p>
              </w:tc>
              <w:tc>
                <w:tcPr>
                  <w:tcW w:w="4616" w:type="dxa"/>
                  <w:shd w:val="clear" w:color="auto" w:fill="FFFFFF"/>
                  <w:hideMark/>
                </w:tcPr>
                <w:p w:rsidR="00D146AC" w:rsidRPr="00043955" w:rsidRDefault="00D146AC" w:rsidP="00DA725A">
                  <w:pPr>
                    <w:jc w:val="both"/>
                    <w:rPr>
                      <w:sz w:val="18"/>
                      <w:szCs w:val="18"/>
                    </w:rPr>
                  </w:pPr>
                  <w:r w:rsidRPr="00043955">
                    <w:rPr>
                      <w:sz w:val="18"/>
                      <w:szCs w:val="18"/>
                    </w:rPr>
                    <w:t>fiecare operator de transport și de sistem implicat efectuează calculul prevăzut la articolul 22 alineatul (1);</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gridSpan w:val="2"/>
                  <w:shd w:val="clear" w:color="auto" w:fill="FFFFFF"/>
                  <w:hideMark/>
                </w:tcPr>
                <w:p w:rsidR="00D146AC" w:rsidRDefault="00D146AC" w:rsidP="00DA725A">
                  <w:pPr>
                    <w:jc w:val="both"/>
                    <w:rPr>
                      <w:sz w:val="18"/>
                      <w:szCs w:val="18"/>
                      <w:lang w:val="it-IT"/>
                    </w:rPr>
                  </w:pPr>
                  <w:r w:rsidRPr="00D82EE4">
                    <w:rPr>
                      <w:sz w:val="18"/>
                      <w:szCs w:val="18"/>
                      <w:lang w:val="it-IT"/>
                    </w:rPr>
                    <w:t>media ponderată a valorilor rezultate menționate la litera (a) se calculează în conformitate cu formula prevăzută la articolul 22 alineatul (1) litera (b), </w:t>
                  </w:r>
                  <w:r w:rsidRPr="00D82EE4">
                    <w:rPr>
                      <w:i/>
                      <w:iCs/>
                      <w:sz w:val="18"/>
                      <w:szCs w:val="18"/>
                      <w:lang w:val="it-IT"/>
                    </w:rPr>
                    <w:t>mutatis mutandis</w:t>
                  </w:r>
                  <w:r w:rsidRPr="00D82EE4">
                    <w:rPr>
                      <w:sz w:val="18"/>
                      <w:szCs w:val="18"/>
                      <w:lang w:val="it-IT"/>
                    </w:rPr>
                    <w:t>.</w:t>
                  </w:r>
                </w:p>
                <w:p w:rsidR="00112886" w:rsidRPr="00D82EE4" w:rsidRDefault="00112886"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(7)   Consultarea finală menționată la articolul 26 se efectuează de către toți operatorii de transport și de sistem, în comun, sau de către autoritatea națională de reglementare. În cazul în care se aplică alineatul (2), această consultare trebuie efectuată de către fiecare operator de transport și de sistem, în mod separat, sau de către autoritatea națională de reglementare, în conformitate cu decizia autorității naționale de reglementare.</w:t>
            </w:r>
          </w:p>
          <w:p w:rsidR="00D146AC" w:rsidRPr="00D82EE4" w:rsidRDefault="00D146AC" w:rsidP="00DA725A">
            <w:pPr>
              <w:shd w:val="clear" w:color="auto" w:fill="FFFFFF"/>
              <w:jc w:val="both"/>
              <w:rPr>
                <w:sz w:val="18"/>
                <w:szCs w:val="18"/>
                <w:lang w:val="it-IT"/>
              </w:rPr>
            </w:pPr>
            <w:r w:rsidRPr="00D82EE4">
              <w:rPr>
                <w:sz w:val="18"/>
                <w:szCs w:val="18"/>
                <w:lang w:val="it-IT"/>
              </w:rPr>
              <w:t>(8)   Informațiile menționate la articolele 29 și 30 se publică la un nivel agregat pentru toți operatorii de transport și de sistem implicați. În cazul în care se aplică alineatul (2), se iau următoarele două măsuri: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7"/>
              <w:gridCol w:w="4899"/>
            </w:tblGrid>
            <w:tr w:rsidR="00D146AC" w:rsidRPr="00043955" w:rsidTr="00775DAD">
              <w:tc>
                <w:tcPr>
                  <w:tcW w:w="123" w:type="dxa"/>
                  <w:gridSpan w:val="2"/>
                  <w:shd w:val="clear" w:color="auto" w:fill="FFFFFF"/>
                  <w:hideMark/>
                </w:tcPr>
                <w:p w:rsidR="00D146AC" w:rsidRPr="00043955" w:rsidRDefault="00D146AC" w:rsidP="00DA725A">
                  <w:pPr>
                    <w:jc w:val="both"/>
                    <w:rPr>
                      <w:sz w:val="18"/>
                      <w:szCs w:val="18"/>
                    </w:rPr>
                  </w:pPr>
                  <w:r w:rsidRPr="00043955">
                    <w:rPr>
                      <w:sz w:val="18"/>
                      <w:szCs w:val="18"/>
                    </w:rPr>
                    <w:t>(a)</w:t>
                  </w:r>
                </w:p>
              </w:tc>
              <w:tc>
                <w:tcPr>
                  <w:tcW w:w="4623" w:type="dxa"/>
                  <w:shd w:val="clear" w:color="auto" w:fill="FFFFFF"/>
                  <w:hideMark/>
                </w:tcPr>
                <w:p w:rsidR="00D146AC" w:rsidRPr="00043955" w:rsidRDefault="00D146AC" w:rsidP="00DA725A">
                  <w:pPr>
                    <w:jc w:val="both"/>
                    <w:rPr>
                      <w:sz w:val="18"/>
                      <w:szCs w:val="18"/>
                    </w:rPr>
                  </w:pPr>
                  <w:r w:rsidRPr="00043955">
                    <w:rPr>
                      <w:sz w:val="18"/>
                      <w:szCs w:val="18"/>
                    </w:rPr>
                    <w:t>informațiile respective sunt publicate în mod individual pentru fiecare operator de transport și de sistem implicat;</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informațiile cu privire la raportul intrare/ieșire menționat la articolul 30 alineatul (1) litera (b) punctul (v) subpunctul (2) pentru sistemul de intrare/ieșire sunt publicate de către autoritatea națională de reglementare.</w:t>
                  </w:r>
                </w:p>
              </w:tc>
            </w:tr>
          </w:tbl>
          <w:p w:rsidR="00D146AC" w:rsidRPr="00D82EE4" w:rsidRDefault="00D146AC" w:rsidP="00DA725A">
            <w:pPr>
              <w:shd w:val="clear" w:color="auto" w:fill="FFFFFF"/>
              <w:tabs>
                <w:tab w:val="left" w:pos="630"/>
              </w:tabs>
              <w:jc w:val="both"/>
              <w:rPr>
                <w:b/>
                <w:bCs/>
                <w:sz w:val="18"/>
                <w:szCs w:val="18"/>
                <w:lang w:val="it-IT"/>
              </w:rPr>
            </w:pP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5</w:t>
            </w:r>
          </w:p>
          <w:p w:rsidR="00D146AC" w:rsidRPr="00043955" w:rsidRDefault="00D146AC" w:rsidP="00DA725A">
            <w:pPr>
              <w:jc w:val="center"/>
              <w:rPr>
                <w:b/>
                <w:sz w:val="18"/>
                <w:szCs w:val="18"/>
                <w:lang w:val="ro-RO"/>
              </w:rPr>
            </w:pPr>
            <w:r w:rsidRPr="00043955">
              <w:rPr>
                <w:b/>
                <w:sz w:val="18"/>
                <w:szCs w:val="18"/>
                <w:lang w:val="ro-RO"/>
              </w:rPr>
              <w:t>Norme privind sistemele de intrare/ieșire dintr-o Parte Contractantă în care sunt activi doi sau mai mulți OST</w:t>
            </w:r>
          </w:p>
          <w:p w:rsidR="00C22E45" w:rsidRDefault="00C22E45" w:rsidP="00DA725A">
            <w:pPr>
              <w:tabs>
                <w:tab w:val="left" w:pos="567"/>
                <w:tab w:val="left" w:pos="851"/>
              </w:tabs>
              <w:jc w:val="both"/>
              <w:outlineLvl w:val="0"/>
              <w:rPr>
                <w:sz w:val="18"/>
                <w:szCs w:val="18"/>
                <w:lang w:val="ro-RO"/>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343.</w:t>
            </w:r>
            <w:r w:rsidRPr="00380C00">
              <w:rPr>
                <w:sz w:val="18"/>
                <w:szCs w:val="18"/>
                <w:lang w:val="it-IT"/>
              </w:rPr>
              <w:t xml:space="preserve"> În conformitate cu pct.335, toţi OST din cadrul unui sistem de intrare/ieşire dintr-o Parte Contractantă aplică aceeaşi metodă de calculare a preţurilor de referinţă.</w:t>
            </w:r>
          </w:p>
          <w:p w:rsidR="00775419" w:rsidRPr="00380C00" w:rsidRDefault="00775419" w:rsidP="00775419">
            <w:pPr>
              <w:tabs>
                <w:tab w:val="left" w:pos="567"/>
                <w:tab w:val="left" w:pos="851"/>
              </w:tabs>
              <w:jc w:val="both"/>
              <w:outlineLvl w:val="0"/>
              <w:rPr>
                <w:b/>
                <w:bCs/>
                <w:sz w:val="18"/>
                <w:szCs w:val="18"/>
                <w:lang w:val="it-IT"/>
              </w:rPr>
            </w:pPr>
          </w:p>
          <w:p w:rsidR="00775419" w:rsidRDefault="00775419" w:rsidP="00775419">
            <w:pPr>
              <w:tabs>
                <w:tab w:val="left" w:pos="567"/>
                <w:tab w:val="left" w:pos="851"/>
              </w:tabs>
              <w:jc w:val="both"/>
              <w:outlineLvl w:val="0"/>
              <w:rPr>
                <w:sz w:val="18"/>
                <w:szCs w:val="18"/>
                <w:lang w:val="it-IT"/>
              </w:rPr>
            </w:pPr>
            <w:r w:rsidRPr="00380C00">
              <w:rPr>
                <w:b/>
                <w:bCs/>
                <w:sz w:val="18"/>
                <w:szCs w:val="18"/>
                <w:lang w:val="it-IT"/>
              </w:rPr>
              <w:t>344.</w:t>
            </w:r>
            <w:r w:rsidRPr="00380C00">
              <w:rPr>
                <w:sz w:val="18"/>
                <w:szCs w:val="18"/>
                <w:lang w:val="it-IT"/>
              </w:rPr>
              <w:t xml:space="preserve"> Ca o excepţie de la pct.343 şi în conformitate cu pct.345, Agenţia are dreptul să decidă:</w:t>
            </w:r>
          </w:p>
          <w:p w:rsidR="00A16F6F" w:rsidRPr="00380C00" w:rsidRDefault="00A16F6F" w:rsidP="00775419">
            <w:pPr>
              <w:tabs>
                <w:tab w:val="left" w:pos="567"/>
                <w:tab w:val="left" w:pos="851"/>
              </w:tabs>
              <w:jc w:val="both"/>
              <w:outlineLvl w:val="0"/>
              <w:rPr>
                <w:sz w:val="18"/>
                <w:szCs w:val="18"/>
                <w:lang w:val="it-IT"/>
              </w:rPr>
            </w:pPr>
          </w:p>
          <w:p w:rsidR="00775419" w:rsidRDefault="00C54C34"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1) ca fiecare OST din cadrul unui sistem de intrare/ieşire să aplice separat aceeaşi metodă de calculare a preţurilor de referinţă;</w:t>
            </w:r>
          </w:p>
          <w:p w:rsidR="00A16F6F" w:rsidRPr="00380C00" w:rsidRDefault="00A16F6F" w:rsidP="00775419">
            <w:pPr>
              <w:tabs>
                <w:tab w:val="left" w:pos="567"/>
                <w:tab w:val="left" w:pos="851"/>
              </w:tabs>
              <w:jc w:val="both"/>
              <w:outlineLvl w:val="0"/>
              <w:rPr>
                <w:sz w:val="18"/>
                <w:szCs w:val="18"/>
                <w:lang w:val="it-IT"/>
              </w:rPr>
            </w:pPr>
          </w:p>
          <w:p w:rsidR="00775419" w:rsidRPr="00380C00" w:rsidRDefault="00C54C34"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 xml:space="preserve">2) ca o excepţie de la pct.335, în momentul planificării fuziunii sistemelor de intrare/ieşire, cu privire la etapele intermediare care permit aplicarea separată a diferitelor metode de calculare a preţurilor de referinţă de către fiecare OST din cadrul sistemelor de intrare/ieşire. Această decizie stabileşte perioada de </w:t>
            </w:r>
            <w:r w:rsidR="00775419" w:rsidRPr="00380C00">
              <w:rPr>
                <w:sz w:val="18"/>
                <w:szCs w:val="18"/>
                <w:lang w:val="it-IT"/>
              </w:rPr>
              <w:lastRenderedPageBreak/>
              <w:t>aplicare a etapelor intermediare. Înainte de implementarea acestor etape intermediare, Agenţia sau OST, desemnat de Agenţie, efectuează o evaluare a impactului şi o analiză cost-beneficiu.</w:t>
            </w:r>
          </w:p>
          <w:p w:rsidR="00775419" w:rsidRPr="00380C00" w:rsidRDefault="00775419" w:rsidP="00775419">
            <w:pPr>
              <w:tabs>
                <w:tab w:val="left" w:pos="567"/>
                <w:tab w:val="left" w:pos="851"/>
              </w:tabs>
              <w:jc w:val="both"/>
              <w:outlineLvl w:val="0"/>
              <w:rPr>
                <w:b/>
                <w:bCs/>
                <w:sz w:val="18"/>
                <w:szCs w:val="18"/>
                <w:lang w:val="it-IT"/>
              </w:rPr>
            </w:pPr>
          </w:p>
          <w:p w:rsidR="00951C81" w:rsidRPr="00380C00" w:rsidRDefault="00951C81"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345.</w:t>
            </w:r>
            <w:r w:rsidRPr="00380C00">
              <w:rPr>
                <w:sz w:val="18"/>
                <w:szCs w:val="18"/>
                <w:lang w:val="it-IT"/>
              </w:rPr>
              <w:t xml:space="preserve"> Ca urmare a aplicării separate a metodelor diferite de calculare a preţurilor de referinţă, venitul aferent serviciilor de transport ale OST implicaţi se ajustează în consecinţă.</w:t>
            </w:r>
          </w:p>
          <w:p w:rsidR="00775419" w:rsidRPr="00380C00" w:rsidRDefault="00775419"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346.</w:t>
            </w:r>
            <w:r w:rsidRPr="00380C00">
              <w:rPr>
                <w:sz w:val="18"/>
                <w:szCs w:val="18"/>
                <w:lang w:val="it-IT"/>
              </w:rPr>
              <w:t xml:space="preserve"> Pentru a permite aplicarea corespunzătoare, în comun, a aceleiaşi metode de calculare a preţurilor de referinţă, poate fi instituit un mecanism eficace de compensare între OST.</w:t>
            </w:r>
          </w:p>
          <w:p w:rsidR="00775419" w:rsidRPr="00380C00" w:rsidRDefault="00775419"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347.</w:t>
            </w:r>
            <w:r w:rsidRPr="00380C00">
              <w:rPr>
                <w:sz w:val="18"/>
                <w:szCs w:val="18"/>
                <w:lang w:val="it-IT"/>
              </w:rPr>
              <w:t xml:space="preserve"> Decizia menţionată la pct.344, subpunctul 1) sau, respectiv, la pct.344, subpunctul 2) poate fi luată în cazul în care sunt îndeplinite următoarele condiţii:</w:t>
            </w:r>
          </w:p>
          <w:p w:rsidR="00775419" w:rsidRPr="00380C00" w:rsidRDefault="00775419" w:rsidP="00775419">
            <w:pPr>
              <w:tabs>
                <w:tab w:val="left" w:pos="567"/>
                <w:tab w:val="left" w:pos="851"/>
              </w:tabs>
              <w:jc w:val="both"/>
              <w:outlineLvl w:val="0"/>
              <w:rPr>
                <w:sz w:val="18"/>
                <w:szCs w:val="18"/>
                <w:lang w:val="it-IT"/>
              </w:rPr>
            </w:pPr>
            <w:r w:rsidRPr="00380C00">
              <w:rPr>
                <w:sz w:val="18"/>
                <w:szCs w:val="18"/>
                <w:lang w:val="it-IT"/>
              </w:rPr>
              <w:t>1) se instituie un mecanism eficace de compensare între OST, care are drept scop:</w:t>
            </w:r>
          </w:p>
          <w:p w:rsidR="00775419" w:rsidRPr="00380C00" w:rsidRDefault="009747E5"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a) să prevină efectele negative asupra venitului aferent serviciilor de transport ale OST implicaţi;</w:t>
            </w:r>
          </w:p>
          <w:p w:rsidR="00775419" w:rsidRPr="00380C00" w:rsidRDefault="009747E5"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b) să evite subvenţionarea încrucişată între utilizarea reţelei în interiorul sistemului şi utilizarea reţelei între sisteme;</w:t>
            </w:r>
          </w:p>
          <w:p w:rsidR="00775419" w:rsidRPr="00380C00" w:rsidRDefault="00775419" w:rsidP="00775419">
            <w:pPr>
              <w:tabs>
                <w:tab w:val="left" w:pos="567"/>
                <w:tab w:val="left" w:pos="851"/>
              </w:tabs>
              <w:jc w:val="both"/>
              <w:outlineLvl w:val="0"/>
              <w:rPr>
                <w:sz w:val="18"/>
                <w:szCs w:val="18"/>
                <w:lang w:val="it-IT"/>
              </w:rPr>
            </w:pPr>
            <w:r w:rsidRPr="00380C00">
              <w:rPr>
                <w:sz w:val="18"/>
                <w:szCs w:val="18"/>
                <w:lang w:val="it-IT"/>
              </w:rPr>
              <w:t>2) prin această aplicare separată se asigură faptul că costurile corespund celor aplicate de un OST eficient.</w:t>
            </w:r>
          </w:p>
          <w:p w:rsidR="00775419" w:rsidRPr="00380C00" w:rsidRDefault="00775419" w:rsidP="00775419">
            <w:pPr>
              <w:tabs>
                <w:tab w:val="left" w:pos="567"/>
                <w:tab w:val="left" w:pos="851"/>
              </w:tabs>
              <w:jc w:val="both"/>
              <w:outlineLvl w:val="0"/>
              <w:rPr>
                <w:b/>
                <w:bCs/>
                <w:sz w:val="18"/>
                <w:szCs w:val="18"/>
                <w:lang w:val="it-IT"/>
              </w:rPr>
            </w:pPr>
          </w:p>
          <w:p w:rsidR="0041300E" w:rsidRPr="00380C00" w:rsidRDefault="0041300E"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348.</w:t>
            </w:r>
            <w:r w:rsidRPr="00380C00">
              <w:rPr>
                <w:sz w:val="18"/>
                <w:szCs w:val="18"/>
                <w:lang w:val="it-IT"/>
              </w:rPr>
              <w:t xml:space="preserve"> Perioada maximă stabilită în decizia menţionată la pct.344, subpunctul 1) sau, respectiv, la pct.344, subpunctul 2) trebuie să fie de cel mult 5 ani. Cu suficient timp înainte de data stabilită în Hotărârea respectivă, Agenţia poate decide să amâne această dată.</w:t>
            </w:r>
          </w:p>
          <w:p w:rsidR="00775419" w:rsidRPr="00380C00" w:rsidRDefault="00775419"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349.</w:t>
            </w:r>
            <w:r w:rsidRPr="00380C00">
              <w:rPr>
                <w:sz w:val="18"/>
                <w:szCs w:val="18"/>
                <w:lang w:val="it-IT"/>
              </w:rPr>
              <w:t xml:space="preserve"> În paralel cu consultarea finală prevăzută în pct.394-399 (Secţiunea 1, Capitolul 7 din prezentul Titlu), Agenţia efectuează o </w:t>
            </w:r>
            <w:r w:rsidRPr="00380C00">
              <w:rPr>
                <w:i/>
                <w:iCs/>
                <w:sz w:val="18"/>
                <w:szCs w:val="18"/>
                <w:lang w:val="it-IT"/>
              </w:rPr>
              <w:t>consultare</w:t>
            </w:r>
            <w:r w:rsidRPr="00380C00">
              <w:rPr>
                <w:sz w:val="18"/>
                <w:szCs w:val="18"/>
                <w:lang w:val="it-IT"/>
              </w:rPr>
              <w:t xml:space="preserve"> cu privire la principiile unui mecanism eficace de compensare între OST, precum cel menţionat la pct.346, şi la consecinţele acestuia asupra nivelurilor de tarife. Mecanismul de compensare între OST se aplică de către Agenţie şi se publică împreună cu rezultatele consultării.</w:t>
            </w:r>
          </w:p>
          <w:p w:rsidR="00775419" w:rsidRDefault="00775419" w:rsidP="00775419">
            <w:pPr>
              <w:tabs>
                <w:tab w:val="left" w:pos="567"/>
                <w:tab w:val="left" w:pos="851"/>
              </w:tabs>
              <w:jc w:val="both"/>
              <w:outlineLvl w:val="0"/>
              <w:rPr>
                <w:b/>
                <w:bCs/>
                <w:sz w:val="18"/>
                <w:szCs w:val="18"/>
                <w:lang w:val="it-IT"/>
              </w:rPr>
            </w:pPr>
          </w:p>
          <w:p w:rsidR="00112886" w:rsidRDefault="00112886" w:rsidP="00775419">
            <w:pPr>
              <w:tabs>
                <w:tab w:val="left" w:pos="567"/>
                <w:tab w:val="left" w:pos="851"/>
              </w:tabs>
              <w:jc w:val="both"/>
              <w:outlineLvl w:val="0"/>
              <w:rPr>
                <w:b/>
                <w:bCs/>
                <w:sz w:val="18"/>
                <w:szCs w:val="18"/>
                <w:lang w:val="it-IT"/>
              </w:rPr>
            </w:pPr>
          </w:p>
          <w:p w:rsidR="00112886" w:rsidRPr="00380C00" w:rsidRDefault="00112886"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350.</w:t>
            </w:r>
            <w:r w:rsidRPr="00380C00">
              <w:rPr>
                <w:sz w:val="18"/>
                <w:szCs w:val="18"/>
                <w:lang w:val="it-IT"/>
              </w:rPr>
              <w:t xml:space="preserve"> Preţul de rezervă menţionat la pct.388, subpunctul 1) se calculează în conformitate cu dispoziţiile Secţiunii respective. În cazul în care se aplică pct.344, se efectuează următoarele 2 calcule:</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1) fiecare OST implicat efectuează calculul prevăzut la pct.388;</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lastRenderedPageBreak/>
              <w:tab/>
            </w:r>
            <w:r w:rsidR="00775419" w:rsidRPr="00380C00">
              <w:rPr>
                <w:sz w:val="18"/>
                <w:szCs w:val="18"/>
                <w:lang w:val="it-IT"/>
              </w:rPr>
              <w:t>2) media ponderată a valorilor rezultate menţionate la subpunctul 1) se calculează în conformitate cu formula prevăzută la pct.388, subpunctul 2), mutatis mutandis.</w:t>
            </w:r>
          </w:p>
          <w:p w:rsidR="00942977" w:rsidRPr="00380C00" w:rsidRDefault="00942977"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351.</w:t>
            </w:r>
            <w:r w:rsidRPr="00380C00">
              <w:rPr>
                <w:sz w:val="18"/>
                <w:szCs w:val="18"/>
                <w:lang w:val="it-IT"/>
              </w:rPr>
              <w:t xml:space="preserve"> Consultarea finală menţionată la pct.394-399 (Secţiunea 1, Capitolul 7 din prezentul Titlu) se efectuează de către toţi OST, în comun, sau de către Agenţie. În cazul în care se aplică pct.343, această consultare trebuie efectuată de către fiecare OST, în mod separat, sau de către Agenţie, în conformitate cu Hotărârea ANRE.</w:t>
            </w:r>
          </w:p>
          <w:p w:rsidR="00942977" w:rsidRPr="00380C00" w:rsidRDefault="00942977"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352.</w:t>
            </w:r>
            <w:r w:rsidRPr="00380C00">
              <w:rPr>
                <w:sz w:val="18"/>
                <w:szCs w:val="18"/>
                <w:lang w:val="it-IT"/>
              </w:rPr>
              <w:t xml:space="preserve"> Informaţiile menţionate la pct.407-411 (Secţiunea 1, Secţiunea 2, Capitolul VIII din prezentul Titlu) se publică la un nivel agregat pentru toţi OST implicaţi. În cazul în care se aplică pct.344 se iau următoarele 2 măsuri:</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1) informaţiile respective sunt publicate în mod individual pentru fiecare OST implicat;</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 xml:space="preserve">2) informaţiile cu privire la raportul intrare/ieşire menţionat la pct.409, subpunctul 5), lit.b) pentru sistemul de intrare/ieşire sunt publicate de către Agenţie. </w:t>
            </w:r>
          </w:p>
          <w:p w:rsidR="00D146AC" w:rsidRPr="00043955" w:rsidRDefault="00D146AC" w:rsidP="00775419">
            <w:pPr>
              <w:tabs>
                <w:tab w:val="left" w:pos="851"/>
              </w:tabs>
              <w:ind w:firstLine="709"/>
              <w:jc w:val="both"/>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775419" w:rsidRPr="00D82EE4" w:rsidRDefault="00775419"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0673E0" w:rsidRDefault="000673E0" w:rsidP="00DA725A">
            <w:pPr>
              <w:jc w:val="both"/>
              <w:rPr>
                <w:b/>
                <w:sz w:val="18"/>
                <w:szCs w:val="18"/>
                <w:lang w:val="it-IT"/>
              </w:rPr>
            </w:pPr>
          </w:p>
          <w:p w:rsidR="000673E0" w:rsidRDefault="000673E0" w:rsidP="00DA725A">
            <w:pPr>
              <w:jc w:val="both"/>
              <w:rPr>
                <w:b/>
                <w:sz w:val="18"/>
                <w:szCs w:val="18"/>
                <w:lang w:val="it-IT"/>
              </w:rPr>
            </w:pPr>
          </w:p>
          <w:p w:rsidR="00A16F6F" w:rsidRDefault="00A16F6F" w:rsidP="00DA725A">
            <w:pPr>
              <w:jc w:val="both"/>
              <w:rPr>
                <w:b/>
                <w:sz w:val="18"/>
                <w:szCs w:val="18"/>
                <w:lang w:val="it-IT"/>
              </w:rPr>
            </w:pPr>
          </w:p>
          <w:p w:rsidR="00A16F6F" w:rsidRDefault="00A16F6F"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5354FB" w:rsidRDefault="005354FB" w:rsidP="00DA725A">
            <w:pPr>
              <w:rPr>
                <w:sz w:val="18"/>
                <w:szCs w:val="18"/>
                <w:lang w:val="it-IT"/>
              </w:rPr>
            </w:pPr>
          </w:p>
          <w:p w:rsidR="005354FB" w:rsidRDefault="005354FB"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A15DD5" w:rsidRDefault="00A15DD5" w:rsidP="00DA725A">
            <w:pPr>
              <w:rPr>
                <w:sz w:val="18"/>
                <w:szCs w:val="18"/>
                <w:lang w:val="it-IT"/>
              </w:rPr>
            </w:pPr>
          </w:p>
          <w:p w:rsidR="00A15DD5" w:rsidRPr="00D82EE4" w:rsidRDefault="00A15DD5"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112886" w:rsidRDefault="00112886" w:rsidP="00DA725A">
            <w:pPr>
              <w:rPr>
                <w:sz w:val="18"/>
                <w:szCs w:val="18"/>
              </w:rPr>
            </w:pPr>
          </w:p>
          <w:p w:rsidR="000673E0" w:rsidRDefault="000673E0" w:rsidP="00DA725A">
            <w:pPr>
              <w:rPr>
                <w:sz w:val="18"/>
                <w:szCs w:val="18"/>
              </w:rPr>
            </w:pPr>
          </w:p>
          <w:p w:rsidR="00112886" w:rsidRDefault="00112886"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112886" w:rsidRDefault="00112886" w:rsidP="00DA725A">
            <w:pPr>
              <w:rPr>
                <w:sz w:val="18"/>
                <w:szCs w:val="18"/>
              </w:rPr>
            </w:pPr>
          </w:p>
          <w:p w:rsidR="00D146AC" w:rsidRDefault="00D146AC"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534BBB" w:rsidRDefault="00534BBB"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6C7F0C" w:rsidRPr="00E84D74" w:rsidRDefault="006C7F0C" w:rsidP="00112886">
            <w:pPr>
              <w:jc w:val="both"/>
              <w:rPr>
                <w:b/>
                <w:sz w:val="18"/>
                <w:szCs w:val="18"/>
              </w:rPr>
            </w:pPr>
            <w:r w:rsidRPr="00E84D74">
              <w:rPr>
                <w:b/>
                <w:i/>
                <w:sz w:val="18"/>
                <w:szCs w:val="18"/>
              </w:rPr>
              <w:lastRenderedPageBreak/>
              <w:t>Article 10</w:t>
            </w:r>
          </w:p>
          <w:p w:rsidR="006C7F0C" w:rsidRPr="00E84D74" w:rsidRDefault="006C7F0C" w:rsidP="00112886">
            <w:pPr>
              <w:jc w:val="both"/>
              <w:rPr>
                <w:b/>
                <w:sz w:val="18"/>
                <w:szCs w:val="18"/>
              </w:rPr>
            </w:pPr>
            <w:r w:rsidRPr="00E84D74">
              <w:rPr>
                <w:b/>
                <w:sz w:val="18"/>
                <w:szCs w:val="18"/>
              </w:rPr>
              <w:t>Rules for entry-exit systems within a Contracting Party where more than one transmission system operator is active</w:t>
            </w:r>
          </w:p>
          <w:p w:rsidR="009343D5" w:rsidRPr="00E84D74" w:rsidRDefault="006C7F0C" w:rsidP="00112886">
            <w:pPr>
              <w:jc w:val="both"/>
              <w:rPr>
                <w:sz w:val="18"/>
                <w:szCs w:val="18"/>
              </w:rPr>
            </w:pPr>
            <w:r w:rsidRPr="00E84D74">
              <w:rPr>
                <w:sz w:val="18"/>
                <w:szCs w:val="18"/>
              </w:rPr>
              <w:t xml:space="preserve">1. In accordance with Article 6(3), the same reference price methodology shall be applied jointly by all transmission system operators within an entry-exit system within a Contracting Party. </w:t>
            </w:r>
          </w:p>
          <w:p w:rsidR="009343D5" w:rsidRPr="00E84D74" w:rsidRDefault="006C7F0C" w:rsidP="00112886">
            <w:pPr>
              <w:jc w:val="both"/>
              <w:rPr>
                <w:sz w:val="18"/>
                <w:szCs w:val="18"/>
              </w:rPr>
            </w:pPr>
            <w:r w:rsidRPr="00E84D74">
              <w:rPr>
                <w:sz w:val="18"/>
                <w:szCs w:val="18"/>
              </w:rPr>
              <w:t xml:space="preserve">2. As an exception to paragraph 1 and subject to paragraph 3, the national regulatory authority may decide: </w:t>
            </w:r>
          </w:p>
          <w:p w:rsidR="009343D5" w:rsidRPr="00E84D74" w:rsidRDefault="009343D5" w:rsidP="00112886">
            <w:pPr>
              <w:jc w:val="both"/>
              <w:rPr>
                <w:sz w:val="18"/>
                <w:szCs w:val="18"/>
              </w:rPr>
            </w:pPr>
            <w:r w:rsidRPr="00E84D74">
              <w:rPr>
                <w:sz w:val="18"/>
                <w:szCs w:val="18"/>
              </w:rPr>
              <w:tab/>
            </w:r>
            <w:r w:rsidR="006C7F0C" w:rsidRPr="00E84D74">
              <w:rPr>
                <w:sz w:val="18"/>
                <w:szCs w:val="18"/>
              </w:rPr>
              <w:t xml:space="preserve">(a) that the same reference price methodology is applied separately by each transmission system operator within an entry-exit system; </w:t>
            </w:r>
          </w:p>
          <w:p w:rsidR="00502BC4" w:rsidRPr="00E84D74" w:rsidRDefault="009343D5" w:rsidP="00112886">
            <w:pPr>
              <w:jc w:val="both"/>
              <w:rPr>
                <w:sz w:val="18"/>
                <w:szCs w:val="18"/>
              </w:rPr>
            </w:pPr>
            <w:r w:rsidRPr="00E84D74">
              <w:rPr>
                <w:sz w:val="18"/>
                <w:szCs w:val="18"/>
              </w:rPr>
              <w:tab/>
            </w:r>
            <w:r w:rsidR="006C7F0C" w:rsidRPr="00E84D74">
              <w:rPr>
                <w:sz w:val="18"/>
                <w:szCs w:val="18"/>
              </w:rPr>
              <w:t xml:space="preserve">(b) as an exception to Article 6(3), when planning entry-exit system mergers, on intermediate steps allowing for different reference price methodologies to be applied separately by each transmission system operator within the entry-exit systems concerned. Such a decision shall set out the time </w:t>
            </w:r>
            <w:r w:rsidR="006C7F0C" w:rsidRPr="00E84D74">
              <w:rPr>
                <w:sz w:val="18"/>
                <w:szCs w:val="18"/>
              </w:rPr>
              <w:lastRenderedPageBreak/>
              <w:t xml:space="preserve">period for the application of the intermediate steps. The national regulatory authority or the transmission system operators, as decided by the national regulatory authority, shall carry out an impact assessment and a cost benefit analysis prior to implementing such intermediate steps. </w:t>
            </w:r>
          </w:p>
          <w:p w:rsidR="00502BC4" w:rsidRPr="00E84D74" w:rsidRDefault="006C7F0C" w:rsidP="00112886">
            <w:pPr>
              <w:jc w:val="both"/>
              <w:rPr>
                <w:sz w:val="18"/>
                <w:szCs w:val="18"/>
              </w:rPr>
            </w:pPr>
            <w:r w:rsidRPr="00E84D74">
              <w:rPr>
                <w:sz w:val="18"/>
                <w:szCs w:val="18"/>
              </w:rPr>
              <w:t xml:space="preserve">As a result of applying different reference price methodologies separately, the transmission services revenue of the transmission system operators involved shall be adjusted accordingly. </w:t>
            </w:r>
          </w:p>
          <w:p w:rsidR="006C7F0C" w:rsidRPr="00E84D74" w:rsidRDefault="006C7F0C" w:rsidP="00112886">
            <w:pPr>
              <w:jc w:val="both"/>
              <w:rPr>
                <w:sz w:val="18"/>
                <w:szCs w:val="18"/>
              </w:rPr>
            </w:pPr>
            <w:r w:rsidRPr="00E84D74">
              <w:rPr>
                <w:sz w:val="18"/>
                <w:szCs w:val="18"/>
              </w:rPr>
              <w:t>3. In order to allow for the proper application of the same reference price methodology jointly, an effective inter-transmission system operator compensation mechanism shall be established.</w:t>
            </w:r>
          </w:p>
          <w:p w:rsidR="00502BC4" w:rsidRPr="00E84D74" w:rsidRDefault="00C7753F" w:rsidP="00112886">
            <w:pPr>
              <w:jc w:val="both"/>
              <w:rPr>
                <w:sz w:val="18"/>
                <w:szCs w:val="18"/>
              </w:rPr>
            </w:pPr>
            <w:r w:rsidRPr="00E84D74">
              <w:rPr>
                <w:sz w:val="18"/>
                <w:szCs w:val="18"/>
              </w:rPr>
              <w:t>Th</w:t>
            </w:r>
            <w:r w:rsidR="00502BC4" w:rsidRPr="00E84D74">
              <w:rPr>
                <w:sz w:val="18"/>
                <w:szCs w:val="18"/>
              </w:rPr>
              <w:t xml:space="preserve">e decision referred to in paragraph 2(a) or, respectively, paragraph </w:t>
            </w:r>
            <w:r w:rsidRPr="00E84D74">
              <w:rPr>
                <w:sz w:val="18"/>
                <w:szCs w:val="18"/>
              </w:rPr>
              <w:t>2(b) may be taken where the fol</w:t>
            </w:r>
            <w:r w:rsidR="00502BC4" w:rsidRPr="00E84D74">
              <w:rPr>
                <w:sz w:val="18"/>
                <w:szCs w:val="18"/>
              </w:rPr>
              <w:t>lowing conditions are compli</w:t>
            </w:r>
            <w:r w:rsidRPr="00E84D74">
              <w:rPr>
                <w:sz w:val="18"/>
                <w:szCs w:val="18"/>
              </w:rPr>
              <w:t>ed with:</w:t>
            </w:r>
          </w:p>
          <w:p w:rsidR="00C7753F" w:rsidRPr="00E84D74" w:rsidRDefault="00C7753F" w:rsidP="00112886">
            <w:pPr>
              <w:jc w:val="both"/>
              <w:rPr>
                <w:sz w:val="18"/>
                <w:szCs w:val="18"/>
              </w:rPr>
            </w:pPr>
          </w:p>
          <w:p w:rsidR="00614A83" w:rsidRPr="00E84D74" w:rsidRDefault="00C7753F" w:rsidP="00112886">
            <w:pPr>
              <w:tabs>
                <w:tab w:val="left" w:pos="322"/>
              </w:tabs>
              <w:jc w:val="both"/>
              <w:rPr>
                <w:sz w:val="18"/>
                <w:szCs w:val="18"/>
              </w:rPr>
            </w:pPr>
            <w:r w:rsidRPr="00E84D74">
              <w:rPr>
                <w:sz w:val="18"/>
                <w:szCs w:val="18"/>
              </w:rPr>
              <w:t xml:space="preserve">(a) an effective inter-transmission system operator compensation mechanism is established with the aim to: </w:t>
            </w:r>
            <w:r w:rsidR="00614A83" w:rsidRPr="00E84D74">
              <w:rPr>
                <w:sz w:val="18"/>
                <w:szCs w:val="18"/>
              </w:rPr>
              <w:tab/>
            </w:r>
            <w:r w:rsidRPr="00E84D74">
              <w:rPr>
                <w:sz w:val="18"/>
                <w:szCs w:val="18"/>
              </w:rPr>
              <w:t xml:space="preserve">(i) prevent detrimental effects on the transmission services revenue of the transmission system operators involved; </w:t>
            </w:r>
          </w:p>
          <w:p w:rsidR="00614A83" w:rsidRPr="00E84D74" w:rsidRDefault="00614A83" w:rsidP="00112886">
            <w:pPr>
              <w:tabs>
                <w:tab w:val="left" w:pos="322"/>
              </w:tabs>
              <w:jc w:val="both"/>
              <w:rPr>
                <w:sz w:val="18"/>
                <w:szCs w:val="18"/>
              </w:rPr>
            </w:pPr>
            <w:r w:rsidRPr="00E84D74">
              <w:rPr>
                <w:sz w:val="18"/>
                <w:szCs w:val="18"/>
              </w:rPr>
              <w:tab/>
            </w:r>
            <w:r w:rsidR="00C7753F" w:rsidRPr="00E84D74">
              <w:rPr>
                <w:sz w:val="18"/>
                <w:szCs w:val="18"/>
              </w:rPr>
              <w:t xml:space="preserve">(ii) avoid cross-subsidisation between intra-system and cross-system network use; </w:t>
            </w:r>
          </w:p>
          <w:p w:rsidR="00614A83" w:rsidRPr="00E84D74" w:rsidRDefault="00C7753F" w:rsidP="00112886">
            <w:pPr>
              <w:jc w:val="both"/>
              <w:rPr>
                <w:sz w:val="18"/>
                <w:szCs w:val="18"/>
              </w:rPr>
            </w:pPr>
            <w:r w:rsidRPr="00E84D74">
              <w:rPr>
                <w:sz w:val="18"/>
                <w:szCs w:val="18"/>
              </w:rPr>
              <w:t xml:space="preserve">(b) such separate application ensures that the costs correspond to those of an efficient transmission system operator. </w:t>
            </w:r>
          </w:p>
          <w:p w:rsidR="00C7753F" w:rsidRPr="00E84D74" w:rsidRDefault="00C7753F" w:rsidP="00112886">
            <w:pPr>
              <w:jc w:val="both"/>
              <w:rPr>
                <w:sz w:val="18"/>
                <w:szCs w:val="18"/>
              </w:rPr>
            </w:pPr>
            <w:r w:rsidRPr="00E84D74">
              <w:rPr>
                <w:sz w:val="18"/>
                <w:szCs w:val="18"/>
              </w:rPr>
              <w:t>4. The maximum time period set out in the decision referred to in paragraph 2(a) or, respectively, paragraph 2(b) shall be no later than five years as from the date referred to in Article 38(2). Sufficiently in advance of the date set out in that decision, the national regulatory authority may decide to postpone this date.</w:t>
            </w:r>
          </w:p>
          <w:p w:rsidR="00125F7C" w:rsidRPr="00E84D74" w:rsidRDefault="00125F7C" w:rsidP="00112886">
            <w:pPr>
              <w:jc w:val="both"/>
              <w:rPr>
                <w:sz w:val="18"/>
                <w:szCs w:val="18"/>
              </w:rPr>
            </w:pPr>
            <w:r w:rsidRPr="00E84D74">
              <w:rPr>
                <w:sz w:val="18"/>
                <w:szCs w:val="18"/>
              </w:rPr>
              <w:t xml:space="preserve">5. At the same time as the final consultation in accordance with Article 26, the national regulatory authority shall conduct a consultation on the principles of an effective inter-transmission system operator compensation mechanism referred to in paragraph 3 and its consequences on the tariff levels. The inter-transmission system operator compensation mechanism shall be applied in accordance with Article 41(6)(a) of Directive 2009/73/EC and published together with the consultation responses received. </w:t>
            </w:r>
          </w:p>
          <w:p w:rsidR="00125F7C" w:rsidRPr="00E84D74" w:rsidRDefault="00125F7C" w:rsidP="00112886">
            <w:pPr>
              <w:jc w:val="both"/>
              <w:rPr>
                <w:sz w:val="18"/>
                <w:szCs w:val="18"/>
              </w:rPr>
            </w:pPr>
            <w:r w:rsidRPr="00E84D74">
              <w:rPr>
                <w:sz w:val="18"/>
                <w:szCs w:val="18"/>
              </w:rPr>
              <w:t xml:space="preserve">6. The reserve price referred to in Article 22(1) shall be calculated as set out therein. Where paragraph 2 is applied, the following two calculations shall be carried </w:t>
            </w:r>
            <w:r w:rsidRPr="00E84D74">
              <w:rPr>
                <w:sz w:val="18"/>
                <w:szCs w:val="18"/>
              </w:rPr>
              <w:lastRenderedPageBreak/>
              <w:t>out: (a) the calculation set out in Article 22(1) shall be carried out by each transmission system operator involved; (b) the weighted average of the resulting values referred to in point (a) shall be calculated in accordance with the formula set out in Article 22(1)(b), mutatis mutandis.</w:t>
            </w:r>
          </w:p>
          <w:p w:rsidR="00125F7C" w:rsidRPr="00E84D74" w:rsidRDefault="00125F7C" w:rsidP="00112886">
            <w:pPr>
              <w:jc w:val="both"/>
              <w:rPr>
                <w:sz w:val="18"/>
                <w:szCs w:val="18"/>
              </w:rPr>
            </w:pPr>
          </w:p>
          <w:p w:rsidR="00125F7C" w:rsidRPr="00E84D74" w:rsidRDefault="00125F7C" w:rsidP="00112886">
            <w:pPr>
              <w:jc w:val="both"/>
              <w:rPr>
                <w:sz w:val="18"/>
                <w:szCs w:val="18"/>
              </w:rPr>
            </w:pPr>
            <w:r w:rsidRPr="00E84D74">
              <w:rPr>
                <w:sz w:val="18"/>
                <w:szCs w:val="18"/>
              </w:rPr>
              <w:t xml:space="preserve">7. The final consultation referred to in Article 26 shall be conducted by all transmission system operators jointly or by the national regulatory authority. Where paragraph 2 is applied, such consultation shall be conducted by each transmission system operator separately or by the national regulatory authority, as decided by the national regulatory authority. </w:t>
            </w:r>
          </w:p>
          <w:p w:rsidR="00125F7C" w:rsidRPr="00E84D74" w:rsidRDefault="00125F7C" w:rsidP="00112886">
            <w:pPr>
              <w:jc w:val="both"/>
              <w:rPr>
                <w:sz w:val="18"/>
                <w:szCs w:val="18"/>
              </w:rPr>
            </w:pPr>
            <w:r w:rsidRPr="00E84D74">
              <w:rPr>
                <w:sz w:val="18"/>
                <w:szCs w:val="18"/>
              </w:rPr>
              <w:t xml:space="preserve">8. The information referred to in Articles 29 and 30 shall be published on an aggregated level for all transmission system operators involved. Where paragraph 2 is applied, the following two actions shall be carried out: </w:t>
            </w:r>
          </w:p>
          <w:p w:rsidR="00125F7C" w:rsidRPr="00E84D74" w:rsidRDefault="00924455" w:rsidP="00112886">
            <w:pPr>
              <w:jc w:val="both"/>
              <w:rPr>
                <w:sz w:val="18"/>
                <w:szCs w:val="18"/>
              </w:rPr>
            </w:pPr>
            <w:r w:rsidRPr="00E84D74">
              <w:rPr>
                <w:sz w:val="18"/>
                <w:szCs w:val="18"/>
              </w:rPr>
              <w:tab/>
            </w:r>
            <w:r w:rsidR="00125F7C" w:rsidRPr="00E84D74">
              <w:rPr>
                <w:sz w:val="18"/>
                <w:szCs w:val="18"/>
              </w:rPr>
              <w:t xml:space="preserve">(a) such information shall be published individually for each transmission system operator involved; </w:t>
            </w:r>
          </w:p>
          <w:p w:rsidR="00614A83" w:rsidRPr="00E84D74" w:rsidRDefault="00924455" w:rsidP="00112886">
            <w:pPr>
              <w:jc w:val="both"/>
              <w:rPr>
                <w:sz w:val="18"/>
                <w:szCs w:val="18"/>
              </w:rPr>
            </w:pPr>
            <w:r w:rsidRPr="00E84D74">
              <w:rPr>
                <w:sz w:val="18"/>
                <w:szCs w:val="18"/>
              </w:rPr>
              <w:tab/>
            </w:r>
            <w:r w:rsidR="00125F7C" w:rsidRPr="00E84D74">
              <w:rPr>
                <w:sz w:val="18"/>
                <w:szCs w:val="18"/>
              </w:rPr>
              <w:t>(b) the information on the entry-exit split referred to in Article 30(1)(b)(v)(2) for the entry-exit system shall be published by the national regulatory authority.</w:t>
            </w:r>
          </w:p>
        </w:tc>
      </w:tr>
      <w:tr w:rsidR="00D146AC" w:rsidRPr="00043955" w:rsidTr="00FC3840">
        <w:trPr>
          <w:trHeight w:val="564"/>
        </w:trPr>
        <w:tc>
          <w:tcPr>
            <w:tcW w:w="5245" w:type="dxa"/>
          </w:tcPr>
          <w:p w:rsidR="00D146AC" w:rsidRPr="00043955" w:rsidRDefault="00D146AC" w:rsidP="00DA725A">
            <w:pPr>
              <w:shd w:val="clear" w:color="auto" w:fill="FFFFFF"/>
              <w:jc w:val="center"/>
              <w:rPr>
                <w:i/>
                <w:iCs/>
                <w:sz w:val="18"/>
                <w:szCs w:val="18"/>
              </w:rPr>
            </w:pPr>
            <w:r w:rsidRPr="00043955">
              <w:rPr>
                <w:i/>
                <w:iCs/>
                <w:sz w:val="18"/>
                <w:szCs w:val="18"/>
              </w:rPr>
              <w:lastRenderedPageBreak/>
              <w:t>Articolul 11</w:t>
            </w:r>
          </w:p>
          <w:p w:rsidR="00D146AC" w:rsidRDefault="00D146AC" w:rsidP="00DA725A">
            <w:pPr>
              <w:shd w:val="clear" w:color="auto" w:fill="FFFFFF"/>
              <w:jc w:val="center"/>
              <w:rPr>
                <w:b/>
                <w:bCs/>
                <w:sz w:val="18"/>
                <w:szCs w:val="18"/>
              </w:rPr>
            </w:pPr>
            <w:r w:rsidRPr="00043955">
              <w:rPr>
                <w:b/>
                <w:bCs/>
                <w:sz w:val="18"/>
                <w:szCs w:val="18"/>
              </w:rPr>
              <w:t xml:space="preserve">Norme privind sistemele de intrare/ieșire care includ două sau mai multe state membre în care sunt activi doi sau mai mulți operatori de transport și de </w:t>
            </w:r>
            <w:r>
              <w:rPr>
                <w:b/>
                <w:bCs/>
                <w:sz w:val="18"/>
                <w:szCs w:val="18"/>
              </w:rPr>
              <w:t>system</w:t>
            </w:r>
          </w:p>
          <w:p w:rsidR="00D146AC" w:rsidRPr="00D82EE4" w:rsidRDefault="00D146AC" w:rsidP="00DA725A">
            <w:pPr>
              <w:shd w:val="clear" w:color="auto" w:fill="FFFFFF"/>
              <w:jc w:val="both"/>
              <w:rPr>
                <w:b/>
                <w:bCs/>
                <w:sz w:val="18"/>
                <w:szCs w:val="18"/>
                <w:lang w:val="it-IT"/>
              </w:rPr>
            </w:pPr>
            <w:r w:rsidRPr="00D82EE4">
              <w:rPr>
                <w:sz w:val="18"/>
                <w:szCs w:val="18"/>
                <w:lang w:val="it-IT"/>
              </w:rPr>
              <w:t>În cazul în care într-un sistem de intrare/ieșire care include două sau mai multe state membre sunt activi doi sau mai mulți operatori de transport și de sistem, poate fi aplicată, în comun sau în mod separat, aceeași metodologie de stabilire a prețurilor de referință sau pot fi aplicate separat diferite metodologii de stabilire a prețurilor de referință</w:t>
            </w:r>
          </w:p>
        </w:tc>
        <w:tc>
          <w:tcPr>
            <w:tcW w:w="4962" w:type="dxa"/>
          </w:tcPr>
          <w:p w:rsidR="00D146AC" w:rsidRDefault="00D146AC" w:rsidP="00DA725A">
            <w:pPr>
              <w:tabs>
                <w:tab w:val="left" w:pos="851"/>
              </w:tabs>
              <w:jc w:val="center"/>
              <w:rPr>
                <w:b/>
                <w:sz w:val="18"/>
                <w:szCs w:val="18"/>
                <w:lang w:val="ro-RO"/>
              </w:rPr>
            </w:pPr>
          </w:p>
          <w:p w:rsidR="00B06A7D" w:rsidRDefault="00B06A7D" w:rsidP="00DA725A">
            <w:pPr>
              <w:tabs>
                <w:tab w:val="left" w:pos="851"/>
              </w:tabs>
              <w:jc w:val="center"/>
              <w:rPr>
                <w:b/>
                <w:sz w:val="18"/>
                <w:szCs w:val="18"/>
                <w:lang w:val="ro-RO"/>
              </w:rPr>
            </w:pPr>
          </w:p>
          <w:p w:rsidR="00B06A7D" w:rsidRDefault="00B06A7D" w:rsidP="00DA725A">
            <w:pPr>
              <w:tabs>
                <w:tab w:val="left" w:pos="851"/>
              </w:tabs>
              <w:jc w:val="center"/>
              <w:rPr>
                <w:b/>
                <w:sz w:val="18"/>
                <w:szCs w:val="18"/>
                <w:lang w:val="ro-RO"/>
              </w:rPr>
            </w:pPr>
          </w:p>
          <w:p w:rsidR="00B06A7D" w:rsidRPr="00043955" w:rsidRDefault="00B06A7D" w:rsidP="00DA725A">
            <w:pPr>
              <w:tabs>
                <w:tab w:val="left" w:pos="851"/>
              </w:tabs>
              <w:jc w:val="center"/>
              <w:rPr>
                <w:b/>
                <w:sz w:val="18"/>
                <w:szCs w:val="18"/>
                <w:lang w:val="ro-RO"/>
              </w:rPr>
            </w:pPr>
          </w:p>
          <w:p w:rsidR="003D5761" w:rsidRPr="00380C00" w:rsidRDefault="003D5761" w:rsidP="003D5761">
            <w:pPr>
              <w:tabs>
                <w:tab w:val="left" w:pos="851"/>
              </w:tabs>
              <w:jc w:val="both"/>
              <w:outlineLvl w:val="0"/>
              <w:rPr>
                <w:sz w:val="18"/>
                <w:szCs w:val="18"/>
                <w:lang w:val="it-IT"/>
              </w:rPr>
            </w:pPr>
            <w:r w:rsidRPr="00380C00">
              <w:rPr>
                <w:b/>
                <w:bCs/>
                <w:sz w:val="18"/>
                <w:szCs w:val="18"/>
                <w:lang w:val="it-IT"/>
              </w:rPr>
              <w:t>353.</w:t>
            </w:r>
            <w:r w:rsidRPr="00380C00">
              <w:rPr>
                <w:sz w:val="18"/>
                <w:szCs w:val="18"/>
                <w:lang w:val="it-IT"/>
              </w:rPr>
              <w:t xml:space="preserve"> În cazul în care într-un sistem de intrare/ieşire care include 2 sau mai multe Părţi contractante sau includ Părţi contractante şi state membre în care sunt activi 2 sau mai mulţi OST, poate fi aplicată, în comun sau în mod separat, aceeaşi metode de calculare a preţurilor de referinţă sau pot fi aplicate separat diferite metode de calculare a preţurilor de referinţă.</w:t>
            </w:r>
          </w:p>
          <w:p w:rsidR="00D146AC" w:rsidRPr="00380C00" w:rsidRDefault="00D146AC" w:rsidP="00DA725A">
            <w:pPr>
              <w:shd w:val="clear" w:color="auto" w:fill="FFFFFF"/>
              <w:jc w:val="both"/>
              <w:rPr>
                <w:b/>
                <w:bCs/>
                <w:sz w:val="18"/>
                <w:szCs w:val="18"/>
                <w:lang w:val="it-IT"/>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2F7855" w:rsidRPr="00E84D74" w:rsidRDefault="003B05F5" w:rsidP="00112886">
            <w:pPr>
              <w:jc w:val="both"/>
              <w:rPr>
                <w:sz w:val="18"/>
                <w:szCs w:val="18"/>
              </w:rPr>
            </w:pPr>
            <w:r w:rsidRPr="00E84D74">
              <w:rPr>
                <w:b/>
                <w:sz w:val="18"/>
                <w:szCs w:val="18"/>
              </w:rPr>
              <w:t>Article 11</w:t>
            </w:r>
          </w:p>
          <w:p w:rsidR="002F7855" w:rsidRPr="00E84D74" w:rsidRDefault="003B05F5" w:rsidP="00112886">
            <w:pPr>
              <w:jc w:val="both"/>
              <w:rPr>
                <w:b/>
                <w:sz w:val="18"/>
                <w:szCs w:val="18"/>
              </w:rPr>
            </w:pPr>
            <w:r w:rsidRPr="00E84D74">
              <w:rPr>
                <w:b/>
                <w:sz w:val="18"/>
                <w:szCs w:val="18"/>
              </w:rPr>
              <w:t>Rules for entry-exit systems covering more than one</w:t>
            </w:r>
          </w:p>
          <w:p w:rsidR="002F7855" w:rsidRPr="00E84D74" w:rsidRDefault="002F7855" w:rsidP="00112886">
            <w:pPr>
              <w:jc w:val="both"/>
              <w:rPr>
                <w:sz w:val="18"/>
                <w:szCs w:val="18"/>
              </w:rPr>
            </w:pPr>
          </w:p>
          <w:p w:rsidR="00D146AC" w:rsidRPr="00E84D74" w:rsidRDefault="003B05F5" w:rsidP="00112886">
            <w:pPr>
              <w:jc w:val="both"/>
              <w:rPr>
                <w:b/>
                <w:sz w:val="18"/>
                <w:szCs w:val="18"/>
              </w:rPr>
            </w:pPr>
            <w:r w:rsidRPr="00E84D74">
              <w:rPr>
                <w:sz w:val="18"/>
                <w:szCs w:val="18"/>
              </w:rPr>
              <w:t>Contracting Party or covering Contracting Party(-ies) and Member State(s) where more than one transmission system operator is active The same reference price methodology may be applied jointly or separately or different reference price methodologies may be applied separately where more than one transmission system operator is active in an entry-exit system covering more than one Contracting Party or Member State</w:t>
            </w:r>
          </w:p>
        </w:tc>
      </w:tr>
      <w:tr w:rsidR="00D146AC" w:rsidRPr="00043955" w:rsidTr="00FC3840">
        <w:trPr>
          <w:trHeight w:val="267"/>
        </w:trPr>
        <w:tc>
          <w:tcPr>
            <w:tcW w:w="5245" w:type="dxa"/>
          </w:tcPr>
          <w:p w:rsidR="00D146AC" w:rsidRPr="00D82EE4" w:rsidRDefault="00D146AC" w:rsidP="00B06A7D">
            <w:pPr>
              <w:shd w:val="clear" w:color="auto" w:fill="FFFFFF"/>
              <w:jc w:val="center"/>
              <w:rPr>
                <w:b/>
                <w:bCs/>
                <w:sz w:val="18"/>
                <w:szCs w:val="18"/>
                <w:lang w:val="it-IT"/>
              </w:rPr>
            </w:pPr>
            <w:r w:rsidRPr="00D82EE4">
              <w:rPr>
                <w:b/>
                <w:bCs/>
                <w:sz w:val="18"/>
                <w:szCs w:val="18"/>
                <w:lang w:val="it-IT"/>
              </w:rPr>
              <w:t>CAPITOLUL III</w:t>
            </w:r>
          </w:p>
          <w:p w:rsidR="00D146AC" w:rsidRPr="00D82EE4" w:rsidRDefault="00D146AC" w:rsidP="00B06A7D">
            <w:pPr>
              <w:shd w:val="clear" w:color="auto" w:fill="FFFFFF"/>
              <w:jc w:val="center"/>
              <w:rPr>
                <w:b/>
                <w:bCs/>
                <w:sz w:val="18"/>
                <w:szCs w:val="18"/>
                <w:lang w:val="it-IT"/>
              </w:rPr>
            </w:pPr>
            <w:r w:rsidRPr="00D82EE4">
              <w:rPr>
                <w:b/>
                <w:bCs/>
                <w:sz w:val="18"/>
                <w:szCs w:val="18"/>
                <w:lang w:val="it-IT"/>
              </w:rPr>
              <w:t>PREȚURI DE REZERVĂ</w:t>
            </w:r>
          </w:p>
          <w:p w:rsidR="00D146AC" w:rsidRPr="00C5315C" w:rsidRDefault="00D146AC" w:rsidP="00B06A7D">
            <w:pPr>
              <w:shd w:val="clear" w:color="auto" w:fill="FFFFFF"/>
              <w:jc w:val="center"/>
              <w:rPr>
                <w:b/>
                <w:i/>
                <w:iCs/>
                <w:sz w:val="18"/>
                <w:szCs w:val="18"/>
                <w:lang w:val="it-IT"/>
              </w:rPr>
            </w:pPr>
            <w:r w:rsidRPr="00C5315C">
              <w:rPr>
                <w:b/>
                <w:i/>
                <w:iCs/>
                <w:sz w:val="18"/>
                <w:szCs w:val="18"/>
                <w:lang w:val="it-IT"/>
              </w:rPr>
              <w:t>Articolul 12</w:t>
            </w:r>
          </w:p>
          <w:p w:rsidR="00D146AC" w:rsidRDefault="00D146AC" w:rsidP="00B06A7D">
            <w:pPr>
              <w:shd w:val="clear" w:color="auto" w:fill="FFFFFF"/>
              <w:jc w:val="center"/>
              <w:rPr>
                <w:b/>
                <w:bCs/>
                <w:sz w:val="18"/>
                <w:szCs w:val="18"/>
                <w:lang w:val="it-IT"/>
              </w:rPr>
            </w:pPr>
            <w:r w:rsidRPr="00D82EE4">
              <w:rPr>
                <w:b/>
                <w:bCs/>
                <w:sz w:val="18"/>
                <w:szCs w:val="18"/>
                <w:lang w:val="it-IT"/>
              </w:rPr>
              <w:t>Dispoziții generale</w:t>
            </w:r>
          </w:p>
          <w:p w:rsidR="00EE3D5D" w:rsidRPr="00D82EE4" w:rsidRDefault="00EE3D5D" w:rsidP="00DA725A">
            <w:pPr>
              <w:shd w:val="clear" w:color="auto" w:fill="FFFFFF"/>
              <w:jc w:val="both"/>
              <w:rPr>
                <w:b/>
                <w:bCs/>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 xml:space="preserve">(1)   În cazul produselor de capacitate standard anuală pentru capacitate fermă, prețurile de referință se utilizează ca prețuri de rezervă. În cazul produselor de capacitate standard neanuală pentru capacitate fermă, prețurile de rezervă se calculează în conformitate cu prezentul capitol. În cazul produselor de capacitate standard atât </w:t>
            </w:r>
            <w:r w:rsidRPr="00D82EE4">
              <w:rPr>
                <w:sz w:val="18"/>
                <w:szCs w:val="18"/>
                <w:lang w:val="it-IT"/>
              </w:rPr>
              <w:lastRenderedPageBreak/>
              <w:t>anuală, cât și neanuală pentru capacitate întreruptibilă, prețurile de rezervă se calculează în conformitate cu prezentul capitol. Nivelul coeficienților de multiplicare și al coeficienților sezonieri, stabilit în conformitate cu articolul 13, precum și nivelul discounturilor pentru produsele de capacitate standard pentru capacitate întreruptibilă, stabilit în conformitate cu articolul 16, pot fi diferite în punctele de interconectare.</w:t>
            </w:r>
          </w:p>
          <w:p w:rsidR="00D146AC" w:rsidRPr="00D82EE4" w:rsidRDefault="00D146AC" w:rsidP="00DA725A">
            <w:pPr>
              <w:shd w:val="clear" w:color="auto" w:fill="FFFFFF"/>
              <w:jc w:val="both"/>
              <w:rPr>
                <w:sz w:val="18"/>
                <w:szCs w:val="18"/>
                <w:lang w:val="it-IT"/>
              </w:rPr>
            </w:pPr>
            <w:r w:rsidRPr="00D82EE4">
              <w:rPr>
                <w:sz w:val="18"/>
                <w:szCs w:val="18"/>
                <w:lang w:val="it-IT"/>
              </w:rPr>
              <w:t>(2)   În cazul în care perioada tarifară nu coincide cu anul gazier, pot fi aplicate prețuri de rezervă separate, respectiv: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0"/>
              <w:gridCol w:w="4869"/>
            </w:tblGrid>
            <w:tr w:rsidR="00D146AC" w:rsidRPr="00C27D66" w:rsidTr="00B92DDC">
              <w:tc>
                <w:tcPr>
                  <w:tcW w:w="282"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07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perioada cuprinsă între data de 1 octombrie și sfârșitul perioadei tarifare în curs; și</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Default="00D146AC" w:rsidP="00DA725A">
                  <w:pPr>
                    <w:jc w:val="both"/>
                    <w:rPr>
                      <w:sz w:val="18"/>
                      <w:szCs w:val="18"/>
                      <w:lang w:val="it-IT"/>
                    </w:rPr>
                  </w:pPr>
                  <w:r w:rsidRPr="00D82EE4">
                    <w:rPr>
                      <w:sz w:val="18"/>
                      <w:szCs w:val="18"/>
                      <w:lang w:val="it-IT"/>
                    </w:rPr>
                    <w:t>pentru perioada cuprinsă între începutul perioadei tarifare care urmează după perioada tarifară în curs și data de 30 septembrie.</w:t>
                  </w:r>
                </w:p>
                <w:p w:rsidR="00995724" w:rsidRDefault="00995724" w:rsidP="00DA725A">
                  <w:pPr>
                    <w:jc w:val="both"/>
                    <w:rPr>
                      <w:sz w:val="18"/>
                      <w:szCs w:val="18"/>
                      <w:lang w:val="it-IT"/>
                    </w:rPr>
                  </w:pPr>
                </w:p>
                <w:p w:rsidR="00995724" w:rsidRPr="00D82EE4" w:rsidRDefault="00995724"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(3)   Prețurile de rezervă corespunzătoare, publicate în conformitate cu articolul 29, sunt obligatorii pentru anul gazier următor sau pentru perioada ulterioară anului gazier următor, în cazul prețului de plătit fix, începând după licitația anuală a capacității anuale, cu excepția cazului în care: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discounturile pentru produsele de capacitate standard anuală sau lunară pentru capacitate întreruptibilă sunt recalculate în cursul perioadei tarifare, dacă probabilitatea de întrerupere menționată la articolul 16 se modifică cu peste 20 de procente;</w:t>
                  </w:r>
                </w:p>
              </w:tc>
            </w:tr>
            <w:tr w:rsidR="00D146AC" w:rsidRPr="00043955"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Pr="00043955" w:rsidRDefault="00D146AC" w:rsidP="00DA725A">
                  <w:pPr>
                    <w:jc w:val="both"/>
                    <w:rPr>
                      <w:sz w:val="18"/>
                      <w:szCs w:val="18"/>
                    </w:rPr>
                  </w:pPr>
                  <w:r w:rsidRPr="00043955">
                    <w:rPr>
                      <w:sz w:val="18"/>
                      <w:szCs w:val="18"/>
                    </w:rPr>
                    <w:t>prețul de referință este recalculat în cursul perioadei tarifare din cauza unor circumstanțe excepționale în care neajustarea nivelurilor de tarif ar periclita activitatea operatorului de transport și de sistem.</w:t>
                  </w:r>
                </w:p>
              </w:tc>
            </w:tr>
          </w:tbl>
          <w:p w:rsidR="00D146AC" w:rsidRPr="00D82EE4" w:rsidRDefault="00D146AC" w:rsidP="00DA725A">
            <w:pPr>
              <w:shd w:val="clear" w:color="auto" w:fill="FFFFFF"/>
              <w:jc w:val="both"/>
              <w:rPr>
                <w:b/>
                <w:bCs/>
                <w:sz w:val="18"/>
                <w:szCs w:val="18"/>
              </w:rPr>
            </w:pPr>
          </w:p>
        </w:tc>
        <w:tc>
          <w:tcPr>
            <w:tcW w:w="4962" w:type="dxa"/>
          </w:tcPr>
          <w:p w:rsidR="00D146AC" w:rsidRPr="00043955" w:rsidRDefault="00D146AC" w:rsidP="003D7AFE">
            <w:pPr>
              <w:jc w:val="center"/>
              <w:rPr>
                <w:b/>
                <w:sz w:val="18"/>
                <w:szCs w:val="18"/>
                <w:lang w:val="ro-RO"/>
              </w:rPr>
            </w:pPr>
            <w:r w:rsidRPr="00043955">
              <w:rPr>
                <w:b/>
                <w:sz w:val="18"/>
                <w:szCs w:val="18"/>
                <w:lang w:val="ro-RO"/>
              </w:rPr>
              <w:lastRenderedPageBreak/>
              <w:t>CAPITOLUL III</w:t>
            </w:r>
          </w:p>
          <w:p w:rsidR="00D146AC" w:rsidRPr="00043955" w:rsidRDefault="00D146AC" w:rsidP="003D7AFE">
            <w:pPr>
              <w:jc w:val="center"/>
              <w:rPr>
                <w:b/>
                <w:sz w:val="18"/>
                <w:szCs w:val="18"/>
                <w:lang w:val="ro-RO"/>
              </w:rPr>
            </w:pPr>
            <w:r w:rsidRPr="00043955">
              <w:rPr>
                <w:b/>
                <w:sz w:val="18"/>
                <w:szCs w:val="18"/>
                <w:lang w:val="ro-RO"/>
              </w:rPr>
              <w:t>PREȚURILE DE REZERVĂ</w:t>
            </w:r>
          </w:p>
          <w:p w:rsidR="00D146AC" w:rsidRPr="00043955" w:rsidRDefault="00D146AC" w:rsidP="003D7AFE">
            <w:pPr>
              <w:jc w:val="center"/>
              <w:rPr>
                <w:b/>
                <w:sz w:val="18"/>
                <w:szCs w:val="18"/>
                <w:lang w:val="ro-RO"/>
              </w:rPr>
            </w:pPr>
            <w:r w:rsidRPr="00043955">
              <w:rPr>
                <w:b/>
                <w:sz w:val="18"/>
                <w:szCs w:val="18"/>
                <w:lang w:val="ro-RO"/>
              </w:rPr>
              <w:t>Secțiunea 1</w:t>
            </w:r>
          </w:p>
          <w:p w:rsidR="00D146AC" w:rsidRDefault="00D146AC" w:rsidP="003D7AFE">
            <w:pPr>
              <w:jc w:val="center"/>
              <w:rPr>
                <w:b/>
                <w:sz w:val="18"/>
                <w:szCs w:val="18"/>
                <w:lang w:val="ro-RO"/>
              </w:rPr>
            </w:pPr>
            <w:r w:rsidRPr="00043955">
              <w:rPr>
                <w:b/>
                <w:sz w:val="18"/>
                <w:szCs w:val="18"/>
                <w:lang w:val="ro-RO"/>
              </w:rPr>
              <w:t>Dispoziții generale</w:t>
            </w: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sz w:val="18"/>
                <w:szCs w:val="18"/>
                <w:lang w:val="it-IT"/>
              </w:rPr>
            </w:pPr>
            <w:r w:rsidRPr="00380C00">
              <w:rPr>
                <w:b/>
                <w:bCs/>
                <w:sz w:val="18"/>
                <w:szCs w:val="18"/>
                <w:lang w:val="it-IT"/>
              </w:rPr>
              <w:t>354.</w:t>
            </w:r>
            <w:r w:rsidRPr="00380C00">
              <w:rPr>
                <w:sz w:val="18"/>
                <w:szCs w:val="18"/>
                <w:lang w:val="it-IT"/>
              </w:rPr>
              <w:t xml:space="preserve"> În cazul PCS anuală pentru capacitate fermă, preţurile de referinţă se utilizează ca preţuri de rezervă. În cazul PCS non-anuală pentru capacitate fermă, preţurile de rezervă se calculează în conformitate cu prezentul Capitol. În cazul PCS, atât anuală, cât şi non-anuală pentru capacitate întreruptibilă, preţurile de rezervă </w:t>
            </w:r>
            <w:r w:rsidRPr="00380C00">
              <w:rPr>
                <w:sz w:val="18"/>
                <w:szCs w:val="18"/>
                <w:lang w:val="it-IT"/>
              </w:rPr>
              <w:lastRenderedPageBreak/>
              <w:t xml:space="preserve">se calculează în conformitate cu prezentul Capitol. Nivelul coeficienţilor de multiplicare şi al coeficienţilor sezonieri, stabilit în conformitate cu pct.357-358, precum şi nivelul reducerilor pentru PCS pentru capacitate întreruptibilă, stabilit în conformitate cu pct.366-370, pot fi diferite în punctele de interconectare. </w:t>
            </w: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sz w:val="18"/>
                <w:szCs w:val="18"/>
                <w:lang w:val="it-IT"/>
              </w:rPr>
            </w:pPr>
            <w:r w:rsidRPr="00380C00">
              <w:rPr>
                <w:b/>
                <w:bCs/>
                <w:sz w:val="18"/>
                <w:szCs w:val="18"/>
                <w:lang w:val="it-IT"/>
              </w:rPr>
              <w:t>355.</w:t>
            </w:r>
            <w:r w:rsidRPr="00380C00">
              <w:rPr>
                <w:sz w:val="18"/>
                <w:szCs w:val="18"/>
                <w:lang w:val="it-IT"/>
              </w:rPr>
              <w:t xml:space="preserve"> În cazul în care perioada tarifară nu coincide cu anul gazier, pot fi aplicate preţuri de rezervă separate, respectiv:</w:t>
            </w:r>
          </w:p>
          <w:p w:rsidR="003D7AFE" w:rsidRPr="00380C00" w:rsidRDefault="003D7AFE" w:rsidP="003D7AFE">
            <w:pPr>
              <w:tabs>
                <w:tab w:val="left" w:pos="851"/>
              </w:tabs>
              <w:jc w:val="both"/>
              <w:outlineLvl w:val="0"/>
              <w:rPr>
                <w:sz w:val="18"/>
                <w:szCs w:val="18"/>
                <w:lang w:val="it-IT"/>
              </w:rPr>
            </w:pPr>
            <w:r w:rsidRPr="00380C00">
              <w:rPr>
                <w:sz w:val="18"/>
                <w:szCs w:val="18"/>
                <w:lang w:val="it-IT"/>
              </w:rPr>
              <w:t>1) pentru perioada cuprinsă între data de 1 octombrie şi sfârşitul perioadei tarifare în curs; şi</w:t>
            </w:r>
          </w:p>
          <w:p w:rsidR="003D7AFE" w:rsidRPr="00380C00" w:rsidRDefault="003D7AFE" w:rsidP="003D7AFE">
            <w:pPr>
              <w:tabs>
                <w:tab w:val="left" w:pos="851"/>
              </w:tabs>
              <w:jc w:val="both"/>
              <w:outlineLvl w:val="0"/>
              <w:rPr>
                <w:sz w:val="18"/>
                <w:szCs w:val="18"/>
                <w:lang w:val="it-IT"/>
              </w:rPr>
            </w:pPr>
            <w:r w:rsidRPr="00380C00">
              <w:rPr>
                <w:sz w:val="18"/>
                <w:szCs w:val="18"/>
                <w:lang w:val="it-IT"/>
              </w:rPr>
              <w:t>2) pentru perioada cuprinsă între începutul perioadei tarifare care urmează după perioada tarifară în curs şi data de 30 septembrie.</w:t>
            </w: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sz w:val="18"/>
                <w:szCs w:val="18"/>
                <w:lang w:val="it-IT"/>
              </w:rPr>
            </w:pPr>
            <w:r w:rsidRPr="00380C00">
              <w:rPr>
                <w:b/>
                <w:bCs/>
                <w:sz w:val="18"/>
                <w:szCs w:val="18"/>
                <w:lang w:val="it-IT"/>
              </w:rPr>
              <w:t>356.</w:t>
            </w:r>
            <w:r w:rsidRPr="00380C00">
              <w:rPr>
                <w:sz w:val="18"/>
                <w:szCs w:val="18"/>
                <w:lang w:val="it-IT"/>
              </w:rPr>
              <w:t xml:space="preserve"> Preţurile de rezervă publicate în conformitate cu pct.408-411, sunt obligatorii pentru anul gazier următor sau pentru perioada ulterioară anului gazier următor, în cazul preţului de plătit fix, şi preţului de după licitaţia anuală a capacităţii anuale, cu excepţia cazului în care:</w:t>
            </w:r>
          </w:p>
          <w:p w:rsidR="003D7AFE" w:rsidRPr="00380C00" w:rsidRDefault="0056404D" w:rsidP="003D7AFE">
            <w:pPr>
              <w:tabs>
                <w:tab w:val="left" w:pos="851"/>
              </w:tabs>
              <w:jc w:val="both"/>
              <w:outlineLvl w:val="0"/>
              <w:rPr>
                <w:sz w:val="18"/>
                <w:szCs w:val="18"/>
                <w:lang w:val="it-IT"/>
              </w:rPr>
            </w:pPr>
            <w:r w:rsidRPr="00380C00">
              <w:rPr>
                <w:sz w:val="18"/>
                <w:szCs w:val="18"/>
                <w:lang w:val="it-IT"/>
              </w:rPr>
              <w:tab/>
            </w:r>
            <w:r w:rsidR="003D7AFE" w:rsidRPr="00380C00">
              <w:rPr>
                <w:sz w:val="18"/>
                <w:szCs w:val="18"/>
                <w:lang w:val="it-IT"/>
              </w:rPr>
              <w:t>1) reducerile pentru PCS anuală sau lunară pentru capacitate întreruptibilă sunt recalculate în cursul perioadei tarifare, dacă probabilitatea de întrerupere menţionată la pct.366-370 se modifică cu peste 20%;</w:t>
            </w:r>
          </w:p>
          <w:p w:rsidR="00D146AC" w:rsidRPr="00380C00" w:rsidRDefault="0056404D" w:rsidP="00630228">
            <w:pPr>
              <w:tabs>
                <w:tab w:val="left" w:pos="851"/>
              </w:tabs>
              <w:jc w:val="both"/>
              <w:outlineLvl w:val="0"/>
              <w:rPr>
                <w:b/>
                <w:bCs/>
                <w:sz w:val="18"/>
                <w:szCs w:val="18"/>
                <w:lang w:val="it-IT"/>
              </w:rPr>
            </w:pPr>
            <w:r w:rsidRPr="00380C00">
              <w:rPr>
                <w:sz w:val="18"/>
                <w:szCs w:val="18"/>
                <w:lang w:val="it-IT"/>
              </w:rPr>
              <w:tab/>
            </w:r>
            <w:r w:rsidR="003D7AFE" w:rsidRPr="00380C00">
              <w:rPr>
                <w:sz w:val="18"/>
                <w:szCs w:val="18"/>
                <w:lang w:val="it-IT"/>
              </w:rPr>
              <w:t>2) preţul de referinţă este recalculat în cursul perioadei tarifare din cauza unor circumstanţe excepţionale în care neajustarea tarifelor ar periclita activitatea OST.</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2F7855" w:rsidRPr="00E84D74" w:rsidRDefault="002F7855" w:rsidP="00EE3D5D">
            <w:pPr>
              <w:jc w:val="center"/>
              <w:rPr>
                <w:b/>
                <w:sz w:val="18"/>
                <w:szCs w:val="18"/>
              </w:rPr>
            </w:pPr>
            <w:r w:rsidRPr="00E84D74">
              <w:rPr>
                <w:b/>
                <w:sz w:val="18"/>
                <w:szCs w:val="18"/>
              </w:rPr>
              <w:lastRenderedPageBreak/>
              <w:t>CHAPTER III</w:t>
            </w:r>
          </w:p>
          <w:p w:rsidR="002F7855" w:rsidRPr="00E84D74" w:rsidRDefault="002F7855" w:rsidP="00EE3D5D">
            <w:pPr>
              <w:jc w:val="center"/>
              <w:rPr>
                <w:b/>
                <w:sz w:val="18"/>
                <w:szCs w:val="18"/>
              </w:rPr>
            </w:pPr>
            <w:r w:rsidRPr="00E84D74">
              <w:rPr>
                <w:b/>
                <w:sz w:val="18"/>
                <w:szCs w:val="18"/>
              </w:rPr>
              <w:t>RESERVE PRICES</w:t>
            </w:r>
          </w:p>
          <w:p w:rsidR="002F7855" w:rsidRPr="00E84D74" w:rsidRDefault="002F7855" w:rsidP="00EE3D5D">
            <w:pPr>
              <w:jc w:val="center"/>
              <w:rPr>
                <w:b/>
                <w:sz w:val="18"/>
                <w:szCs w:val="18"/>
              </w:rPr>
            </w:pPr>
            <w:r w:rsidRPr="00E84D74">
              <w:rPr>
                <w:b/>
                <w:sz w:val="18"/>
                <w:szCs w:val="18"/>
              </w:rPr>
              <w:t>Article 12</w:t>
            </w:r>
          </w:p>
          <w:p w:rsidR="00D146AC" w:rsidRPr="00E84D74" w:rsidRDefault="002F7855" w:rsidP="00EE3D5D">
            <w:pPr>
              <w:jc w:val="center"/>
              <w:rPr>
                <w:b/>
                <w:sz w:val="18"/>
                <w:szCs w:val="18"/>
              </w:rPr>
            </w:pPr>
            <w:r w:rsidRPr="00E84D74">
              <w:rPr>
                <w:b/>
                <w:sz w:val="18"/>
                <w:szCs w:val="18"/>
              </w:rPr>
              <w:t>General provisions</w:t>
            </w:r>
          </w:p>
          <w:p w:rsidR="002F7855" w:rsidRPr="00E84D74" w:rsidRDefault="002F7855" w:rsidP="00DA725A">
            <w:pPr>
              <w:jc w:val="both"/>
              <w:rPr>
                <w:b/>
                <w:sz w:val="18"/>
                <w:szCs w:val="18"/>
              </w:rPr>
            </w:pPr>
          </w:p>
          <w:p w:rsidR="002F7855" w:rsidRPr="00E84D74" w:rsidRDefault="007775CF" w:rsidP="00DA725A">
            <w:pPr>
              <w:autoSpaceDE w:val="0"/>
              <w:autoSpaceDN w:val="0"/>
              <w:adjustRightInd w:val="0"/>
              <w:rPr>
                <w:sz w:val="18"/>
                <w:szCs w:val="18"/>
              </w:rPr>
            </w:pPr>
            <w:r w:rsidRPr="00E84D74">
              <w:rPr>
                <w:sz w:val="18"/>
                <w:szCs w:val="18"/>
              </w:rPr>
              <w:t xml:space="preserve">1. For yearly standard capacity products for firm capacity, the reference prices shall be used as reserve prices. For non-yearly standard capacity products for firm capacity, the reserve prices shall be calculated as set out in this Chapter. For both yearly and non-yearly </w:t>
            </w:r>
            <w:r w:rsidRPr="00E84D74">
              <w:rPr>
                <w:sz w:val="18"/>
                <w:szCs w:val="18"/>
              </w:rPr>
              <w:lastRenderedPageBreak/>
              <w:t xml:space="preserve">standard capacity products for interruptible capacity, the reserve prices shall be calculated as set out in this Chapter. The level of multipliers and of seasonal factors, set out in accordance with Article 13, and the level of discounts for the standard capacity products for interruptible capacity, set out in accordance with Article 16, may be different at interconnection points. </w:t>
            </w:r>
          </w:p>
          <w:p w:rsidR="007775CF" w:rsidRPr="00E84D74" w:rsidRDefault="007775CF" w:rsidP="00DA725A">
            <w:pPr>
              <w:autoSpaceDE w:val="0"/>
              <w:autoSpaceDN w:val="0"/>
              <w:adjustRightInd w:val="0"/>
              <w:rPr>
                <w:sz w:val="18"/>
                <w:szCs w:val="18"/>
              </w:rPr>
            </w:pPr>
          </w:p>
          <w:p w:rsidR="001C3381" w:rsidRPr="00E84D74" w:rsidRDefault="007775CF" w:rsidP="00DA725A">
            <w:pPr>
              <w:autoSpaceDE w:val="0"/>
              <w:autoSpaceDN w:val="0"/>
              <w:adjustRightInd w:val="0"/>
              <w:rPr>
                <w:sz w:val="18"/>
                <w:szCs w:val="18"/>
              </w:rPr>
            </w:pPr>
            <w:r w:rsidRPr="00E84D74">
              <w:rPr>
                <w:sz w:val="18"/>
                <w:szCs w:val="18"/>
              </w:rPr>
              <w:t>2. Where the tariff period and gas year do not coincide, separate reser</w:t>
            </w:r>
            <w:r w:rsidR="001C3381" w:rsidRPr="00E84D74">
              <w:rPr>
                <w:sz w:val="18"/>
                <w:szCs w:val="18"/>
              </w:rPr>
              <w:t>ve prices may be applied respec</w:t>
            </w:r>
            <w:r w:rsidRPr="00E84D74">
              <w:rPr>
                <w:sz w:val="18"/>
                <w:szCs w:val="18"/>
              </w:rPr>
              <w:t xml:space="preserve">tively: </w:t>
            </w:r>
          </w:p>
          <w:p w:rsidR="001C3381" w:rsidRPr="00E84D74" w:rsidRDefault="001C3381" w:rsidP="00DA725A">
            <w:pPr>
              <w:autoSpaceDE w:val="0"/>
              <w:autoSpaceDN w:val="0"/>
              <w:adjustRightInd w:val="0"/>
              <w:rPr>
                <w:sz w:val="18"/>
                <w:szCs w:val="18"/>
              </w:rPr>
            </w:pPr>
            <w:r w:rsidRPr="00E84D74">
              <w:rPr>
                <w:sz w:val="18"/>
                <w:szCs w:val="18"/>
              </w:rPr>
              <w:tab/>
            </w:r>
            <w:r w:rsidR="007775CF" w:rsidRPr="00E84D74">
              <w:rPr>
                <w:sz w:val="18"/>
                <w:szCs w:val="18"/>
              </w:rPr>
              <w:t xml:space="preserve">(a) for the time period from 1 October to the end of the prevailing tariff period; and </w:t>
            </w:r>
          </w:p>
          <w:p w:rsidR="001C3381" w:rsidRPr="00E84D74" w:rsidRDefault="001C3381" w:rsidP="00DA725A">
            <w:pPr>
              <w:autoSpaceDE w:val="0"/>
              <w:autoSpaceDN w:val="0"/>
              <w:adjustRightInd w:val="0"/>
              <w:rPr>
                <w:sz w:val="18"/>
                <w:szCs w:val="18"/>
              </w:rPr>
            </w:pPr>
            <w:r w:rsidRPr="00E84D74">
              <w:rPr>
                <w:sz w:val="18"/>
                <w:szCs w:val="18"/>
              </w:rPr>
              <w:tab/>
            </w:r>
            <w:r w:rsidR="007775CF" w:rsidRPr="00E84D74">
              <w:rPr>
                <w:sz w:val="18"/>
                <w:szCs w:val="18"/>
              </w:rPr>
              <w:t xml:space="preserve">(b) for the time period from the beginning of the tariff period following the prevailing tariff period to 30 September. </w:t>
            </w:r>
          </w:p>
          <w:p w:rsidR="00F40D07" w:rsidRPr="00E84D74" w:rsidRDefault="00F40D07" w:rsidP="00DA725A">
            <w:pPr>
              <w:autoSpaceDE w:val="0"/>
              <w:autoSpaceDN w:val="0"/>
              <w:adjustRightInd w:val="0"/>
              <w:rPr>
                <w:sz w:val="18"/>
                <w:szCs w:val="18"/>
              </w:rPr>
            </w:pPr>
          </w:p>
          <w:p w:rsidR="001C3381" w:rsidRPr="00E84D74" w:rsidRDefault="007775CF" w:rsidP="00DA725A">
            <w:pPr>
              <w:autoSpaceDE w:val="0"/>
              <w:autoSpaceDN w:val="0"/>
              <w:adjustRightInd w:val="0"/>
              <w:rPr>
                <w:sz w:val="18"/>
                <w:szCs w:val="18"/>
              </w:rPr>
            </w:pPr>
            <w:r w:rsidRPr="00E84D74">
              <w:rPr>
                <w:sz w:val="18"/>
                <w:szCs w:val="18"/>
              </w:rPr>
              <w:t xml:space="preserve">3. The respective reserve prices published according to Article 29 shall be binding for the subsequent gas year or beyond the subsequent gas year in case of fixed payable price, beginning after the annual yearly capacity auction, unless: </w:t>
            </w:r>
          </w:p>
          <w:p w:rsidR="001C3381" w:rsidRPr="00E84D74" w:rsidRDefault="001C3381" w:rsidP="00DA725A">
            <w:pPr>
              <w:autoSpaceDE w:val="0"/>
              <w:autoSpaceDN w:val="0"/>
              <w:adjustRightInd w:val="0"/>
              <w:rPr>
                <w:sz w:val="18"/>
                <w:szCs w:val="18"/>
              </w:rPr>
            </w:pPr>
            <w:r w:rsidRPr="00E84D74">
              <w:rPr>
                <w:sz w:val="18"/>
                <w:szCs w:val="18"/>
              </w:rPr>
              <w:tab/>
            </w:r>
            <w:r w:rsidR="007775CF" w:rsidRPr="00E84D74">
              <w:rPr>
                <w:sz w:val="18"/>
                <w:szCs w:val="18"/>
              </w:rPr>
              <w:t xml:space="preserve">(a) the discounts for monthly and daily standard capacity products for interruptible capacity are recalculated within the tariff period if the probability of interruption referred to in Article 16 changes by more than twenty percent; </w:t>
            </w:r>
          </w:p>
          <w:p w:rsidR="007775CF" w:rsidRPr="00E84D74" w:rsidRDefault="001C3381" w:rsidP="00DA725A">
            <w:pPr>
              <w:autoSpaceDE w:val="0"/>
              <w:autoSpaceDN w:val="0"/>
              <w:adjustRightInd w:val="0"/>
              <w:rPr>
                <w:b/>
                <w:sz w:val="18"/>
                <w:szCs w:val="18"/>
              </w:rPr>
            </w:pPr>
            <w:r w:rsidRPr="00E84D74">
              <w:rPr>
                <w:sz w:val="18"/>
                <w:szCs w:val="18"/>
              </w:rPr>
              <w:tab/>
            </w:r>
            <w:r w:rsidR="007775CF" w:rsidRPr="00E84D74">
              <w:rPr>
                <w:sz w:val="18"/>
                <w:szCs w:val="18"/>
              </w:rPr>
              <w:t>(b) the reference price is recalculated within the tariff period due to exceptional circumstances under which the non-adjustment of tariff levels would jeopardise the operation of the transmission system operator.</w:t>
            </w:r>
          </w:p>
        </w:tc>
      </w:tr>
      <w:tr w:rsidR="00D146AC" w:rsidRPr="00043955" w:rsidTr="00FC3840">
        <w:trPr>
          <w:trHeight w:val="1240"/>
        </w:trPr>
        <w:tc>
          <w:tcPr>
            <w:tcW w:w="5245" w:type="dxa"/>
          </w:tcPr>
          <w:p w:rsidR="00D146AC" w:rsidRPr="00C662A2" w:rsidRDefault="00D146AC" w:rsidP="00DA725A">
            <w:pPr>
              <w:shd w:val="clear" w:color="auto" w:fill="FFFFFF"/>
              <w:jc w:val="center"/>
              <w:rPr>
                <w:b/>
                <w:i/>
                <w:iCs/>
                <w:sz w:val="18"/>
                <w:szCs w:val="18"/>
                <w:lang w:val="it-IT"/>
              </w:rPr>
            </w:pPr>
            <w:r w:rsidRPr="00C662A2">
              <w:rPr>
                <w:b/>
                <w:i/>
                <w:iCs/>
                <w:sz w:val="18"/>
                <w:szCs w:val="18"/>
                <w:lang w:val="it-IT"/>
              </w:rPr>
              <w:lastRenderedPageBreak/>
              <w:t>Articolul 13</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Nivelul coeficienților de multiplicare și al coeficienților sezonieri</w:t>
            </w:r>
          </w:p>
          <w:p w:rsidR="00D146AC" w:rsidRPr="00D82EE4" w:rsidRDefault="00D146AC" w:rsidP="00DA725A">
            <w:pPr>
              <w:shd w:val="clear" w:color="auto" w:fill="FFFFFF"/>
              <w:jc w:val="both"/>
              <w:rPr>
                <w:sz w:val="18"/>
                <w:szCs w:val="18"/>
                <w:lang w:val="it-IT"/>
              </w:rPr>
            </w:pPr>
            <w:r w:rsidRPr="00D82EE4">
              <w:rPr>
                <w:sz w:val="18"/>
                <w:szCs w:val="18"/>
                <w:lang w:val="it-IT"/>
              </w:rPr>
              <w:t>(1)   Nivelul coeficienților de multiplicare trebuie să se înscrie în următoarele intervale: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trimestrială și pentru produsele de capacitate standard lunară, nivelul coeficientului de multiplicare respectiv trebuie să fie mai mare sau egal cu 1, dar maximum 1,5;</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zilnică și pentru produsele de capacitate standard intra-zilnică, nivelul coeficientului de multiplicare respectiv trebuie să fie mai mare sau egal cu 1, dar maximum 3. În anumite cazuri justificate corespunzător, nivelul coeficienților de multiplicare respectivi poate fi mai mic de 1, dar mai mare de 0, sau mai mare de 3.</w:t>
                  </w:r>
                </w:p>
              </w:tc>
            </w:tr>
          </w:tbl>
          <w:p w:rsidR="00D146AC" w:rsidRPr="00043DC5" w:rsidRDefault="00D146AC" w:rsidP="00043DC5">
            <w:pPr>
              <w:pStyle w:val="ListParagraph"/>
              <w:numPr>
                <w:ilvl w:val="0"/>
                <w:numId w:val="53"/>
              </w:numPr>
              <w:shd w:val="clear" w:color="auto" w:fill="FFFFFF"/>
              <w:tabs>
                <w:tab w:val="left" w:pos="322"/>
              </w:tabs>
              <w:ind w:left="38" w:firstLine="0"/>
              <w:jc w:val="both"/>
              <w:rPr>
                <w:sz w:val="18"/>
                <w:szCs w:val="18"/>
                <w:lang w:val="it-IT"/>
              </w:rPr>
            </w:pPr>
            <w:r w:rsidRPr="00043DC5">
              <w:rPr>
                <w:sz w:val="18"/>
                <w:szCs w:val="18"/>
                <w:lang w:val="it-IT"/>
              </w:rPr>
              <w:t xml:space="preserve">În cazul în care se aplică coeficienți sezonieri, media aritmetică, pentru întregul an gazier, a produselor dintre coeficientul de </w:t>
            </w:r>
            <w:r w:rsidRPr="00043DC5">
              <w:rPr>
                <w:sz w:val="18"/>
                <w:szCs w:val="18"/>
                <w:lang w:val="it-IT"/>
              </w:rPr>
              <w:lastRenderedPageBreak/>
              <w:t>multiplicare aplicabil pentru respectivul produs de capacitate standard și coeficienții sezonieri relevanți trebuie să se înscrie în același interval ca cel stabilit la alineatul (1) pentru nivelul coeficienților de multiplicare corespunzători.</w:t>
            </w:r>
          </w:p>
          <w:p w:rsidR="00D146AC" w:rsidRPr="00D82EE4" w:rsidRDefault="00D146AC" w:rsidP="00DA725A">
            <w:pPr>
              <w:shd w:val="clear" w:color="auto" w:fill="FFFFFF"/>
              <w:jc w:val="both"/>
              <w:rPr>
                <w:sz w:val="18"/>
                <w:szCs w:val="18"/>
                <w:lang w:val="it-IT"/>
              </w:rPr>
            </w:pPr>
            <w:r w:rsidRPr="00D82EE4">
              <w:rPr>
                <w:sz w:val="18"/>
                <w:szCs w:val="18"/>
                <w:lang w:val="it-IT"/>
              </w:rPr>
              <w:t>(3)   Până la 1 aprilie 2023, nivelul maxim al coeficienților de multiplicare pentru produsele de capacitate standard zilnică și pentru produsele de capacitate standard intra-zilnică trebuie să fie de maximum 1,5, dacă până la 1 aprilie 2021 Agenția emite o recomandare în conformitate cu Regulamentul (CE) nr. 713/2009 în care afirmă că nivelul maxim al coeficienților de multiplicare ar trebui să fie redus până la acest nivel. Această recomandare trebuie să ia în considerare următoarele aspecte legate de utilizarea coeficienților de multiplicare și a coeficienților sezonieri înainte de 31 mai 2019 și ulterior acestei date: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17"/>
              <w:gridCol w:w="26"/>
              <w:gridCol w:w="75"/>
              <w:gridCol w:w="68"/>
              <w:gridCol w:w="4712"/>
            </w:tblGrid>
            <w:tr w:rsidR="00D146AC" w:rsidRPr="00C27D66" w:rsidTr="00775DAD">
              <w:tc>
                <w:tcPr>
                  <w:tcW w:w="235" w:type="dxa"/>
                  <w:gridSpan w:val="4"/>
                  <w:shd w:val="clear" w:color="auto" w:fill="FFFFFF"/>
                  <w:hideMark/>
                </w:tcPr>
                <w:p w:rsidR="00D146AC" w:rsidRPr="00043955" w:rsidRDefault="00D146AC" w:rsidP="00DA725A">
                  <w:pPr>
                    <w:jc w:val="both"/>
                    <w:rPr>
                      <w:sz w:val="18"/>
                      <w:szCs w:val="18"/>
                    </w:rPr>
                  </w:pPr>
                  <w:r w:rsidRPr="00043955">
                    <w:rPr>
                      <w:sz w:val="18"/>
                      <w:szCs w:val="18"/>
                    </w:rPr>
                    <w:t>(a)</w:t>
                  </w:r>
                </w:p>
              </w:tc>
              <w:tc>
                <w:tcPr>
                  <w:tcW w:w="4511"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modificările comportamentului în materie de rezervare;</w:t>
                  </w:r>
                </w:p>
              </w:tc>
            </w:tr>
            <w:tr w:rsidR="00D146AC" w:rsidRPr="00043955" w:rsidTr="00775DAD">
              <w:tc>
                <w:tcPr>
                  <w:tcW w:w="164" w:type="dxa"/>
                  <w:gridSpan w:val="3"/>
                  <w:shd w:val="clear" w:color="auto" w:fill="FFFFFF"/>
                  <w:hideMark/>
                </w:tcPr>
                <w:p w:rsidR="00D146AC" w:rsidRPr="00043955" w:rsidRDefault="00D146AC" w:rsidP="00DA725A">
                  <w:pPr>
                    <w:jc w:val="both"/>
                    <w:rPr>
                      <w:sz w:val="18"/>
                      <w:szCs w:val="18"/>
                    </w:rPr>
                  </w:pPr>
                  <w:r w:rsidRPr="00043955">
                    <w:rPr>
                      <w:sz w:val="18"/>
                      <w:szCs w:val="18"/>
                    </w:rPr>
                    <w:t>(b)</w:t>
                  </w:r>
                </w:p>
              </w:tc>
              <w:tc>
                <w:tcPr>
                  <w:tcW w:w="4582" w:type="dxa"/>
                  <w:gridSpan w:val="3"/>
                  <w:shd w:val="clear" w:color="auto" w:fill="FFFFFF"/>
                  <w:hideMark/>
                </w:tcPr>
                <w:p w:rsidR="00D146AC" w:rsidRPr="00043955" w:rsidRDefault="00D146AC" w:rsidP="00DA725A">
                  <w:pPr>
                    <w:jc w:val="both"/>
                    <w:rPr>
                      <w:sz w:val="18"/>
                      <w:szCs w:val="18"/>
                    </w:rPr>
                  </w:pPr>
                  <w:r w:rsidRPr="00043955">
                    <w:rPr>
                      <w:sz w:val="18"/>
                      <w:szCs w:val="18"/>
                    </w:rPr>
                    <w:t>impactul asupra venitului aferent serviciilor de transport și asupra recuperării acestuia;</w:t>
                  </w:r>
                </w:p>
              </w:tc>
            </w:tr>
            <w:tr w:rsidR="00D146AC" w:rsidRPr="00C27D66" w:rsidTr="00775DAD">
              <w:tc>
                <w:tcPr>
                  <w:tcW w:w="139" w:type="dxa"/>
                  <w:gridSpan w:val="2"/>
                  <w:shd w:val="clear" w:color="auto" w:fill="FFFFFF"/>
                  <w:hideMark/>
                </w:tcPr>
                <w:p w:rsidR="00D146AC" w:rsidRPr="00043955" w:rsidRDefault="00D146AC" w:rsidP="00DA725A">
                  <w:pPr>
                    <w:jc w:val="both"/>
                    <w:rPr>
                      <w:sz w:val="18"/>
                      <w:szCs w:val="18"/>
                    </w:rPr>
                  </w:pPr>
                  <w:r w:rsidRPr="00043955">
                    <w:rPr>
                      <w:sz w:val="18"/>
                      <w:szCs w:val="18"/>
                    </w:rPr>
                    <w:t>(c)</w:t>
                  </w:r>
                </w:p>
              </w:tc>
              <w:tc>
                <w:tcPr>
                  <w:tcW w:w="4607" w:type="dxa"/>
                  <w:gridSpan w:val="4"/>
                  <w:shd w:val="clear" w:color="auto" w:fill="FFFFFF"/>
                  <w:hideMark/>
                </w:tcPr>
                <w:p w:rsidR="00D146AC" w:rsidRPr="00D82EE4" w:rsidRDefault="00D146AC" w:rsidP="00DA725A">
                  <w:pPr>
                    <w:jc w:val="both"/>
                    <w:rPr>
                      <w:sz w:val="18"/>
                      <w:szCs w:val="18"/>
                      <w:lang w:val="it-IT"/>
                    </w:rPr>
                  </w:pPr>
                  <w:r w:rsidRPr="00D82EE4">
                    <w:rPr>
                      <w:sz w:val="18"/>
                      <w:szCs w:val="18"/>
                      <w:lang w:val="it-IT"/>
                    </w:rPr>
                    <w:t>diferențele dintre nivelul tarifelor de transport aplicabile pentru două perioade tarifare consecutive;</w:t>
                  </w:r>
                </w:p>
              </w:tc>
            </w:tr>
            <w:tr w:rsidR="00D146AC" w:rsidRPr="00043955" w:rsidTr="00775DAD">
              <w:tc>
                <w:tcPr>
                  <w:tcW w:w="123"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4623" w:type="dxa"/>
                  <w:gridSpan w:val="5"/>
                  <w:shd w:val="clear" w:color="auto" w:fill="FFFFFF"/>
                  <w:hideMark/>
                </w:tcPr>
                <w:p w:rsidR="00D146AC" w:rsidRPr="00043955" w:rsidRDefault="00D146AC" w:rsidP="00DA725A">
                  <w:pPr>
                    <w:jc w:val="both"/>
                    <w:rPr>
                      <w:sz w:val="18"/>
                      <w:szCs w:val="18"/>
                    </w:rPr>
                  </w:pPr>
                  <w:r w:rsidRPr="00043955">
                    <w:rPr>
                      <w:sz w:val="18"/>
                      <w:szCs w:val="18"/>
                    </w:rPr>
                    <w:t>subvenționarea încrucișată între utilizatorii rețelei care au contractat produse de capacitate standard anuală și neanuală;</w:t>
                  </w:r>
                </w:p>
              </w:tc>
            </w:tr>
            <w:tr w:rsidR="00D146AC" w:rsidRPr="00043955" w:rsidTr="00775DAD">
              <w:tc>
                <w:tcPr>
                  <w:tcW w:w="299" w:type="dxa"/>
                  <w:gridSpan w:val="5"/>
                  <w:shd w:val="clear" w:color="auto" w:fill="FFFFFF"/>
                  <w:hideMark/>
                </w:tcPr>
                <w:p w:rsidR="00D146AC" w:rsidRPr="00043955" w:rsidRDefault="00D146AC" w:rsidP="00DA725A">
                  <w:pPr>
                    <w:jc w:val="both"/>
                    <w:rPr>
                      <w:sz w:val="18"/>
                      <w:szCs w:val="18"/>
                    </w:rPr>
                  </w:pPr>
                  <w:r w:rsidRPr="00043955">
                    <w:rPr>
                      <w:sz w:val="18"/>
                      <w:szCs w:val="18"/>
                    </w:rPr>
                    <w:t>(e)</w:t>
                  </w:r>
                </w:p>
              </w:tc>
              <w:tc>
                <w:tcPr>
                  <w:tcW w:w="4447" w:type="dxa"/>
                  <w:shd w:val="clear" w:color="auto" w:fill="FFFFFF"/>
                  <w:hideMark/>
                </w:tcPr>
                <w:p w:rsidR="00D146AC" w:rsidRPr="00043955" w:rsidRDefault="00D146AC" w:rsidP="00DA725A">
                  <w:pPr>
                    <w:jc w:val="both"/>
                    <w:rPr>
                      <w:sz w:val="18"/>
                      <w:szCs w:val="18"/>
                    </w:rPr>
                  </w:pPr>
                  <w:r w:rsidRPr="00043955">
                    <w:rPr>
                      <w:sz w:val="18"/>
                      <w:szCs w:val="18"/>
                    </w:rPr>
                    <w:t>impactul asupra fluxurilor transfrontaliere.</w:t>
                  </w:r>
                </w:p>
              </w:tc>
            </w:tr>
          </w:tbl>
          <w:p w:rsidR="00D146AC" w:rsidRPr="00043955" w:rsidRDefault="00D146AC" w:rsidP="00DA725A">
            <w:pPr>
              <w:shd w:val="clear" w:color="auto" w:fill="FFFFFF"/>
              <w:jc w:val="both"/>
              <w:rPr>
                <w:b/>
                <w:bCs/>
                <w:sz w:val="18"/>
                <w:szCs w:val="18"/>
              </w:rPr>
            </w:pP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2</w:t>
            </w:r>
          </w:p>
          <w:p w:rsidR="00D146AC" w:rsidRPr="00043955" w:rsidRDefault="00D146AC" w:rsidP="00DA725A">
            <w:pPr>
              <w:jc w:val="center"/>
              <w:rPr>
                <w:b/>
                <w:sz w:val="18"/>
                <w:szCs w:val="18"/>
                <w:lang w:val="ro-RO"/>
              </w:rPr>
            </w:pPr>
            <w:r w:rsidRPr="00043955">
              <w:rPr>
                <w:b/>
                <w:sz w:val="18"/>
                <w:szCs w:val="18"/>
                <w:lang w:val="ro-RO"/>
              </w:rPr>
              <w:t>Nivelul coeficienților de multiplicare și al coeficienților/factorilor sezonieri</w:t>
            </w:r>
          </w:p>
          <w:p w:rsidR="00D146AC" w:rsidRDefault="00D146AC" w:rsidP="00DA725A">
            <w:pPr>
              <w:tabs>
                <w:tab w:val="left" w:pos="851"/>
              </w:tabs>
              <w:jc w:val="both"/>
              <w:outlineLvl w:val="0"/>
              <w:rPr>
                <w:sz w:val="18"/>
                <w:szCs w:val="18"/>
                <w:lang w:val="ro-RO"/>
              </w:rPr>
            </w:pPr>
          </w:p>
          <w:p w:rsidR="006E5522" w:rsidRPr="00380C00" w:rsidRDefault="006E5522" w:rsidP="006E5522">
            <w:pPr>
              <w:tabs>
                <w:tab w:val="left" w:pos="851"/>
              </w:tabs>
              <w:jc w:val="both"/>
              <w:outlineLvl w:val="0"/>
              <w:rPr>
                <w:sz w:val="18"/>
                <w:szCs w:val="18"/>
                <w:lang w:val="it-IT"/>
              </w:rPr>
            </w:pPr>
            <w:r w:rsidRPr="00380C00">
              <w:rPr>
                <w:b/>
                <w:bCs/>
                <w:sz w:val="18"/>
                <w:szCs w:val="18"/>
                <w:lang w:val="it-IT"/>
              </w:rPr>
              <w:t>357.</w:t>
            </w:r>
            <w:r w:rsidRPr="00380C00">
              <w:rPr>
                <w:sz w:val="18"/>
                <w:szCs w:val="18"/>
                <w:lang w:val="it-IT"/>
              </w:rPr>
              <w:t xml:space="preserve"> Nivelul coeficienţilor de multiplicare trebuie să se înscrie în următoarele intervale:</w:t>
            </w:r>
          </w:p>
          <w:p w:rsidR="006E5522" w:rsidRPr="00380C00" w:rsidRDefault="006E5522" w:rsidP="006E5522">
            <w:pPr>
              <w:tabs>
                <w:tab w:val="left" w:pos="851"/>
              </w:tabs>
              <w:jc w:val="both"/>
              <w:outlineLvl w:val="0"/>
              <w:rPr>
                <w:sz w:val="18"/>
                <w:szCs w:val="18"/>
                <w:lang w:val="it-IT"/>
              </w:rPr>
            </w:pPr>
            <w:r w:rsidRPr="00380C00">
              <w:rPr>
                <w:sz w:val="18"/>
                <w:szCs w:val="18"/>
                <w:lang w:val="it-IT"/>
              </w:rPr>
              <w:t>1) pentru PCS trimestrială şi pentru PCS lunară, nivelul coeficientului de multiplicare trebuie să fie mai mare sau egal cu 1, dar maximum 1,5;</w:t>
            </w:r>
          </w:p>
          <w:p w:rsidR="006E5522" w:rsidRPr="00380C00" w:rsidRDefault="006E5522" w:rsidP="006E5522">
            <w:pPr>
              <w:tabs>
                <w:tab w:val="left" w:pos="851"/>
              </w:tabs>
              <w:jc w:val="both"/>
              <w:outlineLvl w:val="0"/>
              <w:rPr>
                <w:sz w:val="18"/>
                <w:szCs w:val="18"/>
                <w:lang w:val="it-IT"/>
              </w:rPr>
            </w:pPr>
            <w:r w:rsidRPr="00380C00">
              <w:rPr>
                <w:sz w:val="18"/>
                <w:szCs w:val="18"/>
                <w:lang w:val="it-IT"/>
              </w:rPr>
              <w:t xml:space="preserve">2) pentru PCS zilnică şi pentru PCS intra-zilnică, nivelul coeficientului de multiplicare trebuie să fie mai mare sau egal cu 1, dar maximum 3. În anumite cazuri justificate corespunzător, nivelul coeficienţilor de multiplicare respectivi poate fi mai mic de 1, dar mai mare de 0, sau mai mare de 3. </w:t>
            </w:r>
          </w:p>
          <w:p w:rsidR="006E5522" w:rsidRPr="00380C00" w:rsidRDefault="006E5522" w:rsidP="006E5522">
            <w:pPr>
              <w:tabs>
                <w:tab w:val="left" w:pos="851"/>
              </w:tabs>
              <w:jc w:val="both"/>
              <w:outlineLvl w:val="0"/>
              <w:rPr>
                <w:sz w:val="18"/>
                <w:szCs w:val="18"/>
                <w:lang w:val="it-IT"/>
              </w:rPr>
            </w:pPr>
            <w:r w:rsidRPr="00380C00">
              <w:rPr>
                <w:b/>
                <w:bCs/>
                <w:sz w:val="18"/>
                <w:szCs w:val="18"/>
                <w:lang w:val="it-IT"/>
              </w:rPr>
              <w:t>358.</w:t>
            </w:r>
            <w:r w:rsidRPr="00380C00">
              <w:rPr>
                <w:sz w:val="18"/>
                <w:szCs w:val="18"/>
                <w:lang w:val="it-IT"/>
              </w:rPr>
              <w:t xml:space="preserve"> În cazul în care se aplică coeficienţi sezonieri, media aritmetică pentru întregul an gazier, a produselor dintre </w:t>
            </w:r>
            <w:r w:rsidRPr="00380C00">
              <w:rPr>
                <w:sz w:val="18"/>
                <w:szCs w:val="18"/>
                <w:lang w:val="it-IT"/>
              </w:rPr>
              <w:lastRenderedPageBreak/>
              <w:t>coeficientul de multiplicare aplicabil pentru respectivul PCS şi coeficienţii sezonieri relevanţi trebuie să se înscrie în acelaşi interval ca cel stabilit la pct.357 pentru nivelul multiplicatorilor corespunzători.</w:t>
            </w:r>
          </w:p>
          <w:p w:rsidR="00D146AC" w:rsidRDefault="00D146AC" w:rsidP="00DA725A">
            <w:pPr>
              <w:tabs>
                <w:tab w:val="left" w:pos="851"/>
              </w:tabs>
              <w:jc w:val="both"/>
              <w:outlineLvl w:val="0"/>
              <w:rPr>
                <w:sz w:val="18"/>
                <w:szCs w:val="18"/>
                <w:lang w:val="it-IT"/>
              </w:rPr>
            </w:pPr>
          </w:p>
          <w:p w:rsidR="00043DC5" w:rsidRPr="00380C00" w:rsidRDefault="00043DC5" w:rsidP="00DA725A">
            <w:pPr>
              <w:tabs>
                <w:tab w:val="left" w:pos="851"/>
              </w:tabs>
              <w:jc w:val="both"/>
              <w:outlineLvl w:val="0"/>
              <w:rPr>
                <w:sz w:val="18"/>
                <w:szCs w:val="18"/>
                <w:lang w:val="it-IT"/>
              </w:rPr>
            </w:pPr>
          </w:p>
          <w:p w:rsidR="003B1C6A" w:rsidRPr="00485F66" w:rsidRDefault="003B1C6A" w:rsidP="003B1C6A">
            <w:pPr>
              <w:jc w:val="both"/>
              <w:rPr>
                <w:sz w:val="18"/>
                <w:szCs w:val="18"/>
                <w:lang w:val="it-IT"/>
              </w:rPr>
            </w:pPr>
            <w:r w:rsidRPr="00485F66">
              <w:rPr>
                <w:b/>
                <w:bCs/>
                <w:sz w:val="18"/>
                <w:szCs w:val="18"/>
                <w:lang w:val="it-IT"/>
              </w:rPr>
              <w:t>634.</w:t>
            </w:r>
            <w:r w:rsidRPr="00485F66">
              <w:rPr>
                <w:sz w:val="18"/>
                <w:szCs w:val="18"/>
                <w:lang w:val="it-IT"/>
              </w:rPr>
              <w:t xml:space="preserve"> </w:t>
            </w:r>
            <w:r w:rsidRPr="00485F66">
              <w:rPr>
                <w:b/>
                <w:sz w:val="18"/>
                <w:szCs w:val="18"/>
                <w:lang w:val="it-IT"/>
              </w:rPr>
              <w:t>Până la 1 octombrie 2025 nivelul maxim al coeficienţilor de multiplicare pentru PCS zilnică şi pentru PCS intra-zilnică trebuie să fie de maximum 1,5, dacă până la 1 octombrie 2023 Comitetul de reglementare al CE emite o recomandare conform căreia nivelul maxim al coeficienţilor de multiplicare ar trebui să fie redus până</w:t>
            </w:r>
            <w:r w:rsidRPr="00485F66">
              <w:rPr>
                <w:sz w:val="18"/>
                <w:szCs w:val="18"/>
                <w:lang w:val="it-IT"/>
              </w:rPr>
              <w:t xml:space="preserve"> la acest nivel. Această recomandare ia în considerare următoarele aspecte legate de utilizarea coeficienţilor de multiplicare şi a coeficienţilor sezonieri până la data de 31 mai 2021 şi ulterior acestei date:</w:t>
            </w:r>
          </w:p>
          <w:p w:rsidR="003B1C6A" w:rsidRPr="00485F66" w:rsidRDefault="003B1C6A" w:rsidP="003B1C6A">
            <w:pPr>
              <w:ind w:firstLine="567"/>
              <w:jc w:val="both"/>
              <w:rPr>
                <w:sz w:val="18"/>
                <w:szCs w:val="18"/>
                <w:lang w:val="it-IT"/>
              </w:rPr>
            </w:pPr>
            <w:r w:rsidRPr="00485F66">
              <w:rPr>
                <w:sz w:val="18"/>
                <w:szCs w:val="18"/>
                <w:lang w:val="it-IT"/>
              </w:rPr>
              <w:t>1) modificările tendinţelor de rezervare de capacitate;</w:t>
            </w:r>
          </w:p>
          <w:p w:rsidR="003B1C6A" w:rsidRPr="00485F66" w:rsidRDefault="003B1C6A" w:rsidP="003B1C6A">
            <w:pPr>
              <w:ind w:firstLine="567"/>
              <w:jc w:val="both"/>
              <w:rPr>
                <w:sz w:val="18"/>
                <w:szCs w:val="18"/>
                <w:lang w:val="it-IT"/>
              </w:rPr>
            </w:pPr>
            <w:r w:rsidRPr="00485F66">
              <w:rPr>
                <w:sz w:val="18"/>
                <w:szCs w:val="18"/>
                <w:lang w:val="it-IT"/>
              </w:rPr>
              <w:t>2) impactul asupra venitului aferent serviciilor de transport şi asupra recuperării acestuia;</w:t>
            </w:r>
          </w:p>
          <w:p w:rsidR="003B1C6A" w:rsidRPr="00485F66" w:rsidRDefault="003B1C6A" w:rsidP="003B1C6A">
            <w:pPr>
              <w:ind w:firstLine="567"/>
              <w:jc w:val="both"/>
              <w:rPr>
                <w:sz w:val="18"/>
                <w:szCs w:val="18"/>
                <w:lang w:val="it-IT"/>
              </w:rPr>
            </w:pPr>
            <w:r w:rsidRPr="00485F66">
              <w:rPr>
                <w:sz w:val="18"/>
                <w:szCs w:val="18"/>
                <w:lang w:val="it-IT"/>
              </w:rPr>
              <w:t>3) diferenţele dintre nivelul tarifelor pentru serviciul de transport aplicabile pentru 2 perioade tarifare consecutive;</w:t>
            </w:r>
          </w:p>
          <w:p w:rsidR="003B1C6A" w:rsidRPr="00485F66" w:rsidRDefault="003B1C6A" w:rsidP="003B1C6A">
            <w:pPr>
              <w:ind w:firstLine="567"/>
              <w:jc w:val="both"/>
              <w:rPr>
                <w:sz w:val="18"/>
                <w:szCs w:val="18"/>
                <w:lang w:val="it-IT"/>
              </w:rPr>
            </w:pPr>
            <w:r w:rsidRPr="00485F66">
              <w:rPr>
                <w:sz w:val="18"/>
                <w:szCs w:val="18"/>
                <w:lang w:val="it-IT"/>
              </w:rPr>
              <w:t>4) subvenţionarea încrucişată între utilizatorii de sistem care au contractat PCS anuală şi non-anuală;</w:t>
            </w:r>
          </w:p>
          <w:p w:rsidR="003B1C6A" w:rsidRPr="003B1C6A" w:rsidRDefault="003B1C6A" w:rsidP="003B1C6A">
            <w:pPr>
              <w:ind w:firstLine="567"/>
              <w:jc w:val="both"/>
              <w:rPr>
                <w:sz w:val="18"/>
                <w:szCs w:val="18"/>
                <w:lang w:val="en-GB"/>
              </w:rPr>
            </w:pPr>
            <w:r w:rsidRPr="003B1C6A">
              <w:rPr>
                <w:sz w:val="18"/>
                <w:szCs w:val="18"/>
                <w:lang w:val="en-GB"/>
              </w:rPr>
              <w:t>5) impactul asupra fluxurilor transfrontaliere.</w:t>
            </w:r>
          </w:p>
          <w:p w:rsidR="00D146AC" w:rsidRPr="00043955" w:rsidRDefault="00D146AC" w:rsidP="00DA725A">
            <w:pPr>
              <w:shd w:val="clear" w:color="auto" w:fill="FFFFFF"/>
              <w:jc w:val="both"/>
              <w:rPr>
                <w:b/>
                <w:bCs/>
                <w:sz w:val="18"/>
                <w:szCs w:val="18"/>
                <w:lang w:val="ro-RO"/>
              </w:rPr>
            </w:pPr>
          </w:p>
        </w:tc>
        <w:tc>
          <w:tcPr>
            <w:tcW w:w="1275" w:type="dxa"/>
          </w:tcPr>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7D7058" w:rsidRPr="00E84D74" w:rsidRDefault="007D7058" w:rsidP="00DA725A">
            <w:pPr>
              <w:jc w:val="center"/>
              <w:rPr>
                <w:b/>
                <w:sz w:val="18"/>
                <w:szCs w:val="18"/>
              </w:rPr>
            </w:pPr>
            <w:r w:rsidRPr="00E84D74">
              <w:rPr>
                <w:b/>
                <w:sz w:val="18"/>
                <w:szCs w:val="18"/>
              </w:rPr>
              <w:lastRenderedPageBreak/>
              <w:t>Article 13</w:t>
            </w:r>
          </w:p>
          <w:p w:rsidR="007D7058" w:rsidRPr="00E84D74" w:rsidRDefault="007D7058" w:rsidP="00DA725A">
            <w:pPr>
              <w:jc w:val="center"/>
              <w:rPr>
                <w:b/>
                <w:sz w:val="18"/>
                <w:szCs w:val="18"/>
              </w:rPr>
            </w:pPr>
            <w:r w:rsidRPr="00E84D74">
              <w:rPr>
                <w:b/>
                <w:sz w:val="18"/>
                <w:szCs w:val="18"/>
              </w:rPr>
              <w:t>Level of multipliers and seasonal factors</w:t>
            </w:r>
          </w:p>
          <w:p w:rsidR="00B3316A" w:rsidRDefault="00B3316A" w:rsidP="00DA725A">
            <w:pPr>
              <w:autoSpaceDE w:val="0"/>
              <w:autoSpaceDN w:val="0"/>
              <w:adjustRightInd w:val="0"/>
              <w:rPr>
                <w:sz w:val="18"/>
                <w:szCs w:val="18"/>
              </w:rPr>
            </w:pPr>
          </w:p>
          <w:p w:rsidR="00AC425B" w:rsidRPr="00E84D74" w:rsidRDefault="00AC425B" w:rsidP="00DA725A">
            <w:pPr>
              <w:autoSpaceDE w:val="0"/>
              <w:autoSpaceDN w:val="0"/>
              <w:adjustRightInd w:val="0"/>
              <w:rPr>
                <w:sz w:val="18"/>
                <w:szCs w:val="18"/>
              </w:rPr>
            </w:pPr>
          </w:p>
          <w:p w:rsidR="007D7058" w:rsidRPr="00E84D74" w:rsidRDefault="007D7058" w:rsidP="00DA725A">
            <w:pPr>
              <w:autoSpaceDE w:val="0"/>
              <w:autoSpaceDN w:val="0"/>
              <w:adjustRightInd w:val="0"/>
              <w:rPr>
                <w:sz w:val="18"/>
                <w:szCs w:val="18"/>
              </w:rPr>
            </w:pPr>
            <w:r w:rsidRPr="00E84D74">
              <w:rPr>
                <w:sz w:val="18"/>
                <w:szCs w:val="18"/>
              </w:rPr>
              <w:t xml:space="preserve">1. The level of multipliers shall fall within the following ranges: </w:t>
            </w:r>
          </w:p>
          <w:p w:rsidR="007D7058" w:rsidRPr="00E84D74" w:rsidRDefault="007D7058" w:rsidP="00AC425B">
            <w:pPr>
              <w:tabs>
                <w:tab w:val="left" w:pos="322"/>
              </w:tabs>
              <w:autoSpaceDE w:val="0"/>
              <w:autoSpaceDN w:val="0"/>
              <w:adjustRightInd w:val="0"/>
              <w:ind w:hanging="104"/>
              <w:rPr>
                <w:sz w:val="18"/>
                <w:szCs w:val="18"/>
              </w:rPr>
            </w:pPr>
            <w:r w:rsidRPr="00E84D74">
              <w:rPr>
                <w:sz w:val="18"/>
                <w:szCs w:val="18"/>
              </w:rPr>
              <w:tab/>
              <w:t xml:space="preserve">(a) for quarterly standard capacity products and for monthly standard capacity products, the level of the respective multiplier shall be no less than 1 and no more than 1,5; </w:t>
            </w:r>
          </w:p>
          <w:p w:rsidR="00F50B15" w:rsidRPr="00E84D74" w:rsidRDefault="007D7058" w:rsidP="00AC425B">
            <w:pPr>
              <w:tabs>
                <w:tab w:val="left" w:pos="322"/>
              </w:tabs>
              <w:autoSpaceDE w:val="0"/>
              <w:autoSpaceDN w:val="0"/>
              <w:adjustRightInd w:val="0"/>
              <w:ind w:hanging="104"/>
              <w:rPr>
                <w:sz w:val="18"/>
                <w:szCs w:val="18"/>
              </w:rPr>
            </w:pPr>
            <w:r w:rsidRPr="00E84D74">
              <w:rPr>
                <w:sz w:val="18"/>
                <w:szCs w:val="18"/>
              </w:rPr>
              <w:tab/>
              <w:t xml:space="preserve">(b) for daily standard capacity products and for within-day standard capacity products, the level of the respective multiplier shall be no less than 1 and no more than 3. In duly justified cases, the level of the respective multipliers may be less than 1, but higher than 0, or higher than 3. 2. </w:t>
            </w:r>
          </w:p>
          <w:p w:rsidR="00F50B15" w:rsidRPr="00E84D74" w:rsidRDefault="007D7058" w:rsidP="00DA725A">
            <w:pPr>
              <w:autoSpaceDE w:val="0"/>
              <w:autoSpaceDN w:val="0"/>
              <w:adjustRightInd w:val="0"/>
              <w:rPr>
                <w:sz w:val="18"/>
                <w:szCs w:val="18"/>
              </w:rPr>
            </w:pPr>
            <w:r w:rsidRPr="00E84D74">
              <w:rPr>
                <w:sz w:val="18"/>
                <w:szCs w:val="18"/>
              </w:rPr>
              <w:lastRenderedPageBreak/>
              <w:t xml:space="preserve">Where seasonal factors are applied, the arithmetic mean over the gas year of the product of the multiplier applicable for the respective standard capacity product and the relevant seasonal factors shall be within the same range as for the level of the respective multipliers set out in paragraph 1. </w:t>
            </w:r>
          </w:p>
          <w:p w:rsidR="004D6FA0" w:rsidRPr="00E84D74" w:rsidRDefault="007D7058" w:rsidP="00DA725A">
            <w:pPr>
              <w:autoSpaceDE w:val="0"/>
              <w:autoSpaceDN w:val="0"/>
              <w:adjustRightInd w:val="0"/>
              <w:rPr>
                <w:sz w:val="18"/>
                <w:szCs w:val="18"/>
              </w:rPr>
            </w:pPr>
            <w:r w:rsidRPr="00E84D74">
              <w:rPr>
                <w:sz w:val="18"/>
                <w:szCs w:val="18"/>
              </w:rPr>
              <w:t xml:space="preserve">3. By 1 October 2025, the maximum level of multipliers for daily standard capacity products and for within-day standard capacity products shall be no more than 1,5, if by 1 October 2023 the Energy Community Regulatory Board issues a recommendation that the maximum level of multipliers should be reduced to this level. This recommendation shall take into account the following aspects related to the use of multipliers and seasonal factors before and as from 31 May 2021: </w:t>
            </w:r>
          </w:p>
          <w:p w:rsidR="004D6FA0" w:rsidRPr="00E84D74" w:rsidRDefault="004D6FA0" w:rsidP="00DA725A">
            <w:pPr>
              <w:autoSpaceDE w:val="0"/>
              <w:autoSpaceDN w:val="0"/>
              <w:adjustRightInd w:val="0"/>
              <w:rPr>
                <w:sz w:val="18"/>
                <w:szCs w:val="18"/>
              </w:rPr>
            </w:pPr>
            <w:r w:rsidRPr="00E84D74">
              <w:rPr>
                <w:sz w:val="18"/>
                <w:szCs w:val="18"/>
              </w:rPr>
              <w:tab/>
            </w:r>
            <w:r w:rsidR="007D7058" w:rsidRPr="00E84D74">
              <w:rPr>
                <w:sz w:val="18"/>
                <w:szCs w:val="18"/>
              </w:rPr>
              <w:t xml:space="preserve">(a) changes in booking behaviour; </w:t>
            </w:r>
          </w:p>
          <w:p w:rsidR="004D6FA0" w:rsidRPr="00E84D74" w:rsidRDefault="004D6FA0" w:rsidP="00DA725A">
            <w:pPr>
              <w:autoSpaceDE w:val="0"/>
              <w:autoSpaceDN w:val="0"/>
              <w:adjustRightInd w:val="0"/>
              <w:rPr>
                <w:sz w:val="18"/>
                <w:szCs w:val="18"/>
              </w:rPr>
            </w:pPr>
            <w:r w:rsidRPr="00E84D74">
              <w:rPr>
                <w:sz w:val="18"/>
                <w:szCs w:val="18"/>
              </w:rPr>
              <w:tab/>
            </w:r>
            <w:r w:rsidR="007D7058" w:rsidRPr="00E84D74">
              <w:rPr>
                <w:sz w:val="18"/>
                <w:szCs w:val="18"/>
              </w:rPr>
              <w:t xml:space="preserve">(b) impact on the transmission services revenue and its recovery; </w:t>
            </w:r>
          </w:p>
          <w:p w:rsidR="004D6FA0" w:rsidRPr="00E84D74" w:rsidRDefault="004D6FA0" w:rsidP="00DA725A">
            <w:pPr>
              <w:autoSpaceDE w:val="0"/>
              <w:autoSpaceDN w:val="0"/>
              <w:adjustRightInd w:val="0"/>
              <w:rPr>
                <w:sz w:val="18"/>
                <w:szCs w:val="18"/>
              </w:rPr>
            </w:pPr>
            <w:r w:rsidRPr="00E84D74">
              <w:rPr>
                <w:sz w:val="18"/>
                <w:szCs w:val="18"/>
              </w:rPr>
              <w:tab/>
            </w:r>
            <w:r w:rsidR="007D7058" w:rsidRPr="00E84D74">
              <w:rPr>
                <w:sz w:val="18"/>
                <w:szCs w:val="18"/>
              </w:rPr>
              <w:t xml:space="preserve">(c) differences between the level of transmission tariffs applicable for two consecutive tariff periods; </w:t>
            </w:r>
          </w:p>
          <w:p w:rsidR="00D146AC" w:rsidRPr="00E84D74" w:rsidRDefault="004D6FA0" w:rsidP="00DA725A">
            <w:pPr>
              <w:autoSpaceDE w:val="0"/>
              <w:autoSpaceDN w:val="0"/>
              <w:adjustRightInd w:val="0"/>
              <w:rPr>
                <w:b/>
                <w:sz w:val="18"/>
                <w:szCs w:val="18"/>
              </w:rPr>
            </w:pPr>
            <w:r w:rsidRPr="00E84D74">
              <w:rPr>
                <w:sz w:val="18"/>
                <w:szCs w:val="18"/>
              </w:rPr>
              <w:tab/>
            </w:r>
            <w:r w:rsidR="007D7058" w:rsidRPr="00E84D74">
              <w:rPr>
                <w:sz w:val="18"/>
                <w:szCs w:val="18"/>
              </w:rPr>
              <w:t>(d) cross-subsidisation between network users having contracted yearly and non-yearly standard capacity products; (e) impact on cross-border flows</w:t>
            </w:r>
          </w:p>
        </w:tc>
      </w:tr>
      <w:tr w:rsidR="00D146AC" w:rsidRPr="00043955" w:rsidTr="00FC3840">
        <w:trPr>
          <w:trHeight w:val="1240"/>
        </w:trPr>
        <w:tc>
          <w:tcPr>
            <w:tcW w:w="5245" w:type="dxa"/>
          </w:tcPr>
          <w:p w:rsidR="00D146AC" w:rsidRPr="00B3316A" w:rsidRDefault="00D146AC" w:rsidP="00DA725A">
            <w:pPr>
              <w:shd w:val="clear" w:color="auto" w:fill="FFFFFF"/>
              <w:jc w:val="center"/>
              <w:rPr>
                <w:b/>
                <w:i/>
                <w:iCs/>
                <w:sz w:val="18"/>
                <w:szCs w:val="18"/>
              </w:rPr>
            </w:pPr>
            <w:r w:rsidRPr="00B3316A">
              <w:rPr>
                <w:b/>
                <w:i/>
                <w:iCs/>
                <w:sz w:val="18"/>
                <w:szCs w:val="18"/>
              </w:rPr>
              <w:lastRenderedPageBreak/>
              <w:t>Articolul 14</w:t>
            </w:r>
          </w:p>
          <w:p w:rsidR="00D146AC" w:rsidRPr="00043955" w:rsidRDefault="00D146AC" w:rsidP="00DA725A">
            <w:pPr>
              <w:shd w:val="clear" w:color="auto" w:fill="FFFFFF"/>
              <w:jc w:val="both"/>
              <w:rPr>
                <w:b/>
                <w:bCs/>
                <w:sz w:val="18"/>
                <w:szCs w:val="18"/>
              </w:rPr>
            </w:pPr>
            <w:r w:rsidRPr="00043955">
              <w:rPr>
                <w:b/>
                <w:bCs/>
                <w:sz w:val="18"/>
                <w:szCs w:val="18"/>
              </w:rPr>
              <w:t>Calcularea prețurilor de rezervă pentru produsele de capacitate standard neanuală pentru capacitate fermă în absența coeficienților sezonieri</w:t>
            </w:r>
          </w:p>
          <w:p w:rsidR="00D146AC" w:rsidRPr="00043955" w:rsidRDefault="00D146AC" w:rsidP="00DA725A">
            <w:pPr>
              <w:shd w:val="clear" w:color="auto" w:fill="FFFFFF"/>
              <w:jc w:val="both"/>
              <w:rPr>
                <w:sz w:val="18"/>
                <w:szCs w:val="18"/>
              </w:rPr>
            </w:pPr>
            <w:r w:rsidRPr="00043955">
              <w:rPr>
                <w:sz w:val="18"/>
                <w:szCs w:val="18"/>
              </w:rPr>
              <w:t>Prețurile de rezervă pentru produsele de capacitate standard neanuală pentru capacitate fermă se calculează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4986"/>
            </w:tblGrid>
            <w:tr w:rsidR="00D146AC" w:rsidRPr="00C27D66" w:rsidTr="00775DAD">
              <w:tc>
                <w:tcPr>
                  <w:tcW w:w="4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70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trimestrială, pentru produsele de capacitate standard lunară și pentru produsele de capacitate standard zilnică, în conformitate cu formula de mai jos:</w:t>
                  </w:r>
                </w:p>
                <w:p w:rsidR="00D146AC" w:rsidRPr="00043955" w:rsidRDefault="00D146AC" w:rsidP="00DA725A">
                  <w:pPr>
                    <w:jc w:val="both"/>
                    <w:rPr>
                      <w:sz w:val="18"/>
                      <w:szCs w:val="18"/>
                    </w:rPr>
                  </w:pPr>
                  <w:r w:rsidRPr="00043955">
                    <w:rPr>
                      <w:sz w:val="18"/>
                      <w:szCs w:val="18"/>
                    </w:rPr>
                    <w:t>P</w:t>
                  </w:r>
                  <w:r w:rsidRPr="00043955">
                    <w:rPr>
                      <w:sz w:val="18"/>
                      <w:szCs w:val="18"/>
                      <w:vertAlign w:val="subscript"/>
                    </w:rPr>
                    <w:t>st</w:t>
                  </w:r>
                  <w:r w:rsidRPr="00043955">
                    <w:rPr>
                      <w:sz w:val="18"/>
                      <w:szCs w:val="18"/>
                    </w:rPr>
                    <w:t> = (M × T / 365) × D</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40"/>
                    <w:gridCol w:w="12"/>
                    <w:gridCol w:w="78"/>
                    <w:gridCol w:w="4856"/>
                  </w:tblGrid>
                  <w:tr w:rsidR="00D146AC" w:rsidRPr="00043955" w:rsidTr="00775DAD">
                    <w:tc>
                      <w:tcPr>
                        <w:tcW w:w="49" w:type="dxa"/>
                        <w:gridSpan w:val="2"/>
                        <w:shd w:val="clear" w:color="auto" w:fill="auto"/>
                        <w:hideMark/>
                      </w:tcPr>
                      <w:p w:rsidR="00D146AC" w:rsidRPr="00043955" w:rsidRDefault="00D146AC" w:rsidP="00DA725A">
                        <w:pPr>
                          <w:jc w:val="both"/>
                          <w:rPr>
                            <w:sz w:val="18"/>
                            <w:szCs w:val="18"/>
                          </w:rPr>
                        </w:pPr>
                        <w:r w:rsidRPr="00043955">
                          <w:rPr>
                            <w:sz w:val="18"/>
                            <w:szCs w:val="18"/>
                          </w:rPr>
                          <w:t> </w:t>
                        </w:r>
                      </w:p>
                    </w:tc>
                    <w:tc>
                      <w:tcPr>
                        <w:tcW w:w="4657" w:type="dxa"/>
                        <w:gridSpan w:val="2"/>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st</w:t>
                        </w:r>
                        <w:r w:rsidRPr="00043955">
                          <w:rPr>
                            <w:sz w:val="18"/>
                            <w:szCs w:val="18"/>
                          </w:rPr>
                          <w:t> este prețul de rezervă pentru respectivul produs de capacitate standard;</w:t>
                        </w:r>
                      </w:p>
                    </w:tc>
                  </w:tr>
                  <w:tr w:rsidR="00D146AC" w:rsidRPr="00C27D66" w:rsidTr="00775DAD">
                    <w:tc>
                      <w:tcPr>
                        <w:tcW w:w="3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68"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M este nivelul coeficientului de multiplicare corespunzător respectivului produs de capacitate standard;</w:t>
                        </w:r>
                      </w:p>
                    </w:tc>
                  </w:tr>
                  <w:tr w:rsidR="00D146AC" w:rsidRPr="00C27D66" w:rsidTr="00775DAD">
                    <w:tc>
                      <w:tcPr>
                        <w:tcW w:w="123"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583" w:type="dxa"/>
                        <w:shd w:val="clear" w:color="auto" w:fill="auto"/>
                        <w:hideMark/>
                      </w:tcPr>
                      <w:p w:rsidR="00D146AC" w:rsidRPr="00D82EE4" w:rsidRDefault="00D146AC" w:rsidP="00DA725A">
                        <w:pPr>
                          <w:jc w:val="both"/>
                          <w:rPr>
                            <w:sz w:val="18"/>
                            <w:szCs w:val="18"/>
                            <w:lang w:val="it-IT"/>
                          </w:rPr>
                        </w:pPr>
                        <w:r w:rsidRPr="00D82EE4">
                          <w:rPr>
                            <w:sz w:val="18"/>
                            <w:szCs w:val="18"/>
                            <w:lang w:val="it-IT"/>
                          </w:rPr>
                          <w:t>T este prețul de referință;</w:t>
                        </w:r>
                      </w:p>
                    </w:tc>
                  </w:tr>
                  <w:tr w:rsidR="00D146AC" w:rsidRPr="00C27D66" w:rsidTr="00775DAD">
                    <w:tc>
                      <w:tcPr>
                        <w:tcW w:w="45"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1"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D este durata respectivului produs de capacitate standard, exprimată în zile gaziere.</w:t>
                        </w:r>
                      </w:p>
                    </w:tc>
                  </w:tr>
                </w:tbl>
                <w:p w:rsidR="00D146AC" w:rsidRPr="00D82EE4" w:rsidRDefault="00D146AC" w:rsidP="00DA725A">
                  <w:pPr>
                    <w:jc w:val="both"/>
                    <w:rPr>
                      <w:sz w:val="18"/>
                      <w:szCs w:val="18"/>
                      <w:lang w:val="it-IT"/>
                    </w:rPr>
                  </w:pPr>
                  <w:r w:rsidRPr="00D82EE4">
                    <w:rPr>
                      <w:sz w:val="18"/>
                      <w:szCs w:val="18"/>
                      <w:lang w:val="it-IT"/>
                    </w:rPr>
                    <w:t>Formula se ajustează pentru anii bisecți, numărul 365 fiind înlocuit cu numărul 366.</w:t>
                  </w: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705" w:type="dxa"/>
                  <w:shd w:val="clear" w:color="auto" w:fill="FFFFFF"/>
                  <w:hideMark/>
                </w:tcPr>
                <w:p w:rsidR="00F260D4" w:rsidRDefault="00D146AC" w:rsidP="001756A3">
                  <w:pPr>
                    <w:jc w:val="both"/>
                    <w:rPr>
                      <w:sz w:val="18"/>
                      <w:szCs w:val="18"/>
                      <w:lang w:val="it-IT"/>
                    </w:rPr>
                  </w:pPr>
                  <w:r w:rsidRPr="00D82EE4">
                    <w:rPr>
                      <w:sz w:val="18"/>
                      <w:szCs w:val="18"/>
                      <w:lang w:val="it-IT"/>
                    </w:rPr>
                    <w:t>pentru produsele de capacitate standard intra-zilnică, în conformitate cu următoarea formulă:</w:t>
                  </w:r>
                </w:p>
                <w:p w:rsidR="001756A3" w:rsidRDefault="001756A3" w:rsidP="001756A3">
                  <w:pPr>
                    <w:jc w:val="both"/>
                    <w:rPr>
                      <w:sz w:val="18"/>
                      <w:szCs w:val="18"/>
                      <w:lang w:val="it-IT"/>
                    </w:rPr>
                  </w:pPr>
                </w:p>
                <w:p w:rsidR="001756A3" w:rsidRPr="00380C00" w:rsidRDefault="001756A3" w:rsidP="001756A3">
                  <w:pPr>
                    <w:jc w:val="both"/>
                    <w:rPr>
                      <w:b/>
                      <w:sz w:val="18"/>
                      <w:szCs w:val="18"/>
                      <w:lang w:val="it-IT"/>
                    </w:rPr>
                  </w:pPr>
                </w:p>
                <w:p w:rsidR="00D146AC" w:rsidRPr="00F260D4" w:rsidRDefault="00D146AC" w:rsidP="00F260D4">
                  <w:pPr>
                    <w:jc w:val="center"/>
                    <w:rPr>
                      <w:b/>
                      <w:sz w:val="18"/>
                      <w:szCs w:val="18"/>
                    </w:rPr>
                  </w:pPr>
                  <w:r w:rsidRPr="00F260D4">
                    <w:rPr>
                      <w:b/>
                      <w:sz w:val="18"/>
                      <w:szCs w:val="18"/>
                    </w:rPr>
                    <w:t>P</w:t>
                  </w:r>
                  <w:r w:rsidRPr="00F260D4">
                    <w:rPr>
                      <w:b/>
                      <w:sz w:val="18"/>
                      <w:szCs w:val="18"/>
                      <w:vertAlign w:val="subscript"/>
                    </w:rPr>
                    <w:t>st</w:t>
                  </w:r>
                  <w:r w:rsidRPr="00F260D4">
                    <w:rPr>
                      <w:b/>
                      <w:sz w:val="18"/>
                      <w:szCs w:val="18"/>
                    </w:rPr>
                    <w:t> = (M × T / 8760) × H</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50"/>
                    <w:gridCol w:w="11"/>
                    <w:gridCol w:w="69"/>
                    <w:gridCol w:w="4856"/>
                  </w:tblGrid>
                  <w:tr w:rsidR="00D146AC" w:rsidRPr="00C27D66" w:rsidTr="00775DAD">
                    <w:tc>
                      <w:tcPr>
                        <w:tcW w:w="4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57"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st</w:t>
                        </w:r>
                        <w:r w:rsidRPr="00D82EE4">
                          <w:rPr>
                            <w:sz w:val="18"/>
                            <w:szCs w:val="18"/>
                            <w:lang w:val="it-IT"/>
                          </w:rPr>
                          <w:t> este prețul de rezervă pentru produsul de capacitate standard intra-zilnică;</w:t>
                        </w:r>
                      </w:p>
                    </w:tc>
                  </w:tr>
                  <w:tr w:rsidR="00D146AC" w:rsidRPr="00C27D66" w:rsidTr="00775DAD">
                    <w:tc>
                      <w:tcPr>
                        <w:tcW w:w="58"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47"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M este nivelul coeficientului de multiplicare corespunzător;</w:t>
                        </w:r>
                      </w:p>
                    </w:tc>
                  </w:tr>
                  <w:tr w:rsidR="00D146AC" w:rsidRPr="00C27D66" w:rsidTr="00775DAD">
                    <w:tc>
                      <w:tcPr>
                        <w:tcW w:w="123" w:type="dxa"/>
                        <w:gridSpan w:val="3"/>
                        <w:shd w:val="clear" w:color="auto" w:fill="auto"/>
                        <w:hideMark/>
                      </w:tcPr>
                      <w:p w:rsidR="00D146AC" w:rsidRPr="00D82EE4" w:rsidRDefault="00D146AC" w:rsidP="00DA725A">
                        <w:pPr>
                          <w:jc w:val="both"/>
                          <w:rPr>
                            <w:sz w:val="18"/>
                            <w:szCs w:val="18"/>
                            <w:lang w:val="it-IT"/>
                          </w:rPr>
                        </w:pPr>
                      </w:p>
                    </w:tc>
                    <w:tc>
                      <w:tcPr>
                        <w:tcW w:w="4582" w:type="dxa"/>
                        <w:shd w:val="clear" w:color="auto" w:fill="auto"/>
                        <w:hideMark/>
                      </w:tcPr>
                      <w:p w:rsidR="00D146AC" w:rsidRPr="00D82EE4" w:rsidRDefault="00D146AC" w:rsidP="00DA725A">
                        <w:pPr>
                          <w:jc w:val="both"/>
                          <w:rPr>
                            <w:sz w:val="18"/>
                            <w:szCs w:val="18"/>
                            <w:lang w:val="it-IT"/>
                          </w:rPr>
                        </w:pPr>
                        <w:r w:rsidRPr="00D82EE4">
                          <w:rPr>
                            <w:sz w:val="18"/>
                            <w:szCs w:val="18"/>
                            <w:lang w:val="it-IT"/>
                          </w:rPr>
                          <w:t>T este prețul de referință;</w:t>
                        </w:r>
                      </w:p>
                    </w:tc>
                  </w:tr>
                  <w:tr w:rsidR="00D146AC" w:rsidRPr="00C27D66" w:rsidTr="00775DAD">
                    <w:tc>
                      <w:tcPr>
                        <w:tcW w:w="47"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58"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H este durata produsului de capacitate standard intra-zilnică, exprimată în ore.</w:t>
                        </w:r>
                      </w:p>
                    </w:tc>
                  </w:tr>
                </w:tbl>
                <w:p w:rsidR="00D146AC" w:rsidRPr="00D82EE4" w:rsidRDefault="00D146AC" w:rsidP="00DA725A">
                  <w:pPr>
                    <w:jc w:val="both"/>
                    <w:rPr>
                      <w:sz w:val="18"/>
                      <w:szCs w:val="18"/>
                      <w:lang w:val="it-IT"/>
                    </w:rPr>
                  </w:pPr>
                  <w:r w:rsidRPr="00D82EE4">
                    <w:rPr>
                      <w:sz w:val="18"/>
                      <w:szCs w:val="18"/>
                      <w:lang w:val="it-IT"/>
                    </w:rPr>
                    <w:t>Formula se ajustează pentru anii bisecți, numărul 8760 fiind înlocuit cu numărul 8784.</w:t>
                  </w: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3</w:t>
            </w:r>
          </w:p>
          <w:p w:rsidR="00D146AC" w:rsidRPr="00043955" w:rsidRDefault="00D146AC" w:rsidP="00DA725A">
            <w:pPr>
              <w:jc w:val="center"/>
              <w:rPr>
                <w:b/>
                <w:sz w:val="18"/>
                <w:szCs w:val="18"/>
                <w:lang w:val="ro-RO"/>
              </w:rPr>
            </w:pPr>
          </w:p>
          <w:p w:rsidR="00D146AC" w:rsidRPr="00043955" w:rsidRDefault="00D146AC" w:rsidP="00DA725A">
            <w:pPr>
              <w:jc w:val="center"/>
              <w:rPr>
                <w:b/>
                <w:sz w:val="18"/>
                <w:szCs w:val="18"/>
                <w:lang w:val="ro-RO"/>
              </w:rPr>
            </w:pPr>
            <w:r w:rsidRPr="00043955">
              <w:rPr>
                <w:b/>
                <w:sz w:val="18"/>
                <w:szCs w:val="18"/>
                <w:lang w:val="ro-RO"/>
              </w:rPr>
              <w:t>Calcularea prețurilor de rezervă pentru PSC neanuală pentru capacitate fermă</w:t>
            </w:r>
            <w:r w:rsidR="00B3316A" w:rsidRPr="00380C00">
              <w:rPr>
                <w:b/>
                <w:sz w:val="18"/>
                <w:szCs w:val="18"/>
                <w:lang w:val="it-IT"/>
              </w:rPr>
              <w:t xml:space="preserve"> </w:t>
            </w:r>
            <w:r w:rsidRPr="00043955">
              <w:rPr>
                <w:b/>
                <w:sz w:val="18"/>
                <w:szCs w:val="18"/>
                <w:lang w:val="ro-RO"/>
              </w:rPr>
              <w:t>în absența coeficienților sezonieri</w:t>
            </w:r>
          </w:p>
          <w:p w:rsidR="00D146AC" w:rsidRPr="00043955" w:rsidRDefault="00D146AC" w:rsidP="00DA725A">
            <w:pPr>
              <w:tabs>
                <w:tab w:val="left" w:pos="567"/>
              </w:tabs>
              <w:jc w:val="both"/>
              <w:outlineLvl w:val="0"/>
              <w:rPr>
                <w:sz w:val="18"/>
                <w:szCs w:val="18"/>
                <w:lang w:val="ro-RO"/>
              </w:rPr>
            </w:pPr>
          </w:p>
          <w:p w:rsidR="002D601F" w:rsidRPr="00380C00" w:rsidRDefault="002D601F" w:rsidP="002D601F">
            <w:pPr>
              <w:tabs>
                <w:tab w:val="left" w:pos="567"/>
              </w:tabs>
              <w:jc w:val="both"/>
              <w:outlineLvl w:val="0"/>
              <w:rPr>
                <w:sz w:val="18"/>
                <w:szCs w:val="18"/>
                <w:lang w:val="it-IT"/>
              </w:rPr>
            </w:pPr>
            <w:r w:rsidRPr="00380C00">
              <w:rPr>
                <w:b/>
                <w:bCs/>
                <w:sz w:val="18"/>
                <w:szCs w:val="18"/>
                <w:lang w:val="it-IT"/>
              </w:rPr>
              <w:t>359.</w:t>
            </w:r>
            <w:r w:rsidRPr="00380C00">
              <w:rPr>
                <w:sz w:val="18"/>
                <w:szCs w:val="18"/>
                <w:lang w:val="it-IT"/>
              </w:rPr>
              <w:t xml:space="preserve"> Preţurile de rezervă pentru PCS non-anuală pentru capacitate fermă se calculează după cum urmează:</w:t>
            </w:r>
          </w:p>
          <w:p w:rsidR="002D601F" w:rsidRPr="00380C00" w:rsidRDefault="002D601F" w:rsidP="002D601F">
            <w:pPr>
              <w:tabs>
                <w:tab w:val="left" w:pos="567"/>
              </w:tabs>
              <w:jc w:val="both"/>
              <w:outlineLvl w:val="0"/>
              <w:rPr>
                <w:sz w:val="18"/>
                <w:szCs w:val="18"/>
                <w:lang w:val="it-IT"/>
              </w:rPr>
            </w:pPr>
            <w:r w:rsidRPr="00380C00">
              <w:rPr>
                <w:sz w:val="18"/>
                <w:szCs w:val="18"/>
                <w:lang w:val="it-IT"/>
              </w:rPr>
              <w:t>1) pentru PCS trimestrială, pentru PCS lunară şi pentru PCS zilnică, în conformitate cu formula de mai jos:</w:t>
            </w:r>
          </w:p>
          <w:p w:rsidR="00D146AC" w:rsidRPr="00670674" w:rsidRDefault="0056404D" w:rsidP="00DA725A">
            <w:pPr>
              <w:ind w:firstLine="993"/>
              <w:jc w:val="both"/>
              <w:rPr>
                <w:b/>
                <w:sz w:val="18"/>
                <w:szCs w:val="18"/>
                <w:lang w:val="it-IT"/>
              </w:rPr>
            </w:pPr>
            <w:r>
              <w:object w:dxaOrig="2640" w:dyaOrig="840">
                <v:shape id="_x0000_i1036" type="#_x0000_t75" style="width:107.7pt;height:34pt" o:ole="">
                  <v:imagedata r:id="rId73" o:title=""/>
                </v:shape>
                <o:OLEObject Type="Embed" ProgID="PBrush" ShapeID="_x0000_i1036" DrawAspect="Content" ObjectID="_1837326472" r:id="rId74"/>
              </w:object>
            </w:r>
            <w:r w:rsidR="006C4B0E" w:rsidRPr="00670674">
              <w:rPr>
                <w:lang w:val="it-IT"/>
              </w:rPr>
              <w:t xml:space="preserve"> </w:t>
            </w:r>
          </w:p>
          <w:p w:rsidR="00D146AC" w:rsidRDefault="00D146AC" w:rsidP="00DA725A">
            <w:pPr>
              <w:ind w:firstLine="993"/>
              <w:jc w:val="both"/>
              <w:rPr>
                <w:sz w:val="18"/>
                <w:szCs w:val="18"/>
                <w:lang w:val="ro-RO"/>
              </w:rPr>
            </w:pPr>
          </w:p>
          <w:p w:rsidR="00D146AC" w:rsidRPr="00043955" w:rsidRDefault="00D146AC" w:rsidP="007F248A">
            <w:pPr>
              <w:jc w:val="both"/>
              <w:rPr>
                <w:sz w:val="18"/>
                <w:szCs w:val="18"/>
                <w:lang w:val="ro-RO"/>
              </w:rPr>
            </w:pPr>
            <w:r w:rsidRPr="00043955">
              <w:rPr>
                <w:sz w:val="18"/>
                <w:szCs w:val="18"/>
                <w:lang w:val="ro-RO"/>
              </w:rPr>
              <w:t>unde:</w:t>
            </w:r>
          </w:p>
          <w:p w:rsidR="007F248A" w:rsidRPr="00380C00" w:rsidRDefault="007F248A" w:rsidP="007F248A">
            <w:pPr>
              <w:jc w:val="both"/>
              <w:rPr>
                <w:sz w:val="18"/>
                <w:szCs w:val="18"/>
                <w:lang w:val="it-IT"/>
              </w:rPr>
            </w:pPr>
            <w:r w:rsidRPr="007F248A">
              <w:rPr>
                <w:noProof/>
                <w:sz w:val="18"/>
                <w:szCs w:val="18"/>
                <w:lang w:eastAsia="en-US"/>
              </w:rPr>
              <w:drawing>
                <wp:inline distT="0" distB="0" distL="0" distR="0">
                  <wp:extent cx="245745" cy="220980"/>
                  <wp:effectExtent l="0" t="0" r="1905" b="7620"/>
                  <wp:docPr id="83" name="Picture 83" descr="\\192.168.1.34\DataJur\Legi_Rom\DE\A19\g420d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192.168.1.34\DataJur\Legi_Rom\DE\A19\g420d34.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5745" cy="220980"/>
                          </a:xfrm>
                          <a:prstGeom prst="rect">
                            <a:avLst/>
                          </a:prstGeom>
                          <a:noFill/>
                          <a:ln>
                            <a:noFill/>
                          </a:ln>
                        </pic:spPr>
                      </pic:pic>
                    </a:graphicData>
                  </a:graphic>
                </wp:inline>
              </w:drawing>
            </w:r>
            <w:r w:rsidRPr="00380C00">
              <w:rPr>
                <w:sz w:val="18"/>
                <w:szCs w:val="18"/>
                <w:lang w:val="it-IT"/>
              </w:rPr>
              <w:t>– preţul de rezervă pentru PCS respectiv în anul de reglementare „</w:t>
            </w:r>
            <w:r w:rsidRPr="00380C00">
              <w:rPr>
                <w:i/>
                <w:iCs/>
                <w:sz w:val="18"/>
                <w:szCs w:val="18"/>
                <w:lang w:val="it-IT"/>
              </w:rPr>
              <w:t>n</w:t>
            </w:r>
            <w:r w:rsidRPr="00380C00">
              <w:rPr>
                <w:sz w:val="18"/>
                <w:szCs w:val="18"/>
                <w:lang w:val="it-IT"/>
              </w:rPr>
              <w:t>”;</w:t>
            </w:r>
          </w:p>
          <w:p w:rsidR="007F248A" w:rsidRPr="00380C00" w:rsidRDefault="007F248A" w:rsidP="007F248A">
            <w:pPr>
              <w:jc w:val="both"/>
              <w:rPr>
                <w:sz w:val="18"/>
                <w:szCs w:val="18"/>
                <w:lang w:val="it-IT"/>
              </w:rPr>
            </w:pPr>
            <w:r w:rsidRPr="00380C00">
              <w:rPr>
                <w:b/>
                <w:bCs/>
                <w:i/>
                <w:iCs/>
                <w:sz w:val="18"/>
                <w:szCs w:val="18"/>
                <w:lang w:val="it-IT"/>
              </w:rPr>
              <w:t>CM</w:t>
            </w:r>
            <w:r w:rsidRPr="00380C00">
              <w:rPr>
                <w:sz w:val="18"/>
                <w:szCs w:val="18"/>
                <w:lang w:val="it-IT"/>
              </w:rPr>
              <w:t xml:space="preserve"> − nivelul coeficientului de multiplicare corespunzător PCS;</w:t>
            </w:r>
          </w:p>
          <w:p w:rsidR="007F248A" w:rsidRPr="00380C00" w:rsidRDefault="007F248A" w:rsidP="007F248A">
            <w:pPr>
              <w:jc w:val="both"/>
              <w:rPr>
                <w:sz w:val="18"/>
                <w:szCs w:val="18"/>
                <w:lang w:val="it-IT"/>
              </w:rPr>
            </w:pPr>
            <w:r w:rsidRPr="007F248A">
              <w:rPr>
                <w:noProof/>
                <w:sz w:val="18"/>
                <w:szCs w:val="18"/>
                <w:lang w:eastAsia="en-US"/>
              </w:rPr>
              <w:drawing>
                <wp:inline distT="0" distB="0" distL="0" distR="0">
                  <wp:extent cx="306705" cy="239395"/>
                  <wp:effectExtent l="0" t="0" r="0" b="8255"/>
                  <wp:docPr id="82" name="Picture 82" descr="\\192.168.1.34\DataJur\Legi_Rom\DE\A19\g420d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192.168.1.34\DataJur\Legi_Rom\DE\A19\g420d35.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06705" cy="239395"/>
                          </a:xfrm>
                          <a:prstGeom prst="rect">
                            <a:avLst/>
                          </a:prstGeom>
                          <a:noFill/>
                          <a:ln>
                            <a:noFill/>
                          </a:ln>
                        </pic:spPr>
                      </pic:pic>
                    </a:graphicData>
                  </a:graphic>
                </wp:inline>
              </w:drawing>
            </w:r>
            <w:r w:rsidRPr="00380C00">
              <w:rPr>
                <w:sz w:val="18"/>
                <w:szCs w:val="18"/>
                <w:lang w:val="it-IT"/>
              </w:rPr>
              <w:t>– preţul de referinţă;</w:t>
            </w:r>
          </w:p>
          <w:p w:rsidR="007F248A" w:rsidRPr="00380C00" w:rsidRDefault="007F248A" w:rsidP="007F248A">
            <w:pPr>
              <w:jc w:val="both"/>
              <w:rPr>
                <w:sz w:val="18"/>
                <w:szCs w:val="18"/>
                <w:lang w:val="it-IT"/>
              </w:rPr>
            </w:pPr>
            <w:r w:rsidRPr="00380C00">
              <w:rPr>
                <w:b/>
                <w:bCs/>
                <w:sz w:val="18"/>
                <w:szCs w:val="18"/>
                <w:lang w:val="it-IT"/>
              </w:rPr>
              <w:t>Dz</w:t>
            </w:r>
            <w:r w:rsidRPr="00380C00">
              <w:rPr>
                <w:b/>
                <w:bCs/>
                <w:sz w:val="18"/>
                <w:szCs w:val="18"/>
                <w:vertAlign w:val="subscript"/>
                <w:lang w:val="it-IT"/>
              </w:rPr>
              <w:t>n</w:t>
            </w:r>
            <w:r w:rsidRPr="00380C00">
              <w:rPr>
                <w:sz w:val="18"/>
                <w:szCs w:val="18"/>
                <w:lang w:val="it-IT"/>
              </w:rPr>
              <w:t xml:space="preserve"> – durata PCS respectiv exprimată în zile gaziere.</w:t>
            </w:r>
          </w:p>
          <w:p w:rsidR="007F248A" w:rsidRPr="00380C00" w:rsidRDefault="007F248A" w:rsidP="007F248A">
            <w:pPr>
              <w:jc w:val="both"/>
              <w:rPr>
                <w:sz w:val="18"/>
                <w:szCs w:val="18"/>
                <w:lang w:val="it-IT"/>
              </w:rPr>
            </w:pPr>
            <w:r w:rsidRPr="00380C00">
              <w:rPr>
                <w:sz w:val="18"/>
                <w:szCs w:val="18"/>
                <w:lang w:val="it-IT"/>
              </w:rPr>
              <w:lastRenderedPageBreak/>
              <w:t>Formula se ajustează pentru anii bisecţi, numărul 365 fiind înlocuit cu numărul 366.</w:t>
            </w:r>
          </w:p>
          <w:p w:rsidR="00D146AC" w:rsidRPr="00043955" w:rsidRDefault="00D146AC" w:rsidP="00DA725A">
            <w:pPr>
              <w:ind w:firstLine="709"/>
              <w:jc w:val="both"/>
              <w:rPr>
                <w:sz w:val="18"/>
                <w:szCs w:val="18"/>
                <w:lang w:val="ro-RO"/>
              </w:rPr>
            </w:pPr>
          </w:p>
          <w:p w:rsidR="00D146AC" w:rsidRPr="00043955" w:rsidRDefault="00D146AC" w:rsidP="0081159F">
            <w:pPr>
              <w:jc w:val="both"/>
              <w:rPr>
                <w:sz w:val="18"/>
                <w:szCs w:val="18"/>
                <w:lang w:val="ro-RO"/>
              </w:rPr>
            </w:pPr>
            <w:r w:rsidRPr="00043955">
              <w:rPr>
                <w:sz w:val="18"/>
                <w:szCs w:val="18"/>
                <w:lang w:val="ro-RO"/>
              </w:rPr>
              <w:t>2) pentru PC</w:t>
            </w:r>
            <w:r w:rsidR="00460658" w:rsidRPr="00670674">
              <w:rPr>
                <w:sz w:val="18"/>
                <w:szCs w:val="18"/>
                <w:lang w:val="it-IT"/>
              </w:rPr>
              <w:t>S</w:t>
            </w:r>
            <w:r w:rsidRPr="00043955">
              <w:rPr>
                <w:sz w:val="18"/>
                <w:szCs w:val="18"/>
                <w:lang w:val="ro-RO"/>
              </w:rPr>
              <w:t xml:space="preserve"> intra-zilnică, în conformitate cu următoarea formulă:</w:t>
            </w:r>
          </w:p>
          <w:p w:rsidR="00460658" w:rsidRPr="00670674" w:rsidRDefault="00460658" w:rsidP="00460658">
            <w:pPr>
              <w:jc w:val="center"/>
              <w:rPr>
                <w:sz w:val="18"/>
                <w:szCs w:val="18"/>
                <w:lang w:val="it-IT"/>
              </w:rPr>
            </w:pPr>
            <w:r>
              <w:object w:dxaOrig="2535" w:dyaOrig="765">
                <v:shape id="_x0000_i1037" type="#_x0000_t75" style="width:110pt;height:32.25pt" o:ole="">
                  <v:imagedata r:id="rId77" o:title=""/>
                </v:shape>
                <o:OLEObject Type="Embed" ProgID="PBrush" ShapeID="_x0000_i1037" DrawAspect="Content" ObjectID="_1837326473" r:id="rId78"/>
              </w:object>
            </w:r>
            <w:r w:rsidR="006C4B0E" w:rsidRPr="00670674">
              <w:rPr>
                <w:lang w:val="it-IT"/>
              </w:rPr>
              <w:t xml:space="preserve"> </w:t>
            </w:r>
          </w:p>
          <w:p w:rsidR="00D146AC" w:rsidRPr="00043955" w:rsidRDefault="00D146AC" w:rsidP="0081159F">
            <w:pPr>
              <w:jc w:val="both"/>
              <w:rPr>
                <w:sz w:val="18"/>
                <w:szCs w:val="18"/>
                <w:lang w:val="ro-RO"/>
              </w:rPr>
            </w:pPr>
            <w:r w:rsidRPr="00043955">
              <w:rPr>
                <w:sz w:val="18"/>
                <w:szCs w:val="18"/>
                <w:lang w:val="ro-RO"/>
              </w:rPr>
              <w:t>unde:</w:t>
            </w:r>
          </w:p>
          <w:p w:rsidR="00CB2EB9" w:rsidRPr="00CB2EB9" w:rsidRDefault="00CB2EB9" w:rsidP="00CB2EB9">
            <w:pPr>
              <w:jc w:val="both"/>
              <w:rPr>
                <w:sz w:val="18"/>
                <w:szCs w:val="18"/>
                <w:lang w:val="ro-RO"/>
              </w:rPr>
            </w:pPr>
            <w:r w:rsidRPr="00CB2EB9">
              <w:rPr>
                <w:sz w:val="18"/>
                <w:szCs w:val="18"/>
                <w:lang w:val="ro-RO"/>
              </w:rPr>
              <w:t>Dh</w:t>
            </w:r>
            <w:r w:rsidRPr="00CB2EB9">
              <w:rPr>
                <w:sz w:val="18"/>
                <w:szCs w:val="18"/>
                <w:vertAlign w:val="subscript"/>
                <w:lang w:val="ro-RO"/>
              </w:rPr>
              <w:t>n</w:t>
            </w:r>
            <w:r w:rsidRPr="00CB2EB9">
              <w:rPr>
                <w:sz w:val="18"/>
                <w:szCs w:val="18"/>
                <w:lang w:val="ro-RO"/>
              </w:rPr>
              <w:t xml:space="preserve"> – durata PCS pe parcursul zilei, exprimat în ore.</w:t>
            </w:r>
          </w:p>
          <w:p w:rsidR="00D146AC" w:rsidRPr="00043955" w:rsidRDefault="00CB2EB9" w:rsidP="00CB2EB9">
            <w:pPr>
              <w:jc w:val="both"/>
              <w:rPr>
                <w:b/>
                <w:bCs/>
                <w:sz w:val="18"/>
                <w:szCs w:val="18"/>
                <w:lang w:val="ro-RO"/>
              </w:rPr>
            </w:pPr>
            <w:r w:rsidRPr="00CB2EB9">
              <w:rPr>
                <w:sz w:val="18"/>
                <w:szCs w:val="18"/>
                <w:lang w:val="ro-RO"/>
              </w:rPr>
              <w:t>Formula se ajustează pentru anii bisecţi, numărul 8760 fiind înlocuit cu numărul 8784.</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05132A" w:rsidRPr="00E84D74" w:rsidRDefault="0005132A" w:rsidP="00DA725A">
            <w:pPr>
              <w:autoSpaceDE w:val="0"/>
              <w:autoSpaceDN w:val="0"/>
              <w:adjustRightInd w:val="0"/>
              <w:jc w:val="center"/>
              <w:rPr>
                <w:b/>
                <w:bCs/>
                <w:i/>
                <w:iCs/>
                <w:sz w:val="18"/>
                <w:szCs w:val="18"/>
              </w:rPr>
            </w:pPr>
            <w:r w:rsidRPr="00E84D74">
              <w:rPr>
                <w:b/>
                <w:bCs/>
                <w:i/>
                <w:iCs/>
                <w:sz w:val="18"/>
                <w:szCs w:val="18"/>
              </w:rPr>
              <w:lastRenderedPageBreak/>
              <w:t>Article 14</w:t>
            </w:r>
          </w:p>
          <w:p w:rsidR="0005132A" w:rsidRPr="00E84D74" w:rsidRDefault="0005132A" w:rsidP="00DA725A">
            <w:pPr>
              <w:autoSpaceDE w:val="0"/>
              <w:autoSpaceDN w:val="0"/>
              <w:adjustRightInd w:val="0"/>
              <w:jc w:val="center"/>
              <w:rPr>
                <w:b/>
                <w:bCs/>
                <w:sz w:val="18"/>
                <w:szCs w:val="18"/>
              </w:rPr>
            </w:pPr>
            <w:r w:rsidRPr="00E84D74">
              <w:rPr>
                <w:b/>
                <w:bCs/>
                <w:sz w:val="18"/>
                <w:szCs w:val="18"/>
              </w:rPr>
              <w:t>Calculation of reserve prices for non-yearly standard capacity products for firm capacity in</w:t>
            </w:r>
          </w:p>
          <w:p w:rsidR="0005132A" w:rsidRPr="00E84D74" w:rsidRDefault="0005132A" w:rsidP="00DA725A">
            <w:pPr>
              <w:autoSpaceDE w:val="0"/>
              <w:autoSpaceDN w:val="0"/>
              <w:adjustRightInd w:val="0"/>
              <w:jc w:val="center"/>
              <w:rPr>
                <w:b/>
                <w:bCs/>
                <w:sz w:val="18"/>
                <w:szCs w:val="18"/>
              </w:rPr>
            </w:pPr>
            <w:r w:rsidRPr="00E84D74">
              <w:rPr>
                <w:b/>
                <w:bCs/>
                <w:sz w:val="18"/>
                <w:szCs w:val="18"/>
              </w:rPr>
              <w:t>absence of seasonal factors</w:t>
            </w:r>
          </w:p>
          <w:p w:rsidR="0005132A" w:rsidRPr="00E84D74" w:rsidRDefault="0005132A" w:rsidP="00DA725A">
            <w:pPr>
              <w:autoSpaceDE w:val="0"/>
              <w:autoSpaceDN w:val="0"/>
              <w:adjustRightInd w:val="0"/>
              <w:rPr>
                <w:sz w:val="18"/>
                <w:szCs w:val="18"/>
              </w:rPr>
            </w:pPr>
            <w:r w:rsidRPr="00E84D74">
              <w:rPr>
                <w:sz w:val="18"/>
                <w:szCs w:val="18"/>
              </w:rPr>
              <w:t>The reserve prices for non-yearly standard capacity products for firm capacity shall be calculated as</w:t>
            </w:r>
            <w:r w:rsidR="00B3316A" w:rsidRPr="00E84D74">
              <w:rPr>
                <w:sz w:val="18"/>
                <w:szCs w:val="18"/>
              </w:rPr>
              <w:t xml:space="preserve"> </w:t>
            </w:r>
            <w:r w:rsidRPr="00E84D74">
              <w:rPr>
                <w:sz w:val="18"/>
                <w:szCs w:val="18"/>
              </w:rPr>
              <w:t>follows:</w:t>
            </w:r>
          </w:p>
          <w:p w:rsidR="0005132A" w:rsidRPr="00E84D74" w:rsidRDefault="0005132A" w:rsidP="00DA725A">
            <w:pPr>
              <w:autoSpaceDE w:val="0"/>
              <w:autoSpaceDN w:val="0"/>
              <w:adjustRightInd w:val="0"/>
              <w:rPr>
                <w:sz w:val="18"/>
                <w:szCs w:val="18"/>
              </w:rPr>
            </w:pPr>
            <w:r w:rsidRPr="00E84D74">
              <w:rPr>
                <w:sz w:val="18"/>
                <w:szCs w:val="18"/>
              </w:rPr>
              <w:t>(a) for quarterly standard capacity products, for monthly standard capacity products and for daily standard</w:t>
            </w:r>
          </w:p>
          <w:p w:rsidR="00D146AC" w:rsidRPr="00E84D74" w:rsidRDefault="0005132A" w:rsidP="00DA725A">
            <w:pPr>
              <w:jc w:val="both"/>
              <w:rPr>
                <w:sz w:val="18"/>
                <w:szCs w:val="18"/>
              </w:rPr>
            </w:pPr>
            <w:r w:rsidRPr="00E84D74">
              <w:rPr>
                <w:sz w:val="18"/>
                <w:szCs w:val="18"/>
              </w:rPr>
              <w:t>capacity products, in accordance with the following formula:</w:t>
            </w:r>
          </w:p>
          <w:p w:rsidR="0005132A" w:rsidRPr="00E84D74" w:rsidRDefault="0005132A" w:rsidP="00136844">
            <w:pPr>
              <w:autoSpaceDE w:val="0"/>
              <w:autoSpaceDN w:val="0"/>
              <w:adjustRightInd w:val="0"/>
              <w:jc w:val="center"/>
              <w:rPr>
                <w:b/>
                <w:bCs/>
                <w:sz w:val="18"/>
                <w:szCs w:val="18"/>
              </w:rPr>
            </w:pPr>
            <w:r w:rsidRPr="00E84D74">
              <w:rPr>
                <w:b/>
                <w:bCs/>
                <w:sz w:val="18"/>
                <w:szCs w:val="18"/>
              </w:rPr>
              <w:t>Pst = (M × T / 365) × D</w:t>
            </w:r>
          </w:p>
          <w:p w:rsidR="00136844" w:rsidRPr="00E84D74" w:rsidRDefault="00136844" w:rsidP="00DA725A">
            <w:pPr>
              <w:autoSpaceDE w:val="0"/>
              <w:autoSpaceDN w:val="0"/>
              <w:adjustRightInd w:val="0"/>
              <w:rPr>
                <w:i/>
                <w:iCs/>
                <w:sz w:val="18"/>
                <w:szCs w:val="18"/>
              </w:rPr>
            </w:pPr>
          </w:p>
          <w:p w:rsidR="0005132A" w:rsidRPr="00E84D74" w:rsidRDefault="0005132A" w:rsidP="00DA725A">
            <w:pPr>
              <w:autoSpaceDE w:val="0"/>
              <w:autoSpaceDN w:val="0"/>
              <w:adjustRightInd w:val="0"/>
              <w:rPr>
                <w:i/>
                <w:iCs/>
                <w:sz w:val="18"/>
                <w:szCs w:val="18"/>
              </w:rPr>
            </w:pPr>
            <w:r w:rsidRPr="00E84D74">
              <w:rPr>
                <w:i/>
                <w:iCs/>
                <w:sz w:val="18"/>
                <w:szCs w:val="18"/>
              </w:rPr>
              <w:t>Where:</w:t>
            </w:r>
          </w:p>
          <w:p w:rsidR="0005132A" w:rsidRPr="00E84D74" w:rsidRDefault="0005132A" w:rsidP="00DA725A">
            <w:pPr>
              <w:autoSpaceDE w:val="0"/>
              <w:autoSpaceDN w:val="0"/>
              <w:adjustRightInd w:val="0"/>
              <w:rPr>
                <w:sz w:val="18"/>
                <w:szCs w:val="18"/>
              </w:rPr>
            </w:pPr>
            <w:r w:rsidRPr="00E84D74">
              <w:rPr>
                <w:b/>
                <w:bCs/>
                <w:sz w:val="18"/>
                <w:szCs w:val="18"/>
              </w:rPr>
              <w:t xml:space="preserve">Pst </w:t>
            </w:r>
            <w:r w:rsidRPr="00E84D74">
              <w:rPr>
                <w:sz w:val="18"/>
                <w:szCs w:val="18"/>
              </w:rPr>
              <w:t>is the reserve price for the respective standard capacity product;</w:t>
            </w:r>
          </w:p>
          <w:p w:rsidR="0005132A" w:rsidRPr="00E84D74" w:rsidRDefault="0005132A" w:rsidP="00DA725A">
            <w:pPr>
              <w:autoSpaceDE w:val="0"/>
              <w:autoSpaceDN w:val="0"/>
              <w:adjustRightInd w:val="0"/>
              <w:rPr>
                <w:sz w:val="18"/>
                <w:szCs w:val="18"/>
              </w:rPr>
            </w:pPr>
            <w:r w:rsidRPr="00E84D74">
              <w:rPr>
                <w:b/>
                <w:bCs/>
                <w:sz w:val="18"/>
                <w:szCs w:val="18"/>
              </w:rPr>
              <w:t xml:space="preserve">M </w:t>
            </w:r>
            <w:r w:rsidRPr="00E84D74">
              <w:rPr>
                <w:sz w:val="18"/>
                <w:szCs w:val="18"/>
              </w:rPr>
              <w:t>is the level of the multiplier corresponding to the respective standard capacity product;</w:t>
            </w:r>
          </w:p>
          <w:p w:rsidR="0005132A" w:rsidRPr="00E84D74" w:rsidRDefault="0005132A" w:rsidP="00DA725A">
            <w:pPr>
              <w:autoSpaceDE w:val="0"/>
              <w:autoSpaceDN w:val="0"/>
              <w:adjustRightInd w:val="0"/>
              <w:rPr>
                <w:sz w:val="18"/>
                <w:szCs w:val="18"/>
              </w:rPr>
            </w:pPr>
            <w:r w:rsidRPr="00E84D74">
              <w:rPr>
                <w:b/>
                <w:bCs/>
                <w:sz w:val="18"/>
                <w:szCs w:val="18"/>
              </w:rPr>
              <w:t xml:space="preserve">T </w:t>
            </w:r>
            <w:r w:rsidRPr="00E84D74">
              <w:rPr>
                <w:sz w:val="18"/>
                <w:szCs w:val="18"/>
              </w:rPr>
              <w:t>is the reference price;</w:t>
            </w:r>
          </w:p>
          <w:p w:rsidR="0005132A" w:rsidRPr="00E84D74" w:rsidRDefault="0005132A" w:rsidP="00DA725A">
            <w:pPr>
              <w:autoSpaceDE w:val="0"/>
              <w:autoSpaceDN w:val="0"/>
              <w:adjustRightInd w:val="0"/>
              <w:rPr>
                <w:sz w:val="18"/>
                <w:szCs w:val="18"/>
              </w:rPr>
            </w:pPr>
            <w:r w:rsidRPr="00E84D74">
              <w:rPr>
                <w:b/>
                <w:bCs/>
                <w:sz w:val="18"/>
                <w:szCs w:val="18"/>
              </w:rPr>
              <w:t xml:space="preserve">D </w:t>
            </w:r>
            <w:r w:rsidRPr="00E84D74">
              <w:rPr>
                <w:sz w:val="18"/>
                <w:szCs w:val="18"/>
              </w:rPr>
              <w:t>is the duration of the respective standard capacity product expressed in gas days. For leap years, the</w:t>
            </w:r>
          </w:p>
          <w:p w:rsidR="0005132A" w:rsidRPr="00E84D74" w:rsidRDefault="0005132A" w:rsidP="00DA725A">
            <w:pPr>
              <w:autoSpaceDE w:val="0"/>
              <w:autoSpaceDN w:val="0"/>
              <w:adjustRightInd w:val="0"/>
              <w:rPr>
                <w:sz w:val="18"/>
                <w:szCs w:val="18"/>
              </w:rPr>
            </w:pPr>
            <w:r w:rsidRPr="00E84D74">
              <w:rPr>
                <w:sz w:val="18"/>
                <w:szCs w:val="18"/>
              </w:rPr>
              <w:lastRenderedPageBreak/>
              <w:t>formula shall be adjusted so that the figure 365 is substituted with the figure 366.</w:t>
            </w:r>
          </w:p>
          <w:p w:rsidR="0005132A" w:rsidRPr="00E84D74" w:rsidRDefault="0005132A" w:rsidP="00DA725A">
            <w:pPr>
              <w:autoSpaceDE w:val="0"/>
              <w:autoSpaceDN w:val="0"/>
              <w:adjustRightInd w:val="0"/>
              <w:rPr>
                <w:sz w:val="18"/>
                <w:szCs w:val="18"/>
              </w:rPr>
            </w:pPr>
            <w:r w:rsidRPr="00E84D74">
              <w:rPr>
                <w:sz w:val="18"/>
                <w:szCs w:val="18"/>
              </w:rPr>
              <w:t>(b) for within-day standard capacity products, in accordance with the following formula:</w:t>
            </w:r>
          </w:p>
          <w:p w:rsidR="004D50AC" w:rsidRPr="00E84D74" w:rsidRDefault="004D50AC" w:rsidP="00DA725A">
            <w:pPr>
              <w:autoSpaceDE w:val="0"/>
              <w:autoSpaceDN w:val="0"/>
              <w:adjustRightInd w:val="0"/>
              <w:rPr>
                <w:b/>
                <w:bCs/>
                <w:sz w:val="18"/>
                <w:szCs w:val="18"/>
              </w:rPr>
            </w:pPr>
          </w:p>
          <w:p w:rsidR="0005132A" w:rsidRPr="00E84D74" w:rsidRDefault="0005132A" w:rsidP="00DA725A">
            <w:pPr>
              <w:autoSpaceDE w:val="0"/>
              <w:autoSpaceDN w:val="0"/>
              <w:adjustRightInd w:val="0"/>
              <w:jc w:val="center"/>
              <w:rPr>
                <w:b/>
                <w:bCs/>
                <w:sz w:val="18"/>
                <w:szCs w:val="18"/>
              </w:rPr>
            </w:pPr>
            <w:r w:rsidRPr="00E84D74">
              <w:rPr>
                <w:b/>
                <w:bCs/>
                <w:sz w:val="18"/>
                <w:szCs w:val="18"/>
              </w:rPr>
              <w:t>Pst = (M × T / 8760) × H</w:t>
            </w:r>
          </w:p>
          <w:p w:rsidR="004D50AC" w:rsidRPr="00E84D74" w:rsidRDefault="004D50AC" w:rsidP="00DA725A">
            <w:pPr>
              <w:autoSpaceDE w:val="0"/>
              <w:autoSpaceDN w:val="0"/>
              <w:adjustRightInd w:val="0"/>
              <w:rPr>
                <w:i/>
                <w:iCs/>
                <w:sz w:val="18"/>
                <w:szCs w:val="18"/>
              </w:rPr>
            </w:pPr>
          </w:p>
          <w:p w:rsidR="0005132A" w:rsidRPr="00E84D74" w:rsidRDefault="0005132A" w:rsidP="00DA725A">
            <w:pPr>
              <w:autoSpaceDE w:val="0"/>
              <w:autoSpaceDN w:val="0"/>
              <w:adjustRightInd w:val="0"/>
              <w:rPr>
                <w:i/>
                <w:iCs/>
                <w:sz w:val="18"/>
                <w:szCs w:val="18"/>
              </w:rPr>
            </w:pPr>
            <w:r w:rsidRPr="00E84D74">
              <w:rPr>
                <w:i/>
                <w:iCs/>
                <w:sz w:val="18"/>
                <w:szCs w:val="18"/>
              </w:rPr>
              <w:t>Where:</w:t>
            </w:r>
          </w:p>
          <w:p w:rsidR="0005132A" w:rsidRPr="00E84D74" w:rsidRDefault="0005132A" w:rsidP="00DA725A">
            <w:pPr>
              <w:autoSpaceDE w:val="0"/>
              <w:autoSpaceDN w:val="0"/>
              <w:adjustRightInd w:val="0"/>
              <w:rPr>
                <w:sz w:val="18"/>
                <w:szCs w:val="18"/>
              </w:rPr>
            </w:pPr>
            <w:r w:rsidRPr="00E84D74">
              <w:rPr>
                <w:b/>
                <w:bCs/>
                <w:sz w:val="18"/>
                <w:szCs w:val="18"/>
              </w:rPr>
              <w:t xml:space="preserve">Pst </w:t>
            </w:r>
            <w:r w:rsidRPr="00E84D74">
              <w:rPr>
                <w:sz w:val="18"/>
                <w:szCs w:val="18"/>
              </w:rPr>
              <w:t>is the reserve price for the within-day standard capacity product;</w:t>
            </w:r>
          </w:p>
          <w:p w:rsidR="0005132A" w:rsidRPr="00E84D74" w:rsidRDefault="0005132A" w:rsidP="00DA725A">
            <w:pPr>
              <w:autoSpaceDE w:val="0"/>
              <w:autoSpaceDN w:val="0"/>
              <w:adjustRightInd w:val="0"/>
              <w:rPr>
                <w:sz w:val="18"/>
                <w:szCs w:val="18"/>
              </w:rPr>
            </w:pPr>
            <w:r w:rsidRPr="00E84D74">
              <w:rPr>
                <w:b/>
                <w:bCs/>
                <w:sz w:val="18"/>
                <w:szCs w:val="18"/>
              </w:rPr>
              <w:t xml:space="preserve">M </w:t>
            </w:r>
            <w:r w:rsidRPr="00E84D74">
              <w:rPr>
                <w:sz w:val="18"/>
                <w:szCs w:val="18"/>
              </w:rPr>
              <w:t>is the level of the corresponding multiplier;</w:t>
            </w:r>
          </w:p>
          <w:p w:rsidR="0005132A" w:rsidRPr="00E84D74" w:rsidRDefault="0005132A" w:rsidP="00DA725A">
            <w:pPr>
              <w:autoSpaceDE w:val="0"/>
              <w:autoSpaceDN w:val="0"/>
              <w:adjustRightInd w:val="0"/>
              <w:rPr>
                <w:sz w:val="18"/>
                <w:szCs w:val="18"/>
              </w:rPr>
            </w:pPr>
            <w:r w:rsidRPr="00E84D74">
              <w:rPr>
                <w:b/>
                <w:bCs/>
                <w:sz w:val="18"/>
                <w:szCs w:val="18"/>
              </w:rPr>
              <w:t xml:space="preserve">T </w:t>
            </w:r>
            <w:r w:rsidRPr="00E84D74">
              <w:rPr>
                <w:sz w:val="18"/>
                <w:szCs w:val="18"/>
              </w:rPr>
              <w:t>is the reference price;</w:t>
            </w:r>
          </w:p>
          <w:p w:rsidR="008F737B" w:rsidRPr="00E84D74" w:rsidRDefault="0005132A" w:rsidP="00DA725A">
            <w:pPr>
              <w:autoSpaceDE w:val="0"/>
              <w:autoSpaceDN w:val="0"/>
              <w:adjustRightInd w:val="0"/>
              <w:rPr>
                <w:sz w:val="18"/>
                <w:szCs w:val="18"/>
              </w:rPr>
            </w:pPr>
            <w:r w:rsidRPr="00E84D74">
              <w:rPr>
                <w:b/>
                <w:bCs/>
                <w:sz w:val="18"/>
                <w:szCs w:val="18"/>
              </w:rPr>
              <w:t xml:space="preserve">H </w:t>
            </w:r>
            <w:r w:rsidRPr="00E84D74">
              <w:rPr>
                <w:sz w:val="18"/>
                <w:szCs w:val="18"/>
              </w:rPr>
              <w:t xml:space="preserve">is the duration of the within-day standard capacity product expressed in hours. </w:t>
            </w:r>
          </w:p>
          <w:p w:rsidR="008F737B" w:rsidRPr="00E84D74" w:rsidRDefault="008F737B" w:rsidP="00DA725A">
            <w:pPr>
              <w:autoSpaceDE w:val="0"/>
              <w:autoSpaceDN w:val="0"/>
              <w:adjustRightInd w:val="0"/>
              <w:rPr>
                <w:sz w:val="18"/>
                <w:szCs w:val="18"/>
              </w:rPr>
            </w:pPr>
          </w:p>
          <w:p w:rsidR="0005132A" w:rsidRPr="00E84D74" w:rsidRDefault="0005132A" w:rsidP="00DA725A">
            <w:pPr>
              <w:autoSpaceDE w:val="0"/>
              <w:autoSpaceDN w:val="0"/>
              <w:adjustRightInd w:val="0"/>
              <w:rPr>
                <w:b/>
                <w:sz w:val="18"/>
                <w:szCs w:val="18"/>
              </w:rPr>
            </w:pPr>
            <w:r w:rsidRPr="00E84D74">
              <w:rPr>
                <w:sz w:val="18"/>
                <w:szCs w:val="18"/>
              </w:rPr>
              <w:t>For leap years, the</w:t>
            </w:r>
            <w:r w:rsidR="004D50AC" w:rsidRPr="00E84D74">
              <w:rPr>
                <w:sz w:val="18"/>
                <w:szCs w:val="18"/>
              </w:rPr>
              <w:t xml:space="preserve"> </w:t>
            </w:r>
            <w:r w:rsidRPr="00E84D74">
              <w:rPr>
                <w:sz w:val="18"/>
                <w:szCs w:val="18"/>
              </w:rPr>
              <w:t>formula shall be adjusted so that the figure 8760 is substituted with the figure 8784.</w:t>
            </w:r>
          </w:p>
        </w:tc>
      </w:tr>
      <w:tr w:rsidR="00D146AC" w:rsidRPr="00B3313F"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15</w:t>
            </w:r>
          </w:p>
          <w:p w:rsidR="00D146AC" w:rsidRPr="00D82EE4" w:rsidRDefault="00D146AC" w:rsidP="00DA725A">
            <w:pPr>
              <w:shd w:val="clear" w:color="auto" w:fill="FFFFFF"/>
              <w:jc w:val="both"/>
              <w:rPr>
                <w:b/>
                <w:bCs/>
                <w:sz w:val="18"/>
                <w:szCs w:val="18"/>
                <w:lang w:val="it-IT"/>
              </w:rPr>
            </w:pPr>
            <w:r w:rsidRPr="00D82EE4">
              <w:rPr>
                <w:b/>
                <w:bCs/>
                <w:sz w:val="18"/>
                <w:szCs w:val="18"/>
                <w:lang w:val="it-IT"/>
              </w:rPr>
              <w:t>Calcularea prețurilor de rezervă pentru produsele de capacitate standard neanuală pentru capacitate fermă cu ajutorul coeficienților sezonieri</w:t>
            </w:r>
          </w:p>
          <w:p w:rsidR="00D146AC" w:rsidRPr="00D82EE4" w:rsidRDefault="00D146AC" w:rsidP="00DA725A">
            <w:pPr>
              <w:shd w:val="clear" w:color="auto" w:fill="FFFFFF"/>
              <w:jc w:val="both"/>
              <w:rPr>
                <w:sz w:val="18"/>
                <w:szCs w:val="18"/>
                <w:lang w:val="it-IT"/>
              </w:rPr>
            </w:pPr>
            <w:r w:rsidRPr="00D82EE4">
              <w:rPr>
                <w:sz w:val="18"/>
                <w:szCs w:val="18"/>
                <w:lang w:val="it-IT"/>
              </w:rPr>
              <w:t>(1)   Dacă se aplică coeficienți sezonieri, prețurile de rezervă pentru produsele de capacitate standard neanuală pentru capacitate fermă se calculează în conformitate cu formulele relevante stabilite la articolul 14, după care se înmulțesc cu coeficientul sezonier corespunzător, calculat în conformitate cu alineatele (2)-(6).</w:t>
            </w:r>
          </w:p>
          <w:p w:rsidR="00D146AC" w:rsidRPr="00D82EE4" w:rsidRDefault="00D146AC" w:rsidP="00DA725A">
            <w:pPr>
              <w:shd w:val="clear" w:color="auto" w:fill="FFFFFF"/>
              <w:jc w:val="both"/>
              <w:rPr>
                <w:sz w:val="18"/>
                <w:szCs w:val="18"/>
                <w:lang w:val="it-IT"/>
              </w:rPr>
            </w:pPr>
            <w:r w:rsidRPr="00D82EE4">
              <w:rPr>
                <w:sz w:val="18"/>
                <w:szCs w:val="18"/>
                <w:lang w:val="it-IT"/>
              </w:rPr>
              <w:t>(2)   Metodologia stabilită la alineatul (3) se bazează pe fluxurile estimate, cu excepția cazului în care volumul de gaz pentru cel puțin o lună este egală cu 0. În acest caz, metodologia se bazează pe capacitatea contractată estimată.</w:t>
            </w:r>
          </w:p>
          <w:p w:rsidR="00D146AC" w:rsidRPr="00D82EE4" w:rsidRDefault="00D146AC" w:rsidP="00DA725A">
            <w:pPr>
              <w:shd w:val="clear" w:color="auto" w:fill="FFFFFF"/>
              <w:jc w:val="both"/>
              <w:rPr>
                <w:sz w:val="18"/>
                <w:szCs w:val="18"/>
                <w:lang w:val="it-IT"/>
              </w:rPr>
            </w:pPr>
            <w:r w:rsidRPr="00D82EE4">
              <w:rPr>
                <w:sz w:val="18"/>
                <w:szCs w:val="18"/>
                <w:lang w:val="it-IT"/>
              </w:rPr>
              <w:t>(3)   Pentru produsele de capacitate standard lunară pentru capacitate fermă, coeficienții sezonieri se calculează respectând următoarele etape consecutive: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43955"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043955" w:rsidRDefault="00D146AC" w:rsidP="00DA725A">
                  <w:pPr>
                    <w:jc w:val="both"/>
                    <w:rPr>
                      <w:sz w:val="18"/>
                      <w:szCs w:val="18"/>
                    </w:rPr>
                  </w:pPr>
                  <w:r w:rsidRPr="00043955">
                    <w:rPr>
                      <w:sz w:val="18"/>
                      <w:szCs w:val="18"/>
                    </w:rPr>
                    <w:t>pentru fiecare lună dintr-un anumit an gazier, utilizarea sistemului de transport se calculează pe baza fluxurilor estimate sau a capacității contractate estimate, cu ajutorul:</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6" w:type="dxa"/>
                        <w:shd w:val="clear" w:color="auto" w:fill="auto"/>
                        <w:hideMark/>
                      </w:tcPr>
                      <w:p w:rsidR="00D146AC" w:rsidRPr="00D82EE4" w:rsidRDefault="00D146AC" w:rsidP="00DA725A">
                        <w:pPr>
                          <w:jc w:val="both"/>
                          <w:rPr>
                            <w:sz w:val="18"/>
                            <w:szCs w:val="18"/>
                            <w:lang w:val="it-IT"/>
                          </w:rPr>
                        </w:pPr>
                        <w:r w:rsidRPr="00D82EE4">
                          <w:rPr>
                            <w:sz w:val="18"/>
                            <w:szCs w:val="18"/>
                            <w:lang w:val="it-IT"/>
                          </w:rPr>
                          <w:t>datelor privind punctul de interconectare individual, în cazul în care coeficienții sezonieri sunt calculați pentru fiecare punct de interconectare;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43955"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043955" w:rsidRDefault="00D146AC" w:rsidP="00DA725A">
                        <w:pPr>
                          <w:jc w:val="both"/>
                          <w:rPr>
                            <w:sz w:val="18"/>
                            <w:szCs w:val="18"/>
                          </w:rPr>
                        </w:pPr>
                        <w:r w:rsidRPr="00043955">
                          <w:rPr>
                            <w:sz w:val="18"/>
                            <w:szCs w:val="18"/>
                          </w:rPr>
                          <w:t>datele medii privind fluxurile estimate sau capacitatea contractată estimată, în cazul în care coeficienții sezonieri sunt calculați pentru unele puncte de interconectare sau pentru toate.</w:t>
                        </w: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5"/>
              <w:gridCol w:w="4744"/>
            </w:tblGrid>
            <w:tr w:rsidR="00D146AC" w:rsidRPr="00C27D66" w:rsidTr="00B92DDC">
              <w:tc>
                <w:tcPr>
                  <w:tcW w:w="514"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884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valorile rezultate menționate la litera (a) se adună;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rata de utilizare se calculează prin împărțirea fiecăreia dintre valorile rezultate menționate la litera (a) la valorile rezultate menționate la litera (b);</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lastRenderedPageBreak/>
                    <w:t>(d)</w:t>
                  </w:r>
                </w:p>
              </w:tc>
              <w:tc>
                <w:tcPr>
                  <w:tcW w:w="91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fiecare dintre valorile rezultate menționate la litera (c) se înmulțește cu 12. În cazul în care valorile rezultate sunt egale cu 0, ele trebuie ajustate la cea mai mică dintre următoarele valori: 0,1 sau cea mai mică dintre valorile rezultate diferită de 0;</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(e)</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nivelul inițial al coeficienților sezonieri respectivi se calculează prin ridicarea fiecăreia dintre valorile rezultate menționate la litera (d) la aceeași putere, cuprinsă între 0 și 2;</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D146AC" w:rsidRPr="00C27D66" w:rsidTr="00B92DDC">
              <w:tc>
                <w:tcPr>
                  <w:tcW w:w="180" w:type="dxa"/>
                  <w:shd w:val="clear" w:color="auto" w:fill="FFFFFF"/>
                  <w:hideMark/>
                </w:tcPr>
                <w:p w:rsidR="00D146AC" w:rsidRPr="00043955" w:rsidRDefault="00D146AC" w:rsidP="00DA725A">
                  <w:pPr>
                    <w:jc w:val="both"/>
                    <w:rPr>
                      <w:sz w:val="18"/>
                      <w:szCs w:val="18"/>
                    </w:rPr>
                  </w:pPr>
                  <w:r w:rsidRPr="00043955">
                    <w:rPr>
                      <w:sz w:val="18"/>
                      <w:szCs w:val="18"/>
                    </w:rPr>
                    <w:t>(f)</w:t>
                  </w:r>
                </w:p>
              </w:tc>
              <w:tc>
                <w:tcPr>
                  <w:tcW w:w="917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se calculează media aritmetică a produselor dintre valorilor rezultate menționate la litera (e) și coeficientul de multiplicare pentru produsul de capacitate standard lunară;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043955"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(g)</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valoarea rezultată menționată la litera (f) se compară cu intervalul menționat la articolul 13 alineatul (1), după cum urmează:</w:t>
                  </w:r>
                </w:p>
                <w:tbl>
                  <w:tblPr>
                    <w:tblW w:w="5000" w:type="pct"/>
                    <w:tblLayout w:type="fixed"/>
                    <w:tblCellMar>
                      <w:left w:w="0" w:type="dxa"/>
                      <w:right w:w="0" w:type="dxa"/>
                    </w:tblCellMar>
                    <w:tblLook w:val="04A0" w:firstRow="1" w:lastRow="0" w:firstColumn="1" w:lastColumn="0" w:noHBand="0" w:noVBand="1"/>
                  </w:tblPr>
                  <w:tblGrid>
                    <w:gridCol w:w="100"/>
                    <w:gridCol w:w="4887"/>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3" w:type="dxa"/>
                        <w:shd w:val="clear" w:color="auto" w:fill="auto"/>
                        <w:hideMark/>
                      </w:tcPr>
                      <w:p w:rsidR="00D146AC" w:rsidRDefault="00D146AC" w:rsidP="00DA725A">
                        <w:pPr>
                          <w:jc w:val="both"/>
                          <w:rPr>
                            <w:sz w:val="18"/>
                            <w:szCs w:val="18"/>
                            <w:lang w:val="it-IT"/>
                          </w:rPr>
                        </w:pPr>
                        <w:r w:rsidRPr="00D82EE4">
                          <w:rPr>
                            <w:sz w:val="18"/>
                            <w:szCs w:val="18"/>
                            <w:lang w:val="it-IT"/>
                          </w:rPr>
                          <w:t>dacă valoarea respectivă se înscrie în acest interval, înseamnă că nivelul coeficienților sezonieri este egal cu valorile rezultate corespunzătoare menționate la litera (e);</w:t>
                        </w:r>
                      </w:p>
                      <w:p w:rsidR="002E7D65" w:rsidRPr="00D82EE4" w:rsidRDefault="002E7D65"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7"/>
                    <w:gridCol w:w="4780"/>
                  </w:tblGrid>
                  <w:tr w:rsidR="00D146AC" w:rsidRPr="00043955" w:rsidTr="00B92DDC">
                    <w:tc>
                      <w:tcPr>
                        <w:tcW w:w="369"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924" w:type="dxa"/>
                        <w:shd w:val="clear" w:color="auto" w:fill="auto"/>
                        <w:hideMark/>
                      </w:tcPr>
                      <w:p w:rsidR="00D146AC" w:rsidRDefault="00D146AC" w:rsidP="00DA725A">
                        <w:pPr>
                          <w:jc w:val="both"/>
                          <w:rPr>
                            <w:sz w:val="18"/>
                            <w:szCs w:val="18"/>
                          </w:rPr>
                        </w:pPr>
                        <w:r w:rsidRPr="00043955">
                          <w:rPr>
                            <w:sz w:val="18"/>
                            <w:szCs w:val="18"/>
                          </w:rPr>
                          <w:t>dacă valoarea respectivă nu se înscrie în acest interval, se aplică litera (h);</w:t>
                        </w:r>
                      </w:p>
                      <w:p w:rsidR="002E7D65" w:rsidRPr="00043955" w:rsidRDefault="002E7D65" w:rsidP="00DA725A">
                        <w:pPr>
                          <w:jc w:val="both"/>
                          <w:rPr>
                            <w:sz w:val="18"/>
                            <w:szCs w:val="18"/>
                          </w:rPr>
                        </w:pP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(h)</w:t>
                  </w:r>
                </w:p>
              </w:tc>
              <w:tc>
                <w:tcPr>
                  <w:tcW w:w="9293" w:type="dxa"/>
                  <w:shd w:val="clear" w:color="auto" w:fill="FFFFFF"/>
                  <w:hideMark/>
                </w:tcPr>
                <w:p w:rsidR="00D146AC" w:rsidRDefault="00D146AC" w:rsidP="00DA725A">
                  <w:pPr>
                    <w:jc w:val="both"/>
                    <w:rPr>
                      <w:sz w:val="18"/>
                      <w:szCs w:val="18"/>
                      <w:lang w:val="it-IT"/>
                    </w:rPr>
                  </w:pPr>
                  <w:r w:rsidRPr="00D82EE4">
                    <w:rPr>
                      <w:sz w:val="18"/>
                      <w:szCs w:val="18"/>
                      <w:lang w:val="it-IT"/>
                    </w:rPr>
                    <w:t>nivelul coeficienților sezonieri se calculează ca fiind produsul dintre valorile rezultate corespunzătoare menționate la litera (e) și coeficientul de corecție calculat după cum urmează:</w:t>
                  </w:r>
                </w:p>
                <w:p w:rsidR="002E7D65" w:rsidRPr="00D82EE4" w:rsidRDefault="002E7D65"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00"/>
                    <w:gridCol w:w="4887"/>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3" w:type="dxa"/>
                        <w:shd w:val="clear" w:color="auto" w:fill="auto"/>
                        <w:hideMark/>
                      </w:tcPr>
                      <w:p w:rsidR="00D146AC" w:rsidRDefault="00D146AC" w:rsidP="00DA725A">
                        <w:pPr>
                          <w:jc w:val="both"/>
                          <w:rPr>
                            <w:sz w:val="18"/>
                            <w:szCs w:val="18"/>
                            <w:lang w:val="it-IT"/>
                          </w:rPr>
                        </w:pPr>
                        <w:r w:rsidRPr="00D82EE4">
                          <w:rPr>
                            <w:sz w:val="18"/>
                            <w:szCs w:val="18"/>
                            <w:lang w:val="it-IT"/>
                          </w:rPr>
                          <w:t>dacă valoarea rezultată menționată la litera (f) este mai mare de 1,5, coeficientul de corecție se calculează prin împărțirea lui 1,5 la valoarea respectivă;</w:t>
                        </w:r>
                      </w:p>
                      <w:p w:rsidR="002E7D65" w:rsidRPr="00D82EE4" w:rsidRDefault="002E7D65"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D146AC" w:rsidRPr="00C27D66"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3" w:type="dxa"/>
                        <w:shd w:val="clear" w:color="auto" w:fill="auto"/>
                        <w:hideMark/>
                      </w:tcPr>
                      <w:p w:rsidR="00D146AC" w:rsidRDefault="00D146AC" w:rsidP="00DA725A">
                        <w:pPr>
                          <w:jc w:val="both"/>
                          <w:rPr>
                            <w:sz w:val="18"/>
                            <w:szCs w:val="18"/>
                            <w:lang w:val="it-IT"/>
                          </w:rPr>
                        </w:pPr>
                        <w:r w:rsidRPr="00D82EE4">
                          <w:rPr>
                            <w:sz w:val="18"/>
                            <w:szCs w:val="18"/>
                            <w:lang w:val="it-IT"/>
                          </w:rPr>
                          <w:t>dacă valoarea rezultată menționată la litera (f) este mai mică de 1, coeficientul de corecție se calculează prin împărțirea lui 1 la valoarea respectivă.</w:t>
                        </w:r>
                      </w:p>
                      <w:p w:rsidR="002E7D65" w:rsidRDefault="002E7D65" w:rsidP="00DA725A">
                        <w:pPr>
                          <w:jc w:val="both"/>
                          <w:rPr>
                            <w:sz w:val="18"/>
                            <w:szCs w:val="18"/>
                            <w:lang w:val="it-IT"/>
                          </w:rPr>
                        </w:pPr>
                      </w:p>
                      <w:p w:rsidR="002E7D65" w:rsidRDefault="002E7D65" w:rsidP="00DA725A">
                        <w:pPr>
                          <w:jc w:val="both"/>
                          <w:rPr>
                            <w:sz w:val="18"/>
                            <w:szCs w:val="18"/>
                            <w:lang w:val="it-IT"/>
                          </w:rPr>
                        </w:pPr>
                      </w:p>
                      <w:p w:rsidR="002E7D65" w:rsidRDefault="002E7D65" w:rsidP="00DA725A">
                        <w:pPr>
                          <w:jc w:val="both"/>
                          <w:rPr>
                            <w:sz w:val="18"/>
                            <w:szCs w:val="18"/>
                            <w:lang w:val="it-IT"/>
                          </w:rPr>
                        </w:pPr>
                      </w:p>
                      <w:p w:rsidR="00AC425B" w:rsidRDefault="00AC425B" w:rsidP="00DA725A">
                        <w:pPr>
                          <w:jc w:val="both"/>
                          <w:rPr>
                            <w:sz w:val="18"/>
                            <w:szCs w:val="18"/>
                            <w:lang w:val="it-IT"/>
                          </w:rPr>
                        </w:pPr>
                      </w:p>
                      <w:p w:rsidR="00AC425B" w:rsidRDefault="00AC425B" w:rsidP="00DA725A">
                        <w:pPr>
                          <w:jc w:val="both"/>
                          <w:rPr>
                            <w:sz w:val="18"/>
                            <w:szCs w:val="18"/>
                            <w:lang w:val="it-IT"/>
                          </w:rPr>
                        </w:pPr>
                      </w:p>
                      <w:p w:rsidR="002E7D65" w:rsidRPr="00D82EE4" w:rsidRDefault="002E7D65"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(4)   Pentru produsele de capacitate standard zilnică pentru capacitate fermă și pentru produsele de capacitate standard intra-zilnică pentru capacitate fermă, coeficienții sezonieri se calculează respectând etapele stabilite la alineatul (3) literele (f)-(h), </w:t>
            </w:r>
            <w:r w:rsidRPr="00D82EE4">
              <w:rPr>
                <w:i/>
                <w:iCs/>
                <w:sz w:val="18"/>
                <w:szCs w:val="18"/>
                <w:lang w:val="it-IT"/>
              </w:rPr>
              <w:t>mutatis mutandis</w:t>
            </w:r>
            <w:r w:rsidRPr="00D82EE4">
              <w:rPr>
                <w:sz w:val="18"/>
                <w:szCs w:val="18"/>
                <w:lang w:val="it-IT"/>
              </w:rPr>
              <w:t>.</w:t>
            </w:r>
          </w:p>
          <w:p w:rsidR="008043C2" w:rsidRPr="00D82EE4" w:rsidRDefault="008043C2"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(5)   Pentru produsele de capacitate standard trimestrială pentru capacitate fermă, coeficienții sezonieri se calculează respectând următoarele etape consecutive: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nivelul inițial al coeficienților sezonieri respectivi se calculează într-unul dintre următoarele moduri:</w:t>
                  </w:r>
                </w:p>
                <w:tbl>
                  <w:tblPr>
                    <w:tblW w:w="5000" w:type="pct"/>
                    <w:tblLayout w:type="fixed"/>
                    <w:tblCellMar>
                      <w:left w:w="0" w:type="dxa"/>
                      <w:right w:w="0" w:type="dxa"/>
                    </w:tblCellMar>
                    <w:tblLook w:val="04A0" w:firstRow="1" w:lastRow="0" w:firstColumn="1" w:lastColumn="0" w:noHBand="0" w:noVBand="1"/>
                  </w:tblPr>
                  <w:tblGrid>
                    <w:gridCol w:w="122"/>
                    <w:gridCol w:w="4866"/>
                  </w:tblGrid>
                  <w:tr w:rsidR="00D146AC" w:rsidRPr="00C27D66" w:rsidTr="00B92DDC">
                    <w:tc>
                      <w:tcPr>
                        <w:tcW w:w="211" w:type="dxa"/>
                        <w:shd w:val="clear" w:color="auto" w:fill="auto"/>
                        <w:hideMark/>
                      </w:tcPr>
                      <w:p w:rsidR="00D146AC" w:rsidRPr="00043955" w:rsidRDefault="00D146AC" w:rsidP="00DA725A">
                        <w:pPr>
                          <w:jc w:val="both"/>
                          <w:rPr>
                            <w:sz w:val="18"/>
                            <w:szCs w:val="18"/>
                          </w:rPr>
                        </w:pPr>
                        <w:r w:rsidRPr="00043955">
                          <w:rPr>
                            <w:sz w:val="18"/>
                            <w:szCs w:val="18"/>
                          </w:rPr>
                          <w:lastRenderedPageBreak/>
                          <w:t>(i)</w:t>
                        </w:r>
                      </w:p>
                    </w:tc>
                    <w:tc>
                      <w:tcPr>
                        <w:tcW w:w="9085" w:type="dxa"/>
                        <w:shd w:val="clear" w:color="auto" w:fill="auto"/>
                        <w:hideMark/>
                      </w:tcPr>
                      <w:p w:rsidR="00D146AC" w:rsidRPr="00D82EE4" w:rsidRDefault="00D146AC" w:rsidP="00DA725A">
                        <w:pPr>
                          <w:jc w:val="both"/>
                          <w:rPr>
                            <w:sz w:val="18"/>
                            <w:szCs w:val="18"/>
                            <w:lang w:val="it-IT"/>
                          </w:rPr>
                        </w:pPr>
                        <w:r w:rsidRPr="00D82EE4">
                          <w:rPr>
                            <w:sz w:val="18"/>
                            <w:szCs w:val="18"/>
                            <w:lang w:val="it-IT"/>
                          </w:rPr>
                          <w:t>ca medie aritmetică a coeficienților sezonieri corespunzători, aplicabili pentru cele trei luni relevante;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C27D66"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D82EE4" w:rsidRDefault="00D146AC" w:rsidP="00DA725A">
                        <w:pPr>
                          <w:jc w:val="both"/>
                          <w:rPr>
                            <w:sz w:val="18"/>
                            <w:szCs w:val="18"/>
                            <w:lang w:val="it-IT"/>
                          </w:rPr>
                        </w:pPr>
                        <w:r w:rsidRPr="00D82EE4">
                          <w:rPr>
                            <w:sz w:val="18"/>
                            <w:szCs w:val="18"/>
                            <w:lang w:val="it-IT"/>
                          </w:rPr>
                          <w:t>ca valoare cuprinsă între nivelul cel mai redus și nivelul cel mai ridicat al respectivilor coeficienți sezonieri aplicabili celor trei luni relevante;</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Default="00D146AC" w:rsidP="00DA725A">
                  <w:pPr>
                    <w:jc w:val="both"/>
                    <w:rPr>
                      <w:sz w:val="18"/>
                      <w:szCs w:val="18"/>
                      <w:lang w:val="it-IT"/>
                    </w:rPr>
                  </w:pPr>
                  <w:r w:rsidRPr="00D82EE4">
                    <w:rPr>
                      <w:sz w:val="18"/>
                      <w:szCs w:val="18"/>
                      <w:lang w:val="it-IT"/>
                    </w:rPr>
                    <w:t>etapele stabilite la alineatul (3) literele (f)-(h) se realizează, </w:t>
                  </w:r>
                  <w:r w:rsidRPr="00D82EE4">
                    <w:rPr>
                      <w:i/>
                      <w:iCs/>
                      <w:sz w:val="18"/>
                      <w:szCs w:val="18"/>
                      <w:lang w:val="it-IT"/>
                    </w:rPr>
                    <w:t>mutatis mutandis</w:t>
                  </w:r>
                  <w:r w:rsidRPr="00D82EE4">
                    <w:rPr>
                      <w:sz w:val="18"/>
                      <w:szCs w:val="18"/>
                      <w:lang w:val="it-IT"/>
                    </w:rPr>
                    <w:t>, utilizându-se valorile rezultate menționate la litera (a).</w:t>
                  </w:r>
                </w:p>
                <w:p w:rsidR="008043C2" w:rsidRDefault="008043C2" w:rsidP="00DA725A">
                  <w:pPr>
                    <w:jc w:val="both"/>
                    <w:rPr>
                      <w:sz w:val="18"/>
                      <w:szCs w:val="18"/>
                      <w:lang w:val="it-IT"/>
                    </w:rPr>
                  </w:pPr>
                </w:p>
                <w:p w:rsidR="008043C2" w:rsidRPr="00D82EE4" w:rsidRDefault="008043C2"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r w:rsidRPr="00D82EE4">
              <w:rPr>
                <w:sz w:val="18"/>
                <w:szCs w:val="18"/>
                <w:lang w:val="it-IT"/>
              </w:rPr>
              <w:t>(6)   Pentru produsele de capacitate standard neanuală pentru capacitate fermă, valorile rezultate din calculele menționate la alineatele (3)-(5) pot fi rotunjite în sus sau în jos.</w:t>
            </w:r>
          </w:p>
        </w:tc>
        <w:tc>
          <w:tcPr>
            <w:tcW w:w="4962" w:type="dxa"/>
          </w:tcPr>
          <w:p w:rsidR="00CB2EB9" w:rsidRPr="00CB2EB9" w:rsidRDefault="00CB2EB9" w:rsidP="0005638B">
            <w:pPr>
              <w:tabs>
                <w:tab w:val="left" w:pos="851"/>
              </w:tabs>
              <w:jc w:val="center"/>
              <w:outlineLvl w:val="0"/>
              <w:rPr>
                <w:sz w:val="18"/>
                <w:szCs w:val="18"/>
                <w:lang w:val="ro-RO"/>
              </w:rPr>
            </w:pPr>
            <w:r w:rsidRPr="00CB2EB9">
              <w:rPr>
                <w:b/>
                <w:bCs/>
                <w:sz w:val="18"/>
                <w:szCs w:val="18"/>
                <w:lang w:val="ro-RO"/>
              </w:rPr>
              <w:lastRenderedPageBreak/>
              <w:t>Secțiunea 4</w:t>
            </w:r>
          </w:p>
          <w:p w:rsidR="00CB2EB9" w:rsidRPr="00CB2EB9" w:rsidRDefault="00CB2EB9" w:rsidP="0056404D">
            <w:pPr>
              <w:tabs>
                <w:tab w:val="left" w:pos="851"/>
              </w:tabs>
              <w:jc w:val="center"/>
              <w:outlineLvl w:val="0"/>
              <w:rPr>
                <w:sz w:val="18"/>
                <w:szCs w:val="18"/>
                <w:lang w:val="ro-RO"/>
              </w:rPr>
            </w:pPr>
            <w:r w:rsidRPr="00CB2EB9">
              <w:rPr>
                <w:b/>
                <w:bCs/>
                <w:sz w:val="18"/>
                <w:szCs w:val="18"/>
                <w:lang w:val="ro-RO"/>
              </w:rPr>
              <w:t>Calcularea preţurilor de rezervă pentru PCS non-anuală pentru</w:t>
            </w:r>
            <w:r w:rsidR="0056404D" w:rsidRPr="00670674">
              <w:rPr>
                <w:b/>
                <w:bCs/>
                <w:sz w:val="18"/>
                <w:szCs w:val="18"/>
                <w:lang w:val="it-IT"/>
              </w:rPr>
              <w:t xml:space="preserve"> </w:t>
            </w:r>
            <w:r w:rsidRPr="00CB2EB9">
              <w:rPr>
                <w:b/>
                <w:bCs/>
                <w:sz w:val="18"/>
                <w:szCs w:val="18"/>
                <w:lang w:val="ro-RO"/>
              </w:rPr>
              <w:t>capacitate fermă cu ajutorul coeficienților sezonieri</w:t>
            </w:r>
          </w:p>
          <w:p w:rsidR="0005638B" w:rsidRDefault="0005638B"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360.</w:t>
            </w:r>
            <w:r w:rsidRPr="00CB2EB9">
              <w:rPr>
                <w:sz w:val="18"/>
                <w:szCs w:val="18"/>
                <w:lang w:val="ro-RO"/>
              </w:rPr>
              <w:t xml:space="preserve"> Dacă se aplică coeficienţi sezonieri, preţurile de rezervă pentru PCS non-anuală pentru capacitate fermă se calculează în conformitate cu formulele stabilite la pct.359, după care se înmulţesc cu coeficientul sezonier corespunzător, calculat în conformitate cu pct.361-365.</w:t>
            </w:r>
          </w:p>
          <w:p w:rsidR="00A96EF8" w:rsidRDefault="00A96EF8"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361.</w:t>
            </w:r>
            <w:r w:rsidRPr="00CB2EB9">
              <w:rPr>
                <w:sz w:val="18"/>
                <w:szCs w:val="18"/>
                <w:lang w:val="ro-RO"/>
              </w:rPr>
              <w:t xml:space="preserve"> Metoda de calcul stabilită la pct.362 se bazează pe fluxurile prognozate. În cazul în care volumul de gaze naturale pentru cel puţin o lună este egal cu 0, atunci, metoda se bazează pe capacitatea contractată prognozată.</w:t>
            </w:r>
          </w:p>
          <w:p w:rsidR="00A96EF8" w:rsidRDefault="00A96EF8"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362.</w:t>
            </w:r>
            <w:r w:rsidRPr="00CB2EB9">
              <w:rPr>
                <w:sz w:val="18"/>
                <w:szCs w:val="18"/>
                <w:lang w:val="ro-RO"/>
              </w:rPr>
              <w:t xml:space="preserve"> Pentru PCS lunară pentru capacitate fermă, coeficienţii sezonieri se calculează respectând următoarele etape consecutive:</w:t>
            </w:r>
          </w:p>
          <w:p w:rsidR="00CB2EB9" w:rsidRPr="00CB2EB9" w:rsidRDefault="00CB2EB9" w:rsidP="00CB2EB9">
            <w:pPr>
              <w:tabs>
                <w:tab w:val="left" w:pos="851"/>
              </w:tabs>
              <w:jc w:val="both"/>
              <w:outlineLvl w:val="0"/>
              <w:rPr>
                <w:sz w:val="18"/>
                <w:szCs w:val="18"/>
                <w:lang w:val="ro-RO"/>
              </w:rPr>
            </w:pPr>
            <w:r w:rsidRPr="00CB2EB9">
              <w:rPr>
                <w:sz w:val="18"/>
                <w:szCs w:val="18"/>
                <w:lang w:val="ro-RO"/>
              </w:rPr>
              <w:t>1) pentru fiecare lună dintr-un anumit an gazier, utilizarea sistemului de transport se calculează pe baza fluxurilor prognozate sau a capacităţii contractate prognozate, în baza:</w:t>
            </w:r>
          </w:p>
          <w:p w:rsidR="00CB2EB9" w:rsidRPr="00CB2EB9" w:rsidRDefault="00CB2EB9" w:rsidP="00CB2EB9">
            <w:pPr>
              <w:tabs>
                <w:tab w:val="left" w:pos="851"/>
              </w:tabs>
              <w:jc w:val="both"/>
              <w:outlineLvl w:val="0"/>
              <w:rPr>
                <w:sz w:val="18"/>
                <w:szCs w:val="18"/>
                <w:lang w:val="ro-RO"/>
              </w:rPr>
            </w:pPr>
            <w:r w:rsidRPr="00CB2EB9">
              <w:rPr>
                <w:sz w:val="18"/>
                <w:szCs w:val="18"/>
                <w:lang w:val="ro-RO"/>
              </w:rPr>
              <w:t>a) datelor privind punctul de interconectare individual, în cazul în care coeficienţii sezonieri sunt calculaţi pentru fiecare punct de interconectare;</w:t>
            </w:r>
          </w:p>
          <w:p w:rsidR="00CB2EB9" w:rsidRPr="00CB2EB9" w:rsidRDefault="00CB2EB9" w:rsidP="00CB2EB9">
            <w:pPr>
              <w:tabs>
                <w:tab w:val="left" w:pos="851"/>
              </w:tabs>
              <w:jc w:val="both"/>
              <w:outlineLvl w:val="0"/>
              <w:rPr>
                <w:sz w:val="18"/>
                <w:szCs w:val="18"/>
                <w:lang w:val="ro-RO"/>
              </w:rPr>
            </w:pPr>
            <w:r w:rsidRPr="00CB2EB9">
              <w:rPr>
                <w:sz w:val="18"/>
                <w:szCs w:val="18"/>
                <w:lang w:val="ro-RO"/>
              </w:rPr>
              <w:t>b) datelor medii privind fluxurile prognozate sau capacitatea contractată prognozată, în cazul în care coeficienţii sezonieri sunt calculaţi pentru unele puncte de interconectare sau pentru toate.</w:t>
            </w:r>
          </w:p>
          <w:p w:rsidR="00CB2EB9" w:rsidRPr="00CB2EB9" w:rsidRDefault="00CB2EB9" w:rsidP="00CB2EB9">
            <w:pPr>
              <w:tabs>
                <w:tab w:val="left" w:pos="851"/>
              </w:tabs>
              <w:jc w:val="both"/>
              <w:outlineLvl w:val="0"/>
              <w:rPr>
                <w:sz w:val="18"/>
                <w:szCs w:val="18"/>
                <w:lang w:val="ro-RO"/>
              </w:rPr>
            </w:pPr>
            <w:r w:rsidRPr="00CB2EB9">
              <w:rPr>
                <w:sz w:val="18"/>
                <w:szCs w:val="18"/>
                <w:lang w:val="ro-RO"/>
              </w:rPr>
              <w:t>2) valorile ce rezultă menţionate la subpunctul 1) se adună;</w:t>
            </w:r>
          </w:p>
          <w:p w:rsidR="00CB2EB9" w:rsidRPr="00CB2EB9" w:rsidRDefault="00CB2EB9" w:rsidP="00CB2EB9">
            <w:pPr>
              <w:tabs>
                <w:tab w:val="left" w:pos="851"/>
              </w:tabs>
              <w:jc w:val="both"/>
              <w:outlineLvl w:val="0"/>
              <w:rPr>
                <w:sz w:val="18"/>
                <w:szCs w:val="18"/>
                <w:lang w:val="ro-RO"/>
              </w:rPr>
            </w:pPr>
            <w:r w:rsidRPr="00CB2EB9">
              <w:rPr>
                <w:sz w:val="18"/>
                <w:szCs w:val="18"/>
                <w:lang w:val="ro-RO"/>
              </w:rPr>
              <w:t>3) rata de utilizare se calculează prin împărţirea fiecăreia dintre valorile rezultate menţionate la subpunctul 1) la valorile rezultate menţionate la subpunctul 2);</w:t>
            </w:r>
          </w:p>
          <w:p w:rsidR="00CB2EB9" w:rsidRPr="00CB2EB9" w:rsidRDefault="00CB2EB9" w:rsidP="00CB2EB9">
            <w:pPr>
              <w:tabs>
                <w:tab w:val="left" w:pos="851"/>
              </w:tabs>
              <w:jc w:val="both"/>
              <w:outlineLvl w:val="0"/>
              <w:rPr>
                <w:sz w:val="18"/>
                <w:szCs w:val="18"/>
                <w:lang w:val="ro-RO"/>
              </w:rPr>
            </w:pPr>
            <w:r w:rsidRPr="00CB2EB9">
              <w:rPr>
                <w:sz w:val="18"/>
                <w:szCs w:val="18"/>
                <w:lang w:val="ro-RO"/>
              </w:rPr>
              <w:lastRenderedPageBreak/>
              <w:t>4) fiecare dintre valorile rezultate menţionate subpunctul 3) se înmulţeşte cu 12. În cazul în care valorile rezultate sunt egale cu 0, ele trebuie ajustate la cea mai mică dintre următoarele valori: 0,1 sau cea mai mică dintre valorile rezultate diferită de 0;</w:t>
            </w:r>
          </w:p>
          <w:p w:rsidR="00CB2EB9" w:rsidRPr="00CB2EB9" w:rsidRDefault="00CB2EB9" w:rsidP="00CB2EB9">
            <w:pPr>
              <w:tabs>
                <w:tab w:val="left" w:pos="851"/>
              </w:tabs>
              <w:jc w:val="both"/>
              <w:outlineLvl w:val="0"/>
              <w:rPr>
                <w:sz w:val="18"/>
                <w:szCs w:val="18"/>
                <w:lang w:val="ro-RO"/>
              </w:rPr>
            </w:pPr>
            <w:r w:rsidRPr="00CB2EB9">
              <w:rPr>
                <w:sz w:val="18"/>
                <w:szCs w:val="18"/>
                <w:lang w:val="ro-RO"/>
              </w:rPr>
              <w:t>5) nivelul iniţial al coeficienţilor sezonieri respectivi se calculează prin ridicarea fiecăreia dintre valorile rezultate menţionate la subpunctul 4) la aceeaşi putere, cuprinsă între 0 şi 2;</w:t>
            </w:r>
          </w:p>
          <w:p w:rsidR="00CB2EB9" w:rsidRPr="00CB2EB9" w:rsidRDefault="00CB2EB9" w:rsidP="00CB2EB9">
            <w:pPr>
              <w:tabs>
                <w:tab w:val="left" w:pos="851"/>
              </w:tabs>
              <w:jc w:val="both"/>
              <w:outlineLvl w:val="0"/>
              <w:rPr>
                <w:sz w:val="18"/>
                <w:szCs w:val="18"/>
                <w:lang w:val="ro-RO"/>
              </w:rPr>
            </w:pPr>
            <w:r w:rsidRPr="00CB2EB9">
              <w:rPr>
                <w:sz w:val="18"/>
                <w:szCs w:val="18"/>
                <w:lang w:val="ro-RO"/>
              </w:rPr>
              <w:t>6) se calculează media aritmetică a produselor dintre valorilor rezultate menţionate la subpunctul 5) şi coeficientul de multiplicare pentru PCS lunară;</w:t>
            </w:r>
          </w:p>
          <w:p w:rsidR="00CB2EB9" w:rsidRPr="00CB2EB9" w:rsidRDefault="00CB2EB9" w:rsidP="00CB2EB9">
            <w:pPr>
              <w:tabs>
                <w:tab w:val="left" w:pos="851"/>
              </w:tabs>
              <w:jc w:val="both"/>
              <w:outlineLvl w:val="0"/>
              <w:rPr>
                <w:sz w:val="18"/>
                <w:szCs w:val="18"/>
                <w:lang w:val="ro-RO"/>
              </w:rPr>
            </w:pPr>
            <w:r w:rsidRPr="00CB2EB9">
              <w:rPr>
                <w:sz w:val="18"/>
                <w:szCs w:val="18"/>
                <w:lang w:val="ro-RO"/>
              </w:rPr>
              <w:t>7) valoarea rezultată menţionată la subpunctul 6) se compară cu intervalul menţionat la pct.357, după cum urmează:</w:t>
            </w:r>
          </w:p>
          <w:p w:rsidR="00CB2EB9" w:rsidRPr="00CB2EB9" w:rsidRDefault="00CB2EB9" w:rsidP="00CB2EB9">
            <w:pPr>
              <w:tabs>
                <w:tab w:val="left" w:pos="851"/>
              </w:tabs>
              <w:jc w:val="both"/>
              <w:outlineLvl w:val="0"/>
              <w:rPr>
                <w:sz w:val="18"/>
                <w:szCs w:val="18"/>
                <w:lang w:val="ro-RO"/>
              </w:rPr>
            </w:pPr>
            <w:r w:rsidRPr="00CB2EB9">
              <w:rPr>
                <w:sz w:val="18"/>
                <w:szCs w:val="18"/>
                <w:lang w:val="ro-RO"/>
              </w:rPr>
              <w:t>a) dacă valoarea respectivă se înscrie în acest interval, că nivelul coeficienţilor sezonieri este egal cu valorile rezultate corespunzătoare menţionate la subpunctul 5);</w:t>
            </w:r>
          </w:p>
          <w:p w:rsidR="00CB2EB9" w:rsidRPr="00CB2EB9" w:rsidRDefault="00CB2EB9" w:rsidP="00CB2EB9">
            <w:pPr>
              <w:tabs>
                <w:tab w:val="left" w:pos="851"/>
              </w:tabs>
              <w:jc w:val="both"/>
              <w:outlineLvl w:val="0"/>
              <w:rPr>
                <w:sz w:val="18"/>
                <w:szCs w:val="18"/>
                <w:lang w:val="ro-RO"/>
              </w:rPr>
            </w:pPr>
            <w:r w:rsidRPr="00CB2EB9">
              <w:rPr>
                <w:sz w:val="18"/>
                <w:szCs w:val="18"/>
                <w:lang w:val="ro-RO"/>
              </w:rPr>
              <w:t>b) dacă valoarea respectivă nu se înscrie în acest interval, se aplică subpunctul 8);</w:t>
            </w:r>
          </w:p>
          <w:p w:rsidR="00CB2EB9" w:rsidRPr="00CB2EB9" w:rsidRDefault="00CB2EB9" w:rsidP="00CB2EB9">
            <w:pPr>
              <w:tabs>
                <w:tab w:val="left" w:pos="851"/>
              </w:tabs>
              <w:jc w:val="both"/>
              <w:outlineLvl w:val="0"/>
              <w:rPr>
                <w:sz w:val="18"/>
                <w:szCs w:val="18"/>
                <w:lang w:val="ro-RO"/>
              </w:rPr>
            </w:pPr>
            <w:r w:rsidRPr="00CB2EB9">
              <w:rPr>
                <w:sz w:val="18"/>
                <w:szCs w:val="18"/>
                <w:lang w:val="ro-RO"/>
              </w:rPr>
              <w:t>8) nivelul coeficienţilor sezonieri se calculează ca fiind produsul dintre valorile corespunzătoare ce rezultă, menţionate la subpunctul 5) şi coeficientul de corecţie calculat după cum urmează:</w:t>
            </w:r>
          </w:p>
          <w:p w:rsidR="00CB2EB9" w:rsidRPr="00CB2EB9" w:rsidRDefault="00CB2EB9" w:rsidP="00CB2EB9">
            <w:pPr>
              <w:tabs>
                <w:tab w:val="left" w:pos="851"/>
              </w:tabs>
              <w:jc w:val="both"/>
              <w:outlineLvl w:val="0"/>
              <w:rPr>
                <w:sz w:val="18"/>
                <w:szCs w:val="18"/>
                <w:lang w:val="ro-RO"/>
              </w:rPr>
            </w:pPr>
            <w:r w:rsidRPr="00CB2EB9">
              <w:rPr>
                <w:sz w:val="18"/>
                <w:szCs w:val="18"/>
                <w:lang w:val="ro-RO"/>
              </w:rPr>
              <w:t>a) dacă valoarea care rezultă din subpunctul 6) este mai mare de 1,5, coeficientul de corecţie se calculează prin împărţirea lui 1,5 la valoarea respectivă;</w:t>
            </w:r>
          </w:p>
          <w:p w:rsidR="00CB2EB9" w:rsidRPr="00CB2EB9" w:rsidRDefault="00CB2EB9" w:rsidP="00CB2EB9">
            <w:pPr>
              <w:tabs>
                <w:tab w:val="left" w:pos="851"/>
              </w:tabs>
              <w:jc w:val="both"/>
              <w:outlineLvl w:val="0"/>
              <w:rPr>
                <w:sz w:val="18"/>
                <w:szCs w:val="18"/>
                <w:lang w:val="ro-RO"/>
              </w:rPr>
            </w:pPr>
            <w:r w:rsidRPr="00CB2EB9">
              <w:rPr>
                <w:sz w:val="18"/>
                <w:szCs w:val="18"/>
                <w:lang w:val="ro-RO"/>
              </w:rPr>
              <w:t>b) dacă valoarea care rezultată din subpunctul 6) este mai mică de 1, coeficientul de corecţie se calculează prin împărţirea lui 1 la valoarea respectivă.</w:t>
            </w:r>
          </w:p>
          <w:p w:rsidR="00A96EF8" w:rsidRDefault="00A96EF8"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363.</w:t>
            </w:r>
            <w:r w:rsidRPr="00CB2EB9">
              <w:rPr>
                <w:sz w:val="18"/>
                <w:szCs w:val="18"/>
                <w:lang w:val="ro-RO"/>
              </w:rPr>
              <w:t xml:space="preserve"> Pentru PCS zilnică pentru capacitate fermă şi pentru PCS intra-zilnică pentru capacitate fermă, coeficienţii sezonieri se calculează respectând etapele stabilite la pct.362, subpunctul 6)-8), mutatis mutandis.</w:t>
            </w:r>
          </w:p>
          <w:p w:rsidR="00A96EF8" w:rsidRDefault="00A96EF8"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364.</w:t>
            </w:r>
            <w:r w:rsidRPr="00CB2EB9">
              <w:rPr>
                <w:sz w:val="18"/>
                <w:szCs w:val="18"/>
                <w:lang w:val="ro-RO"/>
              </w:rPr>
              <w:t xml:space="preserve"> Pentru PCS trimestrială pentru capacitate fermă, coeficienţii sezonieri se calculează respectând următoarele etape consecutive:</w:t>
            </w:r>
          </w:p>
          <w:p w:rsidR="00CB2EB9" w:rsidRPr="00CB2EB9" w:rsidRDefault="00CB2EB9" w:rsidP="00CB2EB9">
            <w:pPr>
              <w:tabs>
                <w:tab w:val="left" w:pos="851"/>
              </w:tabs>
              <w:jc w:val="both"/>
              <w:outlineLvl w:val="0"/>
              <w:rPr>
                <w:sz w:val="18"/>
                <w:szCs w:val="18"/>
                <w:lang w:val="ro-RO"/>
              </w:rPr>
            </w:pPr>
            <w:r w:rsidRPr="00CB2EB9">
              <w:rPr>
                <w:sz w:val="18"/>
                <w:szCs w:val="18"/>
                <w:lang w:val="ro-RO"/>
              </w:rPr>
              <w:t>1) nivelul iniţial al coeficienţilor sezonieri respectivi se calculează într-unul dintre următoarele moduri:</w:t>
            </w:r>
          </w:p>
          <w:p w:rsidR="00CB2EB9" w:rsidRPr="00CB2EB9" w:rsidRDefault="00CB2EB9" w:rsidP="00CB2EB9">
            <w:pPr>
              <w:tabs>
                <w:tab w:val="left" w:pos="851"/>
              </w:tabs>
              <w:jc w:val="both"/>
              <w:outlineLvl w:val="0"/>
              <w:rPr>
                <w:sz w:val="18"/>
                <w:szCs w:val="18"/>
                <w:lang w:val="ro-RO"/>
              </w:rPr>
            </w:pPr>
            <w:r w:rsidRPr="00CB2EB9">
              <w:rPr>
                <w:sz w:val="18"/>
                <w:szCs w:val="18"/>
                <w:lang w:val="ro-RO"/>
              </w:rPr>
              <w:t>a) ca medie aritmetică a coeficienţilor sezonieri corespunzători, aplicabili pentru cele 3 luni relevante;</w:t>
            </w:r>
          </w:p>
          <w:p w:rsidR="00CB2EB9" w:rsidRPr="00CB2EB9" w:rsidRDefault="00CB2EB9" w:rsidP="00CB2EB9">
            <w:pPr>
              <w:tabs>
                <w:tab w:val="left" w:pos="851"/>
              </w:tabs>
              <w:jc w:val="both"/>
              <w:outlineLvl w:val="0"/>
              <w:rPr>
                <w:sz w:val="18"/>
                <w:szCs w:val="18"/>
                <w:lang w:val="ro-RO"/>
              </w:rPr>
            </w:pPr>
            <w:r w:rsidRPr="00CB2EB9">
              <w:rPr>
                <w:sz w:val="18"/>
                <w:szCs w:val="18"/>
                <w:lang w:val="ro-RO"/>
              </w:rPr>
              <w:t>b) ca valoare cuprinsă între nivelul cel mai redus şi nivelul cel mai ridicat al respectivilor coeficienţi sezonieri aplicabili celor 3 luni relevante;</w:t>
            </w:r>
          </w:p>
          <w:p w:rsidR="00CB2EB9" w:rsidRPr="00CB2EB9" w:rsidRDefault="00CB2EB9" w:rsidP="00CB2EB9">
            <w:pPr>
              <w:tabs>
                <w:tab w:val="left" w:pos="851"/>
              </w:tabs>
              <w:jc w:val="both"/>
              <w:outlineLvl w:val="0"/>
              <w:rPr>
                <w:sz w:val="18"/>
                <w:szCs w:val="18"/>
                <w:lang w:val="ro-RO"/>
              </w:rPr>
            </w:pPr>
            <w:r w:rsidRPr="00CB2EB9">
              <w:rPr>
                <w:sz w:val="18"/>
                <w:szCs w:val="18"/>
                <w:lang w:val="ro-RO"/>
              </w:rPr>
              <w:lastRenderedPageBreak/>
              <w:t>2) etapele stabilite la pct.362, subpunctul 6)-8) se realizează, mutatis mutandis, utilizându-se valorile rezultate menţionate la subpunctul 1).</w:t>
            </w:r>
          </w:p>
          <w:p w:rsidR="00A96EF8" w:rsidRDefault="00A96EF8" w:rsidP="00CB2EB9">
            <w:pPr>
              <w:shd w:val="clear" w:color="auto" w:fill="FFFFFF"/>
              <w:jc w:val="both"/>
              <w:rPr>
                <w:b/>
                <w:bCs/>
                <w:sz w:val="18"/>
                <w:szCs w:val="18"/>
                <w:lang w:val="ro-RO"/>
              </w:rPr>
            </w:pPr>
          </w:p>
          <w:p w:rsidR="00D146AC" w:rsidRPr="00043955" w:rsidRDefault="00CB2EB9" w:rsidP="00CB2EB9">
            <w:pPr>
              <w:shd w:val="clear" w:color="auto" w:fill="FFFFFF"/>
              <w:jc w:val="both"/>
              <w:rPr>
                <w:b/>
                <w:bCs/>
                <w:sz w:val="18"/>
                <w:szCs w:val="18"/>
                <w:lang w:val="ro-RO"/>
              </w:rPr>
            </w:pPr>
            <w:r w:rsidRPr="00CB2EB9">
              <w:rPr>
                <w:b/>
                <w:bCs/>
                <w:sz w:val="18"/>
                <w:szCs w:val="18"/>
                <w:lang w:val="ro-RO"/>
              </w:rPr>
              <w:t>365.</w:t>
            </w:r>
            <w:r w:rsidRPr="00CB2EB9">
              <w:rPr>
                <w:sz w:val="18"/>
                <w:szCs w:val="18"/>
                <w:lang w:val="ro-RO"/>
              </w:rPr>
              <w:t xml:space="preserve"> Pentru PCS non-anuală pentru capacitate fermă, valorile rezultate din calculele menţionate la pct.362-364 pot fi rotunjite în sus sau în jos.</w:t>
            </w:r>
          </w:p>
        </w:tc>
        <w:tc>
          <w:tcPr>
            <w:tcW w:w="1275" w:type="dxa"/>
          </w:tcPr>
          <w:p w:rsidR="00D146AC" w:rsidRPr="00D82EE4" w:rsidRDefault="00D146AC" w:rsidP="00DA725A">
            <w:pPr>
              <w:jc w:val="both"/>
              <w:rPr>
                <w:b/>
                <w:sz w:val="18"/>
                <w:szCs w:val="18"/>
                <w:lang w:val="it-IT"/>
              </w:rPr>
            </w:pPr>
          </w:p>
          <w:p w:rsidR="00464A59" w:rsidRDefault="00464A59" w:rsidP="00DA725A">
            <w:pPr>
              <w:rPr>
                <w:sz w:val="18"/>
                <w:szCs w:val="18"/>
                <w:lang w:val="it-IT"/>
              </w:rPr>
            </w:pPr>
          </w:p>
          <w:p w:rsidR="00464A59" w:rsidRDefault="00464A59" w:rsidP="00DA725A">
            <w:pPr>
              <w:rPr>
                <w:sz w:val="18"/>
                <w:szCs w:val="18"/>
                <w:lang w:val="it-IT"/>
              </w:rPr>
            </w:pPr>
          </w:p>
          <w:p w:rsidR="00464A59" w:rsidRDefault="00464A59"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043DC5" w:rsidRPr="00D82EE4" w:rsidRDefault="00043DC5"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Pr="00D82EE4" w:rsidRDefault="006D4C88"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2E7D65" w:rsidRDefault="002E7D65" w:rsidP="00DA725A">
            <w:pPr>
              <w:rPr>
                <w:sz w:val="18"/>
                <w:szCs w:val="18"/>
                <w:lang w:val="it-IT"/>
              </w:rPr>
            </w:pPr>
          </w:p>
          <w:p w:rsidR="002E7D65" w:rsidRPr="00D82EE4" w:rsidRDefault="002E7D65"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56404D" w:rsidRPr="00D82EE4" w:rsidRDefault="0056404D"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3A64CA" w:rsidRDefault="003A64CA"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8043C2" w:rsidRDefault="008043C2" w:rsidP="00DA725A">
            <w:pPr>
              <w:rPr>
                <w:sz w:val="18"/>
                <w:szCs w:val="18"/>
                <w:lang w:val="it-IT"/>
              </w:rPr>
            </w:pPr>
          </w:p>
          <w:p w:rsidR="006D4C88" w:rsidRDefault="006D4C88"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tc>
        <w:tc>
          <w:tcPr>
            <w:tcW w:w="4253" w:type="dxa"/>
          </w:tcPr>
          <w:p w:rsidR="0005132A" w:rsidRPr="00E84D74" w:rsidRDefault="0005132A" w:rsidP="00DA725A">
            <w:pPr>
              <w:autoSpaceDE w:val="0"/>
              <w:autoSpaceDN w:val="0"/>
              <w:adjustRightInd w:val="0"/>
              <w:jc w:val="center"/>
              <w:rPr>
                <w:b/>
                <w:bCs/>
                <w:i/>
                <w:iCs/>
                <w:sz w:val="18"/>
                <w:szCs w:val="18"/>
              </w:rPr>
            </w:pPr>
            <w:r w:rsidRPr="00E84D74">
              <w:rPr>
                <w:b/>
                <w:bCs/>
                <w:i/>
                <w:iCs/>
                <w:sz w:val="18"/>
                <w:szCs w:val="18"/>
              </w:rPr>
              <w:lastRenderedPageBreak/>
              <w:t>Article 15</w:t>
            </w:r>
          </w:p>
          <w:p w:rsidR="00D146AC" w:rsidRPr="00E84D74" w:rsidRDefault="0005132A" w:rsidP="00726299">
            <w:pPr>
              <w:autoSpaceDE w:val="0"/>
              <w:autoSpaceDN w:val="0"/>
              <w:adjustRightInd w:val="0"/>
              <w:jc w:val="center"/>
              <w:rPr>
                <w:b/>
                <w:bCs/>
                <w:sz w:val="18"/>
                <w:szCs w:val="18"/>
              </w:rPr>
            </w:pPr>
            <w:r w:rsidRPr="00E84D74">
              <w:rPr>
                <w:b/>
                <w:bCs/>
                <w:sz w:val="18"/>
                <w:szCs w:val="18"/>
              </w:rPr>
              <w:t>Calculation of reserve prices for non-yearly standard capacity products for firm capacity</w:t>
            </w:r>
            <w:r w:rsidR="00726299" w:rsidRPr="00E84D74">
              <w:rPr>
                <w:b/>
                <w:bCs/>
                <w:sz w:val="18"/>
                <w:szCs w:val="18"/>
              </w:rPr>
              <w:t xml:space="preserve"> </w:t>
            </w:r>
            <w:r w:rsidRPr="00E84D74">
              <w:rPr>
                <w:b/>
                <w:bCs/>
                <w:sz w:val="18"/>
                <w:szCs w:val="18"/>
              </w:rPr>
              <w:t>with seasonal factors</w:t>
            </w:r>
          </w:p>
          <w:p w:rsidR="0005132A" w:rsidRPr="00E84D74" w:rsidRDefault="0005132A" w:rsidP="00DA725A">
            <w:pPr>
              <w:autoSpaceDE w:val="0"/>
              <w:autoSpaceDN w:val="0"/>
              <w:adjustRightInd w:val="0"/>
              <w:rPr>
                <w:sz w:val="18"/>
                <w:szCs w:val="18"/>
              </w:rPr>
            </w:pPr>
            <w:r w:rsidRPr="00E84D74">
              <w:rPr>
                <w:sz w:val="18"/>
                <w:szCs w:val="18"/>
              </w:rPr>
              <w:t>1. Where seasonal factors are applied, the reserve prices for non-yearly standard capacity products for</w:t>
            </w:r>
          </w:p>
          <w:p w:rsidR="0005132A" w:rsidRPr="00E84D74" w:rsidRDefault="0005132A" w:rsidP="00DA725A">
            <w:pPr>
              <w:autoSpaceDE w:val="0"/>
              <w:autoSpaceDN w:val="0"/>
              <w:adjustRightInd w:val="0"/>
              <w:rPr>
                <w:sz w:val="18"/>
                <w:szCs w:val="18"/>
              </w:rPr>
            </w:pPr>
            <w:r w:rsidRPr="00E84D74">
              <w:rPr>
                <w:sz w:val="18"/>
                <w:szCs w:val="18"/>
              </w:rPr>
              <w:t>firm capacity shall be calculated in accordance with the relevant formulas set out in Article 14 which shall</w:t>
            </w:r>
          </w:p>
          <w:p w:rsidR="0005132A" w:rsidRPr="00E84D74" w:rsidRDefault="0005132A" w:rsidP="00DA725A">
            <w:pPr>
              <w:autoSpaceDE w:val="0"/>
              <w:autoSpaceDN w:val="0"/>
              <w:adjustRightInd w:val="0"/>
              <w:rPr>
                <w:sz w:val="18"/>
                <w:szCs w:val="18"/>
              </w:rPr>
            </w:pPr>
            <w:r w:rsidRPr="00E84D74">
              <w:rPr>
                <w:sz w:val="18"/>
                <w:szCs w:val="18"/>
              </w:rPr>
              <w:t>be then multiplied by the respective seasonal factor calculated as set out in paragraphs 2 to 6.</w:t>
            </w:r>
          </w:p>
          <w:p w:rsidR="0005132A" w:rsidRPr="00E84D74" w:rsidRDefault="0005132A" w:rsidP="00DA725A">
            <w:pPr>
              <w:autoSpaceDE w:val="0"/>
              <w:autoSpaceDN w:val="0"/>
              <w:adjustRightInd w:val="0"/>
              <w:rPr>
                <w:sz w:val="18"/>
                <w:szCs w:val="18"/>
              </w:rPr>
            </w:pPr>
            <w:r w:rsidRPr="00E84D74">
              <w:rPr>
                <w:sz w:val="18"/>
                <w:szCs w:val="18"/>
              </w:rPr>
              <w:t>2. The methodology set out in paragraph 3 shall be based on the forecasted flows, unless the quantity</w:t>
            </w:r>
            <w:r w:rsidR="00882CAA" w:rsidRPr="00E84D74">
              <w:rPr>
                <w:sz w:val="18"/>
                <w:szCs w:val="18"/>
              </w:rPr>
              <w:t xml:space="preserve"> </w:t>
            </w:r>
            <w:r w:rsidRPr="00E84D74">
              <w:rPr>
                <w:sz w:val="18"/>
                <w:szCs w:val="18"/>
              </w:rPr>
              <w:t>of the gas flow at least for one month is equal to 0. In such case, the methodology shall be based on</w:t>
            </w:r>
            <w:r w:rsidR="00882CAA" w:rsidRPr="00E84D74">
              <w:rPr>
                <w:sz w:val="18"/>
                <w:szCs w:val="18"/>
              </w:rPr>
              <w:t xml:space="preserve"> </w:t>
            </w:r>
            <w:r w:rsidRPr="00E84D74">
              <w:rPr>
                <w:sz w:val="18"/>
                <w:szCs w:val="18"/>
              </w:rPr>
              <w:t>the forecasted contracted capacity.</w:t>
            </w:r>
          </w:p>
          <w:p w:rsidR="0005132A" w:rsidRPr="00E84D74" w:rsidRDefault="0005132A" w:rsidP="00DA725A">
            <w:pPr>
              <w:autoSpaceDE w:val="0"/>
              <w:autoSpaceDN w:val="0"/>
              <w:adjustRightInd w:val="0"/>
              <w:rPr>
                <w:sz w:val="18"/>
                <w:szCs w:val="18"/>
              </w:rPr>
            </w:pPr>
            <w:r w:rsidRPr="00E84D74">
              <w:rPr>
                <w:sz w:val="18"/>
                <w:szCs w:val="18"/>
              </w:rPr>
              <w:t>3. For monthly standard capacity products for firm capacity, the seasonal factors shall be calculated in</w:t>
            </w:r>
          </w:p>
          <w:p w:rsidR="0005132A" w:rsidRPr="00E84D74" w:rsidRDefault="0005132A" w:rsidP="00DA725A">
            <w:pPr>
              <w:autoSpaceDE w:val="0"/>
              <w:autoSpaceDN w:val="0"/>
              <w:adjustRightInd w:val="0"/>
              <w:rPr>
                <w:sz w:val="18"/>
                <w:szCs w:val="18"/>
              </w:rPr>
            </w:pPr>
            <w:r w:rsidRPr="00E84D74">
              <w:rPr>
                <w:sz w:val="18"/>
                <w:szCs w:val="18"/>
              </w:rPr>
              <w:t>the following sequential steps:</w:t>
            </w:r>
          </w:p>
          <w:p w:rsidR="0005132A" w:rsidRPr="00E84D74" w:rsidRDefault="0005132A" w:rsidP="00DA725A">
            <w:pPr>
              <w:autoSpaceDE w:val="0"/>
              <w:autoSpaceDN w:val="0"/>
              <w:adjustRightInd w:val="0"/>
              <w:rPr>
                <w:sz w:val="18"/>
                <w:szCs w:val="18"/>
              </w:rPr>
            </w:pPr>
            <w:r w:rsidRPr="00E84D74">
              <w:rPr>
                <w:sz w:val="18"/>
                <w:szCs w:val="18"/>
              </w:rPr>
              <w:t>(a) for each month within a given gas year the usage of the transmission system shall be calculated on</w:t>
            </w:r>
            <w:r w:rsidR="00882CAA" w:rsidRPr="00E84D74">
              <w:rPr>
                <w:sz w:val="18"/>
                <w:szCs w:val="18"/>
              </w:rPr>
              <w:t xml:space="preserve"> </w:t>
            </w:r>
            <w:r w:rsidRPr="00E84D74">
              <w:rPr>
                <w:sz w:val="18"/>
                <w:szCs w:val="18"/>
              </w:rPr>
              <w:t>the basis of forecasted flows or forecasted contracted capacity using:</w:t>
            </w:r>
          </w:p>
          <w:p w:rsidR="0005132A" w:rsidRPr="00E84D74" w:rsidRDefault="00B11667" w:rsidP="00DA725A">
            <w:pPr>
              <w:autoSpaceDE w:val="0"/>
              <w:autoSpaceDN w:val="0"/>
              <w:adjustRightInd w:val="0"/>
              <w:rPr>
                <w:sz w:val="18"/>
                <w:szCs w:val="18"/>
              </w:rPr>
            </w:pPr>
            <w:r w:rsidRPr="00E84D74">
              <w:rPr>
                <w:sz w:val="18"/>
                <w:szCs w:val="18"/>
              </w:rPr>
              <w:tab/>
            </w:r>
            <w:r w:rsidR="0005132A" w:rsidRPr="00E84D74">
              <w:rPr>
                <w:sz w:val="18"/>
                <w:szCs w:val="18"/>
              </w:rPr>
              <w:t>(i) the data for the individual interconnection point, where the seasonal factors are calculated for</w:t>
            </w:r>
            <w:r w:rsidR="00882CAA" w:rsidRPr="00E84D74">
              <w:rPr>
                <w:sz w:val="18"/>
                <w:szCs w:val="18"/>
              </w:rPr>
              <w:t xml:space="preserve"> </w:t>
            </w:r>
            <w:r w:rsidR="0005132A" w:rsidRPr="00E84D74">
              <w:rPr>
                <w:sz w:val="18"/>
                <w:szCs w:val="18"/>
              </w:rPr>
              <w:t>each interconnection point;</w:t>
            </w:r>
          </w:p>
          <w:p w:rsidR="0005132A" w:rsidRPr="00E84D74" w:rsidRDefault="00B11667" w:rsidP="00DA725A">
            <w:pPr>
              <w:autoSpaceDE w:val="0"/>
              <w:autoSpaceDN w:val="0"/>
              <w:adjustRightInd w:val="0"/>
              <w:rPr>
                <w:sz w:val="18"/>
                <w:szCs w:val="18"/>
              </w:rPr>
            </w:pPr>
            <w:r w:rsidRPr="00E84D74">
              <w:rPr>
                <w:sz w:val="18"/>
                <w:szCs w:val="18"/>
              </w:rPr>
              <w:tab/>
            </w:r>
            <w:r w:rsidR="0005132A" w:rsidRPr="00E84D74">
              <w:rPr>
                <w:sz w:val="18"/>
                <w:szCs w:val="18"/>
              </w:rPr>
              <w:t>(ii) the average data on the forecasted flows or the forecasted contracted capacity, where the</w:t>
            </w:r>
            <w:r w:rsidR="00882CAA" w:rsidRPr="00E84D74">
              <w:rPr>
                <w:sz w:val="18"/>
                <w:szCs w:val="18"/>
              </w:rPr>
              <w:t xml:space="preserve"> </w:t>
            </w:r>
            <w:r w:rsidR="0005132A" w:rsidRPr="00E84D74">
              <w:rPr>
                <w:sz w:val="18"/>
                <w:szCs w:val="18"/>
              </w:rPr>
              <w:t>seasonal factors are calculated for some or all of the</w:t>
            </w:r>
            <w:r w:rsidR="00882CAA" w:rsidRPr="00E84D74">
              <w:rPr>
                <w:sz w:val="18"/>
                <w:szCs w:val="18"/>
              </w:rPr>
              <w:t xml:space="preserve"> </w:t>
            </w:r>
            <w:r w:rsidR="0005132A" w:rsidRPr="00E84D74">
              <w:rPr>
                <w:sz w:val="18"/>
                <w:szCs w:val="18"/>
              </w:rPr>
              <w:t>interconnection points.</w:t>
            </w:r>
          </w:p>
          <w:p w:rsidR="00EE5633" w:rsidRPr="00E84D74" w:rsidRDefault="00EE5633" w:rsidP="00DA725A">
            <w:pPr>
              <w:autoSpaceDE w:val="0"/>
              <w:autoSpaceDN w:val="0"/>
              <w:adjustRightInd w:val="0"/>
              <w:rPr>
                <w:sz w:val="18"/>
                <w:szCs w:val="18"/>
              </w:rPr>
            </w:pPr>
          </w:p>
          <w:p w:rsidR="0005132A" w:rsidRPr="00E84D74" w:rsidRDefault="0005132A" w:rsidP="00DA725A">
            <w:pPr>
              <w:autoSpaceDE w:val="0"/>
              <w:autoSpaceDN w:val="0"/>
              <w:adjustRightInd w:val="0"/>
              <w:rPr>
                <w:sz w:val="18"/>
                <w:szCs w:val="18"/>
              </w:rPr>
            </w:pPr>
            <w:r w:rsidRPr="00E84D74">
              <w:rPr>
                <w:sz w:val="18"/>
                <w:szCs w:val="18"/>
              </w:rPr>
              <w:lastRenderedPageBreak/>
              <w:t>(b) the resulting values referred to in point (a) shall be summed up;</w:t>
            </w:r>
          </w:p>
          <w:p w:rsidR="0005132A" w:rsidRPr="00E84D74" w:rsidRDefault="0005132A" w:rsidP="00DA725A">
            <w:pPr>
              <w:autoSpaceDE w:val="0"/>
              <w:autoSpaceDN w:val="0"/>
              <w:adjustRightInd w:val="0"/>
              <w:rPr>
                <w:sz w:val="18"/>
                <w:szCs w:val="18"/>
              </w:rPr>
            </w:pPr>
            <w:r w:rsidRPr="00E84D74">
              <w:rPr>
                <w:sz w:val="18"/>
                <w:szCs w:val="18"/>
              </w:rPr>
              <w:t>(c) the usage rate shall be calculated by dividing each of the resulting values referred to in point (a) by</w:t>
            </w:r>
          </w:p>
          <w:p w:rsidR="0005132A" w:rsidRPr="00E84D74" w:rsidRDefault="0005132A" w:rsidP="00DA725A">
            <w:pPr>
              <w:autoSpaceDE w:val="0"/>
              <w:autoSpaceDN w:val="0"/>
              <w:adjustRightInd w:val="0"/>
              <w:rPr>
                <w:sz w:val="18"/>
                <w:szCs w:val="18"/>
              </w:rPr>
            </w:pPr>
            <w:r w:rsidRPr="00E84D74">
              <w:rPr>
                <w:sz w:val="18"/>
                <w:szCs w:val="18"/>
              </w:rPr>
              <w:t>the resulting value referred to in point (b);</w:t>
            </w:r>
          </w:p>
          <w:p w:rsidR="0005132A" w:rsidRPr="00E84D74" w:rsidRDefault="0005132A" w:rsidP="00DA725A">
            <w:pPr>
              <w:autoSpaceDE w:val="0"/>
              <w:autoSpaceDN w:val="0"/>
              <w:adjustRightInd w:val="0"/>
              <w:rPr>
                <w:sz w:val="18"/>
                <w:szCs w:val="18"/>
              </w:rPr>
            </w:pPr>
            <w:r w:rsidRPr="00E84D74">
              <w:rPr>
                <w:sz w:val="18"/>
                <w:szCs w:val="18"/>
              </w:rPr>
              <w:t>(d) each of the resulting values referred to in point (c) shall be multiplied by 12. Where the resulting values</w:t>
            </w:r>
            <w:r w:rsidR="00E41FDB" w:rsidRPr="00E84D74">
              <w:rPr>
                <w:sz w:val="18"/>
                <w:szCs w:val="18"/>
              </w:rPr>
              <w:t xml:space="preserve"> </w:t>
            </w:r>
            <w:r w:rsidRPr="00E84D74">
              <w:rPr>
                <w:sz w:val="18"/>
                <w:szCs w:val="18"/>
              </w:rPr>
              <w:t>are equal to 0, these values shall be adjusted to</w:t>
            </w:r>
            <w:r w:rsidR="00882CAA" w:rsidRPr="00E84D74">
              <w:rPr>
                <w:sz w:val="18"/>
                <w:szCs w:val="18"/>
              </w:rPr>
              <w:t xml:space="preserve"> w</w:t>
            </w:r>
            <w:r w:rsidRPr="00E84D74">
              <w:rPr>
                <w:sz w:val="18"/>
                <w:szCs w:val="18"/>
              </w:rPr>
              <w:t>hichever of the following is the lower: 0,1 or the lowest</w:t>
            </w:r>
            <w:r w:rsidR="00E41FDB" w:rsidRPr="00E84D74">
              <w:rPr>
                <w:sz w:val="18"/>
                <w:szCs w:val="18"/>
              </w:rPr>
              <w:t xml:space="preserve"> </w:t>
            </w:r>
            <w:r w:rsidRPr="00E84D74">
              <w:rPr>
                <w:sz w:val="18"/>
                <w:szCs w:val="18"/>
              </w:rPr>
              <w:t>of the resulting values other than 0;</w:t>
            </w:r>
          </w:p>
          <w:p w:rsidR="0005132A" w:rsidRPr="00E84D74" w:rsidRDefault="0005132A" w:rsidP="00DA725A">
            <w:pPr>
              <w:autoSpaceDE w:val="0"/>
              <w:autoSpaceDN w:val="0"/>
              <w:adjustRightInd w:val="0"/>
              <w:rPr>
                <w:sz w:val="18"/>
                <w:szCs w:val="18"/>
              </w:rPr>
            </w:pPr>
            <w:r w:rsidRPr="00E84D74">
              <w:rPr>
                <w:sz w:val="18"/>
                <w:szCs w:val="18"/>
              </w:rPr>
              <w:t>(e) the initial level of the respective seasonal factors shall be calculated by raising each of the resulting</w:t>
            </w:r>
            <w:r w:rsidR="00EE5633" w:rsidRPr="00E84D74">
              <w:rPr>
                <w:sz w:val="18"/>
                <w:szCs w:val="18"/>
              </w:rPr>
              <w:t xml:space="preserve"> </w:t>
            </w:r>
            <w:r w:rsidRPr="00E84D74">
              <w:rPr>
                <w:sz w:val="18"/>
                <w:szCs w:val="18"/>
              </w:rPr>
              <w:t xml:space="preserve">values </w:t>
            </w:r>
            <w:r w:rsidR="00EE5633" w:rsidRPr="00E84D74">
              <w:rPr>
                <w:sz w:val="18"/>
                <w:szCs w:val="18"/>
              </w:rPr>
              <w:t>r</w:t>
            </w:r>
            <w:r w:rsidRPr="00E84D74">
              <w:rPr>
                <w:sz w:val="18"/>
                <w:szCs w:val="18"/>
              </w:rPr>
              <w:t>eferred to in point (d) to the same power which is no less than 0 and no more than 2;</w:t>
            </w:r>
          </w:p>
          <w:p w:rsidR="0005132A" w:rsidRPr="00E84D74" w:rsidRDefault="0005132A" w:rsidP="00DA725A">
            <w:pPr>
              <w:autoSpaceDE w:val="0"/>
              <w:autoSpaceDN w:val="0"/>
              <w:adjustRightInd w:val="0"/>
              <w:rPr>
                <w:sz w:val="18"/>
                <w:szCs w:val="18"/>
              </w:rPr>
            </w:pPr>
            <w:r w:rsidRPr="00E84D74">
              <w:rPr>
                <w:sz w:val="18"/>
                <w:szCs w:val="18"/>
              </w:rPr>
              <w:t>(f) the arithmetic mean of the products of the resulting values referred to in point (e) and the multiplier</w:t>
            </w:r>
            <w:r w:rsidR="00882CAA" w:rsidRPr="00E84D74">
              <w:rPr>
                <w:sz w:val="18"/>
                <w:szCs w:val="18"/>
              </w:rPr>
              <w:t xml:space="preserve"> </w:t>
            </w:r>
            <w:r w:rsidRPr="00E84D74">
              <w:rPr>
                <w:sz w:val="18"/>
                <w:szCs w:val="18"/>
              </w:rPr>
              <w:t>for monthly standard capacity products shall be calculated;</w:t>
            </w:r>
          </w:p>
          <w:p w:rsidR="0005132A" w:rsidRPr="00E84D74" w:rsidRDefault="0005132A" w:rsidP="002E7D65">
            <w:pPr>
              <w:autoSpaceDE w:val="0"/>
              <w:autoSpaceDN w:val="0"/>
              <w:adjustRightInd w:val="0"/>
              <w:jc w:val="both"/>
              <w:rPr>
                <w:sz w:val="18"/>
                <w:szCs w:val="18"/>
              </w:rPr>
            </w:pPr>
            <w:r w:rsidRPr="00E84D74">
              <w:rPr>
                <w:sz w:val="18"/>
                <w:szCs w:val="18"/>
              </w:rPr>
              <w:t>(g) the resulting value referred to in point (f) shall be compared with the range referred to in Article</w:t>
            </w:r>
            <w:r w:rsidR="00882CAA" w:rsidRPr="00E84D74">
              <w:rPr>
                <w:sz w:val="18"/>
                <w:szCs w:val="18"/>
              </w:rPr>
              <w:t xml:space="preserve"> </w:t>
            </w:r>
            <w:r w:rsidRPr="00E84D74">
              <w:rPr>
                <w:sz w:val="18"/>
                <w:szCs w:val="18"/>
              </w:rPr>
              <w:t>13(1), as follows:</w:t>
            </w:r>
          </w:p>
          <w:p w:rsidR="0005132A"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 if this value falls within this range then the level of seasonal factors shall be equal to with the</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respectie resulting values referred to in point (e);</w:t>
            </w:r>
          </w:p>
          <w:p w:rsidR="00CB6327"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(ii) if this value falls outside of this range then point (h) shall apply.</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(h) the level of seasonal factors shall be calculated as the product of the respective resulting values referred</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to in point (e) and the correction factor calculated as follows:</w:t>
            </w:r>
          </w:p>
          <w:p w:rsidR="0005132A"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 where the resulting value referred to in point (f) is more than 1,5, the correction factor shall be</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calculated as 1,5 divided by this value;</w:t>
            </w:r>
          </w:p>
          <w:p w:rsidR="0005132A"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(ii) where the resulting value referred to in point (f) is less than 1, the correction factor shall be</w:t>
            </w:r>
          </w:p>
          <w:p w:rsidR="0005132A" w:rsidRPr="00E84D74" w:rsidRDefault="0005132A" w:rsidP="002E7D65">
            <w:pPr>
              <w:autoSpaceDE w:val="0"/>
              <w:autoSpaceDN w:val="0"/>
              <w:adjustRightInd w:val="0"/>
              <w:jc w:val="both"/>
              <w:rPr>
                <w:sz w:val="18"/>
                <w:szCs w:val="18"/>
              </w:rPr>
            </w:pPr>
            <w:r w:rsidRPr="00E84D74">
              <w:rPr>
                <w:sz w:val="18"/>
                <w:szCs w:val="18"/>
              </w:rPr>
              <w:t>calculated as 1 divided by this value.</w:t>
            </w:r>
          </w:p>
          <w:p w:rsidR="0005132A" w:rsidRPr="00E84D74" w:rsidRDefault="0005132A" w:rsidP="00DA725A">
            <w:pPr>
              <w:autoSpaceDE w:val="0"/>
              <w:autoSpaceDN w:val="0"/>
              <w:adjustRightInd w:val="0"/>
              <w:rPr>
                <w:sz w:val="18"/>
                <w:szCs w:val="18"/>
              </w:rPr>
            </w:pPr>
            <w:r w:rsidRPr="00E84D74">
              <w:rPr>
                <w:sz w:val="18"/>
                <w:szCs w:val="18"/>
              </w:rPr>
              <w:t>4. For daily standard capacity products for firm capacity and within-day standard capacity products for</w:t>
            </w:r>
          </w:p>
          <w:p w:rsidR="0005132A" w:rsidRPr="00E84D74" w:rsidRDefault="0005132A" w:rsidP="00DA725A">
            <w:pPr>
              <w:autoSpaceDE w:val="0"/>
              <w:autoSpaceDN w:val="0"/>
              <w:adjustRightInd w:val="0"/>
              <w:rPr>
                <w:sz w:val="18"/>
                <w:szCs w:val="18"/>
              </w:rPr>
            </w:pPr>
            <w:r w:rsidRPr="00E84D74">
              <w:rPr>
                <w:sz w:val="18"/>
                <w:szCs w:val="18"/>
              </w:rPr>
              <w:t>firm capacity, the seasonal factors shall be calculated by carrying out the steps set out in paragraph 3(f)</w:t>
            </w:r>
          </w:p>
          <w:p w:rsidR="0005132A" w:rsidRPr="00E84D74" w:rsidRDefault="0005132A" w:rsidP="00DA725A">
            <w:pPr>
              <w:autoSpaceDE w:val="0"/>
              <w:autoSpaceDN w:val="0"/>
              <w:adjustRightInd w:val="0"/>
              <w:rPr>
                <w:sz w:val="18"/>
                <w:szCs w:val="18"/>
              </w:rPr>
            </w:pPr>
            <w:r w:rsidRPr="00E84D74">
              <w:rPr>
                <w:sz w:val="18"/>
                <w:szCs w:val="18"/>
              </w:rPr>
              <w:t xml:space="preserve">to (h), </w:t>
            </w:r>
            <w:r w:rsidRPr="00E84D74">
              <w:rPr>
                <w:i/>
                <w:iCs/>
                <w:sz w:val="18"/>
                <w:szCs w:val="18"/>
              </w:rPr>
              <w:t>mutatis mutandis</w:t>
            </w:r>
            <w:r w:rsidRPr="00E84D74">
              <w:rPr>
                <w:sz w:val="18"/>
                <w:szCs w:val="18"/>
              </w:rPr>
              <w:t>.</w:t>
            </w:r>
          </w:p>
          <w:p w:rsidR="0005132A" w:rsidRPr="00E84D74" w:rsidRDefault="0005132A" w:rsidP="00DA725A">
            <w:pPr>
              <w:autoSpaceDE w:val="0"/>
              <w:autoSpaceDN w:val="0"/>
              <w:adjustRightInd w:val="0"/>
              <w:rPr>
                <w:sz w:val="18"/>
                <w:szCs w:val="18"/>
              </w:rPr>
            </w:pPr>
            <w:r w:rsidRPr="00E84D74">
              <w:rPr>
                <w:sz w:val="18"/>
                <w:szCs w:val="18"/>
              </w:rPr>
              <w:t>5. For quarterly standard capacity products for firm capacity, the seasonal factors shall be calculated in</w:t>
            </w:r>
          </w:p>
          <w:p w:rsidR="0005132A" w:rsidRPr="00E84D74" w:rsidRDefault="0005132A" w:rsidP="00DA725A">
            <w:pPr>
              <w:autoSpaceDE w:val="0"/>
              <w:autoSpaceDN w:val="0"/>
              <w:adjustRightInd w:val="0"/>
              <w:rPr>
                <w:sz w:val="18"/>
                <w:szCs w:val="18"/>
              </w:rPr>
            </w:pPr>
            <w:r w:rsidRPr="00E84D74">
              <w:rPr>
                <w:sz w:val="18"/>
                <w:szCs w:val="18"/>
              </w:rPr>
              <w:t>sequential steps as follows:</w:t>
            </w:r>
          </w:p>
          <w:p w:rsidR="0005132A" w:rsidRPr="00E84D74" w:rsidRDefault="0005132A" w:rsidP="008043C2">
            <w:pPr>
              <w:autoSpaceDE w:val="0"/>
              <w:autoSpaceDN w:val="0"/>
              <w:adjustRightInd w:val="0"/>
              <w:rPr>
                <w:sz w:val="18"/>
                <w:szCs w:val="18"/>
              </w:rPr>
            </w:pPr>
            <w:r w:rsidRPr="00E84D74">
              <w:rPr>
                <w:sz w:val="18"/>
                <w:szCs w:val="18"/>
              </w:rPr>
              <w:t>(a) the initial level of the respective seasonal factors shall be calculated as either of the following:</w:t>
            </w:r>
            <w:r w:rsidR="00CB6327" w:rsidRPr="00E84D74">
              <w:rPr>
                <w:sz w:val="18"/>
                <w:szCs w:val="18"/>
              </w:rPr>
              <w:tab/>
            </w:r>
            <w:r w:rsidRPr="00E84D74">
              <w:rPr>
                <w:sz w:val="18"/>
                <w:szCs w:val="18"/>
              </w:rPr>
              <w:t>(i) equal to the arithmetic mean of the respective seasonal factors applicable for the three relevant</w:t>
            </w:r>
            <w:r w:rsidR="006D4C88">
              <w:rPr>
                <w:sz w:val="18"/>
                <w:szCs w:val="18"/>
              </w:rPr>
              <w:t xml:space="preserve"> </w:t>
            </w:r>
            <w:r w:rsidRPr="00E84D74">
              <w:rPr>
                <w:sz w:val="18"/>
                <w:szCs w:val="18"/>
              </w:rPr>
              <w:t>months;</w:t>
            </w:r>
          </w:p>
          <w:p w:rsidR="0005132A" w:rsidRPr="00E84D74" w:rsidRDefault="00CB6327" w:rsidP="00DA725A">
            <w:pPr>
              <w:autoSpaceDE w:val="0"/>
              <w:autoSpaceDN w:val="0"/>
              <w:adjustRightInd w:val="0"/>
              <w:rPr>
                <w:sz w:val="18"/>
                <w:szCs w:val="18"/>
              </w:rPr>
            </w:pPr>
            <w:r w:rsidRPr="00E84D74">
              <w:rPr>
                <w:sz w:val="18"/>
                <w:szCs w:val="18"/>
              </w:rPr>
              <w:lastRenderedPageBreak/>
              <w:tab/>
            </w:r>
            <w:r w:rsidR="0005132A" w:rsidRPr="00E84D74">
              <w:rPr>
                <w:sz w:val="18"/>
                <w:szCs w:val="18"/>
              </w:rPr>
              <w:t>(ii) no less than the lowest and no more than the highest level of the respective seasonal factors</w:t>
            </w:r>
          </w:p>
          <w:p w:rsidR="0005132A" w:rsidRPr="00E84D74" w:rsidRDefault="0005132A" w:rsidP="00DA725A">
            <w:pPr>
              <w:autoSpaceDE w:val="0"/>
              <w:autoSpaceDN w:val="0"/>
              <w:adjustRightInd w:val="0"/>
              <w:rPr>
                <w:sz w:val="18"/>
                <w:szCs w:val="18"/>
              </w:rPr>
            </w:pPr>
            <w:r w:rsidRPr="00E84D74">
              <w:rPr>
                <w:sz w:val="18"/>
                <w:szCs w:val="18"/>
              </w:rPr>
              <w:t>applicable for the three relevant months.</w:t>
            </w:r>
          </w:p>
          <w:p w:rsidR="0005132A" w:rsidRPr="00E84D74" w:rsidRDefault="0005132A" w:rsidP="00DA725A">
            <w:pPr>
              <w:autoSpaceDE w:val="0"/>
              <w:autoSpaceDN w:val="0"/>
              <w:adjustRightInd w:val="0"/>
              <w:rPr>
                <w:sz w:val="18"/>
                <w:szCs w:val="18"/>
              </w:rPr>
            </w:pPr>
            <w:r w:rsidRPr="00E84D74">
              <w:rPr>
                <w:sz w:val="18"/>
                <w:szCs w:val="18"/>
              </w:rPr>
              <w:t>(b) the steps set out in paragraph 3(f) to (h) shall be carried out, using the resulting values referred to in</w:t>
            </w:r>
          </w:p>
          <w:p w:rsidR="0005132A" w:rsidRPr="00E84D74" w:rsidRDefault="0005132A" w:rsidP="00DA725A">
            <w:pPr>
              <w:autoSpaceDE w:val="0"/>
              <w:autoSpaceDN w:val="0"/>
              <w:adjustRightInd w:val="0"/>
              <w:rPr>
                <w:sz w:val="18"/>
                <w:szCs w:val="18"/>
              </w:rPr>
            </w:pPr>
            <w:r w:rsidRPr="00E84D74">
              <w:rPr>
                <w:sz w:val="18"/>
                <w:szCs w:val="18"/>
              </w:rPr>
              <w:t xml:space="preserve">point (a), </w:t>
            </w:r>
            <w:r w:rsidRPr="00E84D74">
              <w:rPr>
                <w:i/>
                <w:iCs/>
                <w:sz w:val="18"/>
                <w:szCs w:val="18"/>
              </w:rPr>
              <w:t>mutatis mutandis</w:t>
            </w:r>
            <w:r w:rsidRPr="00E84D74">
              <w:rPr>
                <w:sz w:val="18"/>
                <w:szCs w:val="18"/>
              </w:rPr>
              <w:t>.</w:t>
            </w:r>
          </w:p>
          <w:p w:rsidR="00B11667" w:rsidRPr="00E84D74" w:rsidRDefault="00B11667" w:rsidP="00DA725A">
            <w:pPr>
              <w:autoSpaceDE w:val="0"/>
              <w:autoSpaceDN w:val="0"/>
              <w:adjustRightInd w:val="0"/>
              <w:rPr>
                <w:sz w:val="18"/>
                <w:szCs w:val="18"/>
              </w:rPr>
            </w:pPr>
          </w:p>
          <w:p w:rsidR="0005132A" w:rsidRPr="00E84D74" w:rsidRDefault="0005132A" w:rsidP="00DA725A">
            <w:pPr>
              <w:autoSpaceDE w:val="0"/>
              <w:autoSpaceDN w:val="0"/>
              <w:adjustRightInd w:val="0"/>
              <w:rPr>
                <w:sz w:val="18"/>
                <w:szCs w:val="18"/>
              </w:rPr>
            </w:pPr>
            <w:r w:rsidRPr="00E84D74">
              <w:rPr>
                <w:sz w:val="18"/>
                <w:szCs w:val="18"/>
              </w:rPr>
              <w:t>6. For all non-yearly standard capacity products for firm capacity, the values resulting from the calculation</w:t>
            </w:r>
          </w:p>
          <w:p w:rsidR="0005132A" w:rsidRPr="00E84D74" w:rsidRDefault="0005132A" w:rsidP="00DA725A">
            <w:pPr>
              <w:jc w:val="both"/>
              <w:rPr>
                <w:b/>
                <w:sz w:val="18"/>
                <w:szCs w:val="18"/>
              </w:rPr>
            </w:pPr>
            <w:r w:rsidRPr="00E84D74">
              <w:rPr>
                <w:sz w:val="18"/>
                <w:szCs w:val="18"/>
              </w:rPr>
              <w:t>referred to in paragraphs 3 to 5 may be rounded up or down.</w:t>
            </w: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16</w:t>
            </w:r>
          </w:p>
          <w:p w:rsidR="00D146AC" w:rsidRPr="00D82EE4" w:rsidRDefault="00D146AC" w:rsidP="00DA725A">
            <w:pPr>
              <w:shd w:val="clear" w:color="auto" w:fill="FFFFFF"/>
              <w:jc w:val="both"/>
              <w:rPr>
                <w:b/>
                <w:bCs/>
                <w:sz w:val="18"/>
                <w:szCs w:val="18"/>
                <w:lang w:val="it-IT"/>
              </w:rPr>
            </w:pPr>
            <w:r w:rsidRPr="00D82EE4">
              <w:rPr>
                <w:b/>
                <w:bCs/>
                <w:sz w:val="18"/>
                <w:szCs w:val="18"/>
                <w:lang w:val="it-IT"/>
              </w:rPr>
              <w:t>Calcularea prețurilor de rezervă pentru produsele de capacitate standard pentru capacitate întreruptibilă</w:t>
            </w:r>
          </w:p>
          <w:p w:rsidR="00D146AC" w:rsidRDefault="00D146AC" w:rsidP="00DA725A">
            <w:pPr>
              <w:shd w:val="clear" w:color="auto" w:fill="FFFFFF"/>
              <w:jc w:val="both"/>
              <w:rPr>
                <w:sz w:val="18"/>
                <w:szCs w:val="18"/>
                <w:lang w:val="it-IT"/>
              </w:rPr>
            </w:pPr>
            <w:r w:rsidRPr="00D82EE4">
              <w:rPr>
                <w:sz w:val="18"/>
                <w:szCs w:val="18"/>
                <w:lang w:val="it-IT"/>
              </w:rPr>
              <w:t>(1)   Prețurile de rezervă pentru produsele de capacitate standard pentru capacitate întreruptibilă se calculează prin înmulțirea prețurilor de rezervă pentru produsele respective de capacitate standard pentru capacitate fermă, calculate în conformitate cu articolul 14 sau cu articolul 15, după caz, cu diferența dintre 100 % și nivelul unui discount ex-ante calculat în conformitate cu alineatele (2) și (3).</w:t>
            </w:r>
          </w:p>
          <w:p w:rsidR="00ED5F24" w:rsidRDefault="00ED5F24" w:rsidP="00DA725A">
            <w:pPr>
              <w:shd w:val="clear" w:color="auto" w:fill="FFFFFF"/>
              <w:jc w:val="both"/>
              <w:rPr>
                <w:sz w:val="18"/>
                <w:szCs w:val="18"/>
                <w:lang w:val="it-IT"/>
              </w:rPr>
            </w:pPr>
          </w:p>
          <w:p w:rsidR="00ED5F24" w:rsidRPr="00D82EE4" w:rsidRDefault="00ED5F24"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(2)   Un discount ex-ante se calculează în conformitate cu următoarea formulă: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144" w:type="dxa"/>
                  <w:shd w:val="clear" w:color="auto" w:fill="FFFFFF"/>
                  <w:hideMark/>
                </w:tcPr>
                <w:p w:rsidR="00D146AC" w:rsidRPr="006D4C88" w:rsidRDefault="00D146AC" w:rsidP="006D4C88">
                  <w:pPr>
                    <w:jc w:val="center"/>
                    <w:rPr>
                      <w:b/>
                      <w:sz w:val="18"/>
                      <w:szCs w:val="18"/>
                      <w:lang w:val="it-IT"/>
                    </w:rPr>
                  </w:pPr>
                  <w:r w:rsidRPr="006D4C88">
                    <w:rPr>
                      <w:b/>
                      <w:sz w:val="18"/>
                      <w:szCs w:val="18"/>
                      <w:lang w:val="it-IT"/>
                    </w:rPr>
                    <w:t>Di</w:t>
                  </w:r>
                  <w:r w:rsidRPr="006D4C88">
                    <w:rPr>
                      <w:b/>
                      <w:sz w:val="18"/>
                      <w:szCs w:val="18"/>
                      <w:vertAlign w:val="subscript"/>
                      <w:lang w:val="it-IT"/>
                    </w:rPr>
                    <w:t>ex-ante</w:t>
                  </w:r>
                  <w:r w:rsidRPr="006D4C88">
                    <w:rPr>
                      <w:b/>
                      <w:sz w:val="18"/>
                      <w:szCs w:val="18"/>
                      <w:lang w:val="it-IT"/>
                    </w:rPr>
                    <w:t> = Pro × A × 100 %</w:t>
                  </w:r>
                </w:p>
              </w:tc>
            </w:tr>
          </w:tbl>
          <w:p w:rsidR="00D146AC" w:rsidRPr="00D82EE4" w:rsidRDefault="00D146AC" w:rsidP="00DA725A">
            <w:pPr>
              <w:shd w:val="clear" w:color="auto" w:fill="FFFFFF"/>
              <w:jc w:val="both"/>
              <w:rPr>
                <w:sz w:val="18"/>
                <w:szCs w:val="18"/>
                <w:lang w:val="it-IT"/>
              </w:rPr>
            </w:pPr>
            <w:r w:rsidRPr="00D82EE4">
              <w:rPr>
                <w:sz w:val="18"/>
                <w:szCs w:val="18"/>
                <w:lang w:val="it-IT"/>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D146AC" w:rsidRPr="00C27D66" w:rsidTr="00B92DDC">
              <w:tc>
                <w:tcPr>
                  <w:tcW w:w="13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219"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Di</w:t>
                  </w:r>
                  <w:r w:rsidRPr="00D82EE4">
                    <w:rPr>
                      <w:sz w:val="18"/>
                      <w:szCs w:val="18"/>
                      <w:vertAlign w:val="subscript"/>
                      <w:lang w:val="it-IT"/>
                    </w:rPr>
                    <w:t>ex-ante</w:t>
                  </w:r>
                  <w:r w:rsidRPr="00D82EE4">
                    <w:rPr>
                      <w:sz w:val="18"/>
                      <w:szCs w:val="18"/>
                      <w:lang w:val="it-IT"/>
                    </w:rPr>
                    <w:t> este nivelul unui discount ex-ante;</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Factorul Pro reprezintă probabilitatea de întrerupere care este stabilită sau aprobată în conformitate cu articolul 41 alineatul (6) litera (a) din Directiva 2009/73/CE, în temeiul articolului 28, și care se referă la tipul de produs de capacitate standard pentru capacitate întreruptibilă;</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612663" w:rsidRDefault="00612663" w:rsidP="00DA725A">
                  <w:pPr>
                    <w:jc w:val="both"/>
                    <w:rPr>
                      <w:sz w:val="18"/>
                      <w:szCs w:val="18"/>
                      <w:lang w:val="it-IT"/>
                    </w:rPr>
                  </w:pPr>
                </w:p>
                <w:p w:rsidR="00D146AC" w:rsidRDefault="00D146AC" w:rsidP="00DA725A">
                  <w:pPr>
                    <w:jc w:val="both"/>
                    <w:rPr>
                      <w:sz w:val="18"/>
                      <w:szCs w:val="18"/>
                      <w:lang w:val="it-IT"/>
                    </w:rPr>
                  </w:pPr>
                  <w:r w:rsidRPr="00D82EE4">
                    <w:rPr>
                      <w:sz w:val="18"/>
                      <w:szCs w:val="18"/>
                      <w:lang w:val="it-IT"/>
                    </w:rPr>
                    <w:t>A este coeficientul de ajustare care este stabilit sau aprobat în conformitate cu articolul 41 alineatul (6) litera (a) din Directiva 2009/73/CE, în temeiul articolului 28, aplicat pentru a reflecta valoarea economică estimată a tipului de produs de capacitate standard pentru capacitate întreruptibilă, calculată pentru fiecare punct de interconectare, pentru unele puncte de interconectare sau pentru toate, și care trebuie să fie de minimum 1.</w:t>
                  </w:r>
                </w:p>
                <w:p w:rsidR="00612663" w:rsidRDefault="00612663" w:rsidP="00DA725A">
                  <w:pPr>
                    <w:jc w:val="both"/>
                    <w:rPr>
                      <w:sz w:val="18"/>
                      <w:szCs w:val="18"/>
                      <w:lang w:val="it-IT"/>
                    </w:rPr>
                  </w:pPr>
                </w:p>
                <w:p w:rsidR="00612663" w:rsidRPr="00D82EE4" w:rsidRDefault="00612663"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 xml:space="preserve">(3)   Factorul Pro menționat la alineatul (2) se calculează, pentru fiecare punct de interconectare, pentru unele puncte de interconectare sau pentru toate aceste puncte, per tip de produs de capacitate standard pentru capacitate întreruptibilă oferit în conformitate cu următoarea </w:t>
            </w:r>
            <w:r w:rsidRPr="00D82EE4">
              <w:rPr>
                <w:sz w:val="18"/>
                <w:szCs w:val="18"/>
                <w:lang w:val="it-IT"/>
              </w:rPr>
              <w:lastRenderedPageBreak/>
              <w:t>formulă, pe baza informațiilor previzionate legate de componentele acestei formule: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4966"/>
            </w:tblGrid>
            <w:tr w:rsidR="00D146AC" w:rsidRPr="00043955" w:rsidTr="00B92DDC">
              <w:tc>
                <w:tcPr>
                  <w:tcW w:w="10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254" w:type="dxa"/>
                  <w:shd w:val="clear" w:color="auto" w:fill="FFFFFF"/>
                  <w:hideMark/>
                </w:tcPr>
                <w:p w:rsidR="00D146AC" w:rsidRPr="00043955" w:rsidRDefault="00D146AC" w:rsidP="00A56966">
                  <w:pPr>
                    <w:jc w:val="center"/>
                    <w:rPr>
                      <w:sz w:val="18"/>
                      <w:szCs w:val="18"/>
                    </w:rPr>
                  </w:pPr>
                  <w:r w:rsidRPr="00043955">
                    <w:rPr>
                      <w:noProof/>
                      <w:sz w:val="18"/>
                      <w:szCs w:val="18"/>
                      <w:lang w:eastAsia="en-US"/>
                    </w:rPr>
                    <w:drawing>
                      <wp:inline distT="0" distB="0" distL="0" distR="0" wp14:anchorId="34392FD8" wp14:editId="10ED5414">
                        <wp:extent cx="1713053" cy="336382"/>
                        <wp:effectExtent l="0" t="0" r="1905" b="6985"/>
                        <wp:docPr id="23"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ula"/>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68032" cy="347178"/>
                                </a:xfrm>
                                <a:prstGeom prst="rect">
                                  <a:avLst/>
                                </a:prstGeom>
                                <a:noFill/>
                                <a:ln>
                                  <a:noFill/>
                                </a:ln>
                              </pic:spPr>
                            </pic:pic>
                          </a:graphicData>
                        </a:graphic>
                      </wp:inline>
                    </w:drawing>
                  </w:r>
                </w:p>
              </w:tc>
            </w:tr>
          </w:tbl>
          <w:p w:rsidR="00D146AC" w:rsidRPr="00043955" w:rsidRDefault="00D146AC" w:rsidP="00DA725A">
            <w:pPr>
              <w:shd w:val="clear" w:color="auto" w:fill="FFFFFF"/>
              <w:jc w:val="both"/>
              <w:rPr>
                <w:sz w:val="18"/>
                <w:szCs w:val="18"/>
              </w:rPr>
            </w:pPr>
            <w:r w:rsidRPr="00043955">
              <w:rPr>
                <w:sz w:val="18"/>
                <w:szCs w:val="18"/>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6"/>
              <w:gridCol w:w="4963"/>
            </w:tblGrid>
            <w:tr w:rsidR="00D146AC" w:rsidRPr="00C27D66" w:rsidTr="00B92DDC">
              <w:tc>
                <w:tcPr>
                  <w:tcW w:w="106"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9249"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 este estimarea numărului de întreruperi pe durata D;</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5"/>
              <w:gridCol w:w="4974"/>
            </w:tblGrid>
            <w:tr w:rsidR="00D146AC" w:rsidRPr="00C27D66" w:rsidTr="00B92DDC">
              <w:tc>
                <w:tcPr>
                  <w:tcW w:w="8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27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w:t>
                  </w:r>
                  <w:r w:rsidRPr="00D82EE4">
                    <w:rPr>
                      <w:sz w:val="18"/>
                      <w:szCs w:val="18"/>
                      <w:vertAlign w:val="subscript"/>
                      <w:lang w:val="it-IT"/>
                    </w:rPr>
                    <w:t>int</w:t>
                  </w:r>
                  <w:r w:rsidRPr="00D82EE4">
                    <w:rPr>
                      <w:sz w:val="18"/>
                      <w:szCs w:val="18"/>
                      <w:lang w:val="it-IT"/>
                    </w:rPr>
                    <w:t> este durata medie a întreruperilor preconizate, exprimată în ore;</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5"/>
              <w:gridCol w:w="4994"/>
            </w:tblGrid>
            <w:tr w:rsidR="00D146AC" w:rsidRPr="00C27D66" w:rsidTr="00B92DDC">
              <w:tc>
                <w:tcPr>
                  <w:tcW w:w="4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07"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 este durata totală a respectivului tip de produs de capacitate standard pentru capacitate întreruptibilă, exprimată în ore;</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av. int</w:t>
                  </w:r>
                  <w:r w:rsidRPr="00D82EE4">
                    <w:rPr>
                      <w:sz w:val="18"/>
                      <w:szCs w:val="18"/>
                      <w:lang w:val="it-IT"/>
                    </w:rPr>
                    <w:t> este volumul mediu estimat de capacitate întreruptă pentru fiecare întrerupere, în cazul în care acest volum este legat de respectivul tip de produs de capacitate standard pentru capacitate întreruptibilă;</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D146AC" w:rsidRDefault="00D146AC" w:rsidP="00DA725A">
                  <w:pPr>
                    <w:jc w:val="both"/>
                    <w:rPr>
                      <w:sz w:val="18"/>
                      <w:szCs w:val="18"/>
                      <w:lang w:val="it-IT"/>
                    </w:rPr>
                  </w:pPr>
                  <w:r w:rsidRPr="00D82EE4">
                    <w:rPr>
                      <w:sz w:val="18"/>
                      <w:szCs w:val="18"/>
                      <w:lang w:val="it-IT"/>
                    </w:rPr>
                    <w:t>CAP este volumul total de capacitate întreruptibilă pentru respectivul tip de produs de capacitate standard pentru capacitate întreruptibilă.</w:t>
                  </w:r>
                </w:p>
                <w:p w:rsidR="00612663" w:rsidRDefault="00612663" w:rsidP="00DA725A">
                  <w:pPr>
                    <w:jc w:val="both"/>
                    <w:rPr>
                      <w:sz w:val="18"/>
                      <w:szCs w:val="18"/>
                      <w:lang w:val="it-IT"/>
                    </w:rPr>
                  </w:pPr>
                </w:p>
                <w:p w:rsidR="00612663" w:rsidRDefault="00612663" w:rsidP="00DA725A">
                  <w:pPr>
                    <w:jc w:val="both"/>
                    <w:rPr>
                      <w:sz w:val="18"/>
                      <w:szCs w:val="18"/>
                      <w:lang w:val="it-IT"/>
                    </w:rPr>
                  </w:pPr>
                </w:p>
                <w:p w:rsidR="00043DC5" w:rsidRDefault="00043DC5" w:rsidP="00DA725A">
                  <w:pPr>
                    <w:jc w:val="both"/>
                    <w:rPr>
                      <w:sz w:val="18"/>
                      <w:szCs w:val="18"/>
                      <w:lang w:val="it-IT"/>
                    </w:rPr>
                  </w:pPr>
                </w:p>
                <w:p w:rsidR="00043DC5" w:rsidRDefault="00043DC5" w:rsidP="00DA725A">
                  <w:pPr>
                    <w:jc w:val="both"/>
                    <w:rPr>
                      <w:sz w:val="18"/>
                      <w:szCs w:val="18"/>
                      <w:lang w:val="it-IT"/>
                    </w:rPr>
                  </w:pPr>
                </w:p>
                <w:p w:rsidR="00043DC5" w:rsidRPr="00D82EE4" w:rsidRDefault="00043DC5"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(4)   Ca alternativă la aplicarea discounturilor ex-ante în conformitate cu alineatul (1), autoritatea națională de reglementare poate decide să aplice un discount ex-post, prin care utilizatorii rețelei să fie compensați ca urmare a întreruperilor reale suportate. Acest discount ex-post poate fi utilizat numai în punctele de interconectare în care, în cursul anului gazier anterior, nu a avut loc nicio întrerupere a capacității din cauza congestiei fizice.</w:t>
            </w:r>
          </w:p>
          <w:p w:rsidR="00612663" w:rsidRDefault="00612663" w:rsidP="00DA725A">
            <w:pPr>
              <w:shd w:val="clear" w:color="auto" w:fill="FFFFFF"/>
              <w:jc w:val="both"/>
              <w:rPr>
                <w:sz w:val="18"/>
                <w:szCs w:val="18"/>
                <w:lang w:val="it-IT"/>
              </w:rPr>
            </w:pPr>
          </w:p>
          <w:p w:rsidR="00612663" w:rsidRPr="00D82EE4" w:rsidRDefault="00612663"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Compensarea ex-post plătită pentru fiecare zi în care a avut loc o întrerupere trebuie să fie egală cu de trei ori prețul de rezervă pentru produsele de capacitate standard zilnică pentru capacitate fermă.</w:t>
            </w:r>
          </w:p>
          <w:p w:rsidR="00D146AC" w:rsidRPr="00D82EE4" w:rsidRDefault="00D146AC" w:rsidP="00DA725A">
            <w:pPr>
              <w:shd w:val="clear" w:color="auto" w:fill="FFFFFF"/>
              <w:jc w:val="both"/>
              <w:rPr>
                <w:b/>
                <w:bCs/>
                <w:sz w:val="18"/>
                <w:szCs w:val="18"/>
                <w:lang w:val="it-IT"/>
              </w:rPr>
            </w:pPr>
          </w:p>
        </w:tc>
        <w:tc>
          <w:tcPr>
            <w:tcW w:w="4962" w:type="dxa"/>
          </w:tcPr>
          <w:p w:rsidR="0057015E" w:rsidRPr="0057015E" w:rsidRDefault="0057015E" w:rsidP="0057015E">
            <w:pPr>
              <w:jc w:val="center"/>
              <w:rPr>
                <w:b/>
                <w:sz w:val="18"/>
                <w:szCs w:val="18"/>
                <w:lang w:val="ro-RO"/>
              </w:rPr>
            </w:pPr>
            <w:r w:rsidRPr="0057015E">
              <w:rPr>
                <w:b/>
                <w:bCs/>
                <w:sz w:val="18"/>
                <w:szCs w:val="18"/>
                <w:lang w:val="ro-RO"/>
              </w:rPr>
              <w:lastRenderedPageBreak/>
              <w:t>Secţiunea 5</w:t>
            </w:r>
          </w:p>
          <w:p w:rsidR="0057015E" w:rsidRPr="0057015E" w:rsidRDefault="0057015E" w:rsidP="0057015E">
            <w:pPr>
              <w:jc w:val="center"/>
              <w:rPr>
                <w:b/>
                <w:sz w:val="18"/>
                <w:szCs w:val="18"/>
                <w:lang w:val="ro-RO"/>
              </w:rPr>
            </w:pPr>
            <w:r w:rsidRPr="0057015E">
              <w:rPr>
                <w:b/>
                <w:bCs/>
                <w:sz w:val="18"/>
                <w:szCs w:val="18"/>
                <w:lang w:val="ro-RO"/>
              </w:rPr>
              <w:t>Calcularea preţurilor de rezervă pentru PCS pentru capacitate întreruptibilă</w:t>
            </w:r>
          </w:p>
          <w:p w:rsidR="0057015E" w:rsidRDefault="0057015E" w:rsidP="0057015E">
            <w:pPr>
              <w:rPr>
                <w:sz w:val="18"/>
                <w:szCs w:val="18"/>
                <w:lang w:val="ro-RO"/>
              </w:rPr>
            </w:pPr>
            <w:r w:rsidRPr="0063588F">
              <w:rPr>
                <w:b/>
                <w:bCs/>
                <w:sz w:val="18"/>
                <w:szCs w:val="18"/>
                <w:lang w:val="ro-RO"/>
              </w:rPr>
              <w:t>366</w:t>
            </w:r>
            <w:r w:rsidRPr="0057015E">
              <w:rPr>
                <w:bCs/>
                <w:sz w:val="18"/>
                <w:szCs w:val="18"/>
                <w:lang w:val="ro-RO"/>
              </w:rPr>
              <w:t>.</w:t>
            </w:r>
            <w:r w:rsidRPr="0057015E">
              <w:rPr>
                <w:sz w:val="18"/>
                <w:szCs w:val="18"/>
                <w:lang w:val="ro-RO"/>
              </w:rPr>
              <w:t xml:space="preserve"> Preţurile de rezervă pentru PCS pentru capacitate întreruptibilă se calculează prin înmulţirea preţurilor de rezervă pentru PCS pentru capacitate fermă, calculate în conformitate cu pct.360-365, după caz, cu diferenţa dintre 100% şi nivelul reducere ex-ante calculat în conformitate cu pct.367 şi 368.</w:t>
            </w:r>
          </w:p>
          <w:p w:rsidR="00ED5F24" w:rsidRDefault="00ED5F24" w:rsidP="0057015E">
            <w:pPr>
              <w:rPr>
                <w:sz w:val="18"/>
                <w:szCs w:val="18"/>
                <w:lang w:val="ro-RO"/>
              </w:rPr>
            </w:pPr>
          </w:p>
          <w:p w:rsidR="00ED5F24" w:rsidRDefault="00ED5F24" w:rsidP="0057015E">
            <w:pPr>
              <w:rPr>
                <w:sz w:val="18"/>
                <w:szCs w:val="18"/>
                <w:lang w:val="ro-RO"/>
              </w:rPr>
            </w:pPr>
          </w:p>
          <w:p w:rsidR="00ED5F24" w:rsidRPr="0057015E" w:rsidRDefault="00ED5F24" w:rsidP="0057015E">
            <w:pPr>
              <w:rPr>
                <w:sz w:val="18"/>
                <w:szCs w:val="18"/>
                <w:lang w:val="ro-RO"/>
              </w:rPr>
            </w:pPr>
          </w:p>
          <w:p w:rsidR="0057015E" w:rsidRPr="0057015E" w:rsidRDefault="0057015E" w:rsidP="0057015E">
            <w:pPr>
              <w:rPr>
                <w:sz w:val="18"/>
                <w:szCs w:val="18"/>
                <w:lang w:val="ro-RO"/>
              </w:rPr>
            </w:pPr>
            <w:r w:rsidRPr="0063588F">
              <w:rPr>
                <w:b/>
                <w:bCs/>
                <w:sz w:val="18"/>
                <w:szCs w:val="18"/>
                <w:lang w:val="ro-RO"/>
              </w:rPr>
              <w:t>367</w:t>
            </w:r>
            <w:r w:rsidRPr="0057015E">
              <w:rPr>
                <w:bCs/>
                <w:sz w:val="18"/>
                <w:szCs w:val="18"/>
                <w:lang w:val="ro-RO"/>
              </w:rPr>
              <w:t>.</w:t>
            </w:r>
            <w:r w:rsidRPr="0057015E">
              <w:rPr>
                <w:sz w:val="18"/>
                <w:szCs w:val="18"/>
                <w:lang w:val="ro-RO"/>
              </w:rPr>
              <w:t xml:space="preserve"> Reducere ex-ante se calculează în conformitate cu următoarea formulă:</w:t>
            </w:r>
          </w:p>
          <w:p w:rsidR="0057015E" w:rsidRPr="0057015E" w:rsidRDefault="0057015E" w:rsidP="0057015E">
            <w:pPr>
              <w:rPr>
                <w:sz w:val="18"/>
                <w:szCs w:val="18"/>
                <w:lang w:val="ro-RO"/>
              </w:rPr>
            </w:pPr>
            <w:r w:rsidRPr="0057015E">
              <w:rPr>
                <w:sz w:val="18"/>
                <w:szCs w:val="18"/>
                <w:lang w:val="ro-RO"/>
              </w:rPr>
              <w:t> </w:t>
            </w:r>
          </w:p>
          <w:p w:rsidR="0057015E" w:rsidRPr="00670674" w:rsidRDefault="0057015E" w:rsidP="0057015E">
            <w:pPr>
              <w:jc w:val="center"/>
              <w:rPr>
                <w:b/>
                <w:sz w:val="22"/>
                <w:szCs w:val="18"/>
                <w:lang w:val="it-IT"/>
              </w:rPr>
            </w:pPr>
            <w:r w:rsidRPr="009E1D22">
              <w:rPr>
                <w:b/>
                <w:bCs/>
                <w:sz w:val="22"/>
                <w:szCs w:val="18"/>
                <w:lang w:val="ro-RO"/>
              </w:rPr>
              <w:t>Di</w:t>
            </w:r>
            <w:r w:rsidRPr="009E1D22">
              <w:rPr>
                <w:b/>
                <w:bCs/>
                <w:sz w:val="22"/>
                <w:szCs w:val="18"/>
                <w:vertAlign w:val="subscript"/>
                <w:lang w:val="ro-RO"/>
              </w:rPr>
              <w:t xml:space="preserve">ex-ante </w:t>
            </w:r>
            <w:r w:rsidRPr="009E1D22">
              <w:rPr>
                <w:b/>
                <w:bCs/>
                <w:sz w:val="22"/>
                <w:szCs w:val="18"/>
                <w:lang w:val="ro-RO"/>
              </w:rPr>
              <w:t xml:space="preserve">= Pro × A × 100% </w:t>
            </w:r>
          </w:p>
          <w:p w:rsidR="0057015E" w:rsidRPr="0057015E" w:rsidRDefault="0057015E" w:rsidP="0057015E">
            <w:pPr>
              <w:rPr>
                <w:sz w:val="18"/>
                <w:szCs w:val="18"/>
                <w:lang w:val="ro-RO"/>
              </w:rPr>
            </w:pPr>
            <w:r w:rsidRPr="0057015E">
              <w:rPr>
                <w:sz w:val="18"/>
                <w:szCs w:val="18"/>
                <w:lang w:val="ro-RO"/>
              </w:rPr>
              <w:t> </w:t>
            </w:r>
          </w:p>
          <w:p w:rsidR="0057015E" w:rsidRPr="0057015E" w:rsidRDefault="0057015E" w:rsidP="0057015E">
            <w:pPr>
              <w:rPr>
                <w:sz w:val="18"/>
                <w:szCs w:val="18"/>
                <w:lang w:val="ro-RO"/>
              </w:rPr>
            </w:pPr>
            <w:r w:rsidRPr="0057015E">
              <w:rPr>
                <w:sz w:val="18"/>
                <w:szCs w:val="18"/>
                <w:lang w:val="ro-RO"/>
              </w:rPr>
              <w:t>unde:</w:t>
            </w:r>
          </w:p>
          <w:p w:rsidR="0057015E" w:rsidRPr="0057015E" w:rsidRDefault="0057015E" w:rsidP="0057015E">
            <w:pPr>
              <w:rPr>
                <w:sz w:val="18"/>
                <w:szCs w:val="18"/>
                <w:lang w:val="ro-RO"/>
              </w:rPr>
            </w:pPr>
            <w:r w:rsidRPr="0057015E">
              <w:rPr>
                <w:b/>
                <w:bCs/>
                <w:sz w:val="18"/>
                <w:szCs w:val="18"/>
                <w:lang w:val="ro-RO"/>
              </w:rPr>
              <w:t>Di</w:t>
            </w:r>
            <w:r w:rsidRPr="0057015E">
              <w:rPr>
                <w:b/>
                <w:bCs/>
                <w:sz w:val="18"/>
                <w:szCs w:val="18"/>
                <w:vertAlign w:val="subscript"/>
                <w:lang w:val="ro-RO"/>
              </w:rPr>
              <w:t>ex-ante</w:t>
            </w:r>
            <w:r w:rsidR="0063588F" w:rsidRPr="00670674">
              <w:rPr>
                <w:b/>
                <w:bCs/>
                <w:sz w:val="18"/>
                <w:szCs w:val="18"/>
                <w:vertAlign w:val="subscript"/>
                <w:lang w:val="it-IT"/>
              </w:rPr>
              <w:t xml:space="preserve"> </w:t>
            </w:r>
            <w:r w:rsidR="0063588F" w:rsidRPr="00670674">
              <w:rPr>
                <w:b/>
                <w:bCs/>
                <w:sz w:val="18"/>
                <w:szCs w:val="18"/>
                <w:lang w:val="it-IT"/>
              </w:rPr>
              <w:t xml:space="preserve">- </w:t>
            </w:r>
            <w:r w:rsidRPr="0057015E">
              <w:rPr>
                <w:sz w:val="18"/>
                <w:szCs w:val="18"/>
                <w:lang w:val="ro-RO"/>
              </w:rPr>
              <w:t>este nivelul reducerii ex-ante;</w:t>
            </w:r>
          </w:p>
          <w:p w:rsidR="0057015E" w:rsidRPr="0057015E" w:rsidRDefault="0057015E" w:rsidP="0057015E">
            <w:pPr>
              <w:rPr>
                <w:sz w:val="18"/>
                <w:szCs w:val="18"/>
                <w:lang w:val="ro-RO"/>
              </w:rPr>
            </w:pPr>
            <w:r w:rsidRPr="0057015E">
              <w:rPr>
                <w:b/>
                <w:bCs/>
                <w:sz w:val="18"/>
                <w:szCs w:val="18"/>
                <w:lang w:val="ro-RO"/>
              </w:rPr>
              <w:t>Factorul Pro</w:t>
            </w:r>
            <w:r w:rsidRPr="0057015E">
              <w:rPr>
                <w:bCs/>
                <w:sz w:val="18"/>
                <w:szCs w:val="18"/>
                <w:lang w:val="ro-RO"/>
              </w:rPr>
              <w:t xml:space="preserve"> </w:t>
            </w:r>
            <w:r w:rsidR="0063588F" w:rsidRPr="00670674">
              <w:rPr>
                <w:bCs/>
                <w:sz w:val="18"/>
                <w:szCs w:val="18"/>
                <w:lang w:val="it-IT"/>
              </w:rPr>
              <w:t xml:space="preserve">- </w:t>
            </w:r>
            <w:r w:rsidRPr="0057015E">
              <w:rPr>
                <w:sz w:val="18"/>
                <w:szCs w:val="18"/>
                <w:lang w:val="ro-RO"/>
              </w:rPr>
              <w:t>reprezintă probabilitatea de întrerupere care este stabilită sau aprobată de către Agenţie, în temeiul pct.403-406 şi care se referă la tipul de PCS pentru capacitate întreruptibilă;</w:t>
            </w:r>
          </w:p>
          <w:p w:rsidR="0057015E" w:rsidRPr="0057015E" w:rsidRDefault="0057015E" w:rsidP="0057015E">
            <w:pPr>
              <w:rPr>
                <w:sz w:val="18"/>
                <w:szCs w:val="18"/>
                <w:lang w:val="ro-RO"/>
              </w:rPr>
            </w:pPr>
            <w:r w:rsidRPr="0063588F">
              <w:rPr>
                <w:b/>
                <w:bCs/>
                <w:sz w:val="18"/>
                <w:szCs w:val="18"/>
                <w:lang w:val="ro-RO"/>
              </w:rPr>
              <w:t>A</w:t>
            </w:r>
            <w:r w:rsidR="0063588F" w:rsidRPr="00670674">
              <w:rPr>
                <w:sz w:val="18"/>
                <w:szCs w:val="18"/>
                <w:lang w:val="ro-RO"/>
              </w:rPr>
              <w:t xml:space="preserve"> -</w:t>
            </w:r>
            <w:r w:rsidRPr="0057015E">
              <w:rPr>
                <w:sz w:val="18"/>
                <w:szCs w:val="18"/>
                <w:lang w:val="ro-RO"/>
              </w:rPr>
              <w:t xml:space="preserve"> este coeficientul de ajustare stabilit sau aprobat de către Agenţie în temeiul pct.403-406, aplicat pentru a reflecta valoarea economică estimată a tipului de PCS pentru capacitate întreruptibilă, calculată pentru fiecare punct de interconectare, pentru unele puncte de interconectare sau pentru toate, şi care trebuie să fie de minimum 1.</w:t>
            </w:r>
          </w:p>
          <w:p w:rsidR="0063588F" w:rsidRDefault="0063588F" w:rsidP="0057015E">
            <w:pPr>
              <w:rPr>
                <w:b/>
                <w:bCs/>
                <w:sz w:val="18"/>
                <w:szCs w:val="18"/>
                <w:lang w:val="ro-RO"/>
              </w:rPr>
            </w:pPr>
          </w:p>
          <w:p w:rsidR="0057015E" w:rsidRPr="0057015E" w:rsidRDefault="0057015E" w:rsidP="0057015E">
            <w:pPr>
              <w:rPr>
                <w:sz w:val="18"/>
                <w:szCs w:val="18"/>
                <w:lang w:val="ro-RO"/>
              </w:rPr>
            </w:pPr>
            <w:r w:rsidRPr="0063588F">
              <w:rPr>
                <w:b/>
                <w:bCs/>
                <w:sz w:val="18"/>
                <w:szCs w:val="18"/>
                <w:lang w:val="ro-RO"/>
              </w:rPr>
              <w:t>368</w:t>
            </w:r>
            <w:r w:rsidRPr="0057015E">
              <w:rPr>
                <w:bCs/>
                <w:sz w:val="18"/>
                <w:szCs w:val="18"/>
                <w:lang w:val="ro-RO"/>
              </w:rPr>
              <w:t>.</w:t>
            </w:r>
            <w:r w:rsidRPr="0057015E">
              <w:rPr>
                <w:sz w:val="18"/>
                <w:szCs w:val="18"/>
                <w:lang w:val="ro-RO"/>
              </w:rPr>
              <w:t xml:space="preserve"> Factorul Pro menţionat la pct.367 se calculează, pentru fiecare punct de interconectare, pentru unele puncte de interconectare sau pentru toate aceste puncte, per tip de PCS pentru capacitate întreruptibilă oferit în conformitate cu următoarea formulă, pe baza informaţiilor estimate legate de componentele acestei formule:</w:t>
            </w:r>
          </w:p>
          <w:p w:rsidR="00D146AC" w:rsidRPr="00043955" w:rsidRDefault="00D146AC" w:rsidP="00DA725A">
            <w:pPr>
              <w:tabs>
                <w:tab w:val="left" w:pos="567"/>
              </w:tabs>
              <w:jc w:val="both"/>
              <w:outlineLvl w:val="0"/>
              <w:rPr>
                <w:sz w:val="18"/>
                <w:szCs w:val="18"/>
                <w:lang w:val="ro-RO"/>
              </w:rPr>
            </w:pPr>
          </w:p>
          <w:p w:rsidR="00D146AC" w:rsidRPr="00670674" w:rsidRDefault="00D146AC" w:rsidP="00DC6E17">
            <w:pPr>
              <w:jc w:val="center"/>
              <w:rPr>
                <w:sz w:val="18"/>
                <w:szCs w:val="18"/>
                <w:lang w:val="it-IT"/>
              </w:rPr>
            </w:pPr>
            <w:r w:rsidRPr="00043955">
              <w:rPr>
                <w:noProof/>
                <w:sz w:val="18"/>
                <w:szCs w:val="18"/>
                <w:lang w:eastAsia="en-US"/>
              </w:rPr>
              <w:drawing>
                <wp:inline distT="0" distB="0" distL="0" distR="0" wp14:anchorId="7BBF383D" wp14:editId="71DD661B">
                  <wp:extent cx="1637817" cy="320094"/>
                  <wp:effectExtent l="0" t="0" r="635" b="3810"/>
                  <wp:docPr id="4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56201" cy="343231"/>
                          </a:xfrm>
                          <a:prstGeom prst="rect">
                            <a:avLst/>
                          </a:prstGeom>
                          <a:noFill/>
                          <a:ln>
                            <a:noFill/>
                          </a:ln>
                        </pic:spPr>
                      </pic:pic>
                    </a:graphicData>
                  </a:graphic>
                </wp:inline>
              </w:drawing>
            </w:r>
            <w:r w:rsidR="006C4B0E" w:rsidRPr="00670674">
              <w:rPr>
                <w:sz w:val="18"/>
                <w:szCs w:val="18"/>
                <w:lang w:val="it-IT"/>
              </w:rPr>
              <w:t xml:space="preserve"> </w:t>
            </w:r>
          </w:p>
          <w:p w:rsidR="00D146AC" w:rsidRPr="00043955" w:rsidRDefault="00D146AC" w:rsidP="00DA725A">
            <w:pPr>
              <w:jc w:val="both"/>
              <w:rPr>
                <w:sz w:val="18"/>
                <w:szCs w:val="18"/>
                <w:lang w:val="ro-RO"/>
              </w:rPr>
            </w:pPr>
            <w:r w:rsidRPr="00043955">
              <w:rPr>
                <w:sz w:val="18"/>
                <w:szCs w:val="18"/>
                <w:lang w:val="ro-RO"/>
              </w:rPr>
              <w:t>unde:</w:t>
            </w:r>
          </w:p>
          <w:p w:rsidR="00D146AC" w:rsidRPr="00043955" w:rsidRDefault="00D146AC" w:rsidP="00DA725A">
            <w:pPr>
              <w:jc w:val="both"/>
              <w:rPr>
                <w:sz w:val="18"/>
                <w:szCs w:val="18"/>
                <w:lang w:val="ro-RO"/>
              </w:rPr>
            </w:pPr>
            <w:r w:rsidRPr="00043955">
              <w:rPr>
                <w:b/>
                <w:sz w:val="18"/>
                <w:szCs w:val="18"/>
                <w:lang w:val="ro-RO"/>
              </w:rPr>
              <w:t>N</w:t>
            </w:r>
            <w:r w:rsidR="00E24C06" w:rsidRPr="00670674">
              <w:rPr>
                <w:b/>
                <w:sz w:val="18"/>
                <w:szCs w:val="18"/>
                <w:lang w:val="it-IT"/>
              </w:rPr>
              <w:t xml:space="preserve"> -</w:t>
            </w:r>
            <w:r w:rsidRPr="00043955">
              <w:rPr>
                <w:sz w:val="18"/>
                <w:szCs w:val="18"/>
                <w:lang w:val="ro-RO"/>
              </w:rPr>
              <w:t xml:space="preserve"> este estimarea numărului de întreruperi pe durata D;</w:t>
            </w:r>
          </w:p>
          <w:p w:rsidR="00D146AC" w:rsidRPr="00043955" w:rsidRDefault="00D146AC" w:rsidP="00DA725A">
            <w:pPr>
              <w:jc w:val="both"/>
              <w:rPr>
                <w:sz w:val="18"/>
                <w:szCs w:val="18"/>
                <w:lang w:val="ro-RO"/>
              </w:rPr>
            </w:pPr>
            <w:r w:rsidRPr="00043955">
              <w:rPr>
                <w:b/>
                <w:sz w:val="18"/>
                <w:szCs w:val="18"/>
                <w:lang w:val="ro-RO"/>
              </w:rPr>
              <w:t>D</w:t>
            </w:r>
            <w:r w:rsidRPr="00E24C06">
              <w:rPr>
                <w:b/>
                <w:sz w:val="18"/>
                <w:szCs w:val="18"/>
                <w:vertAlign w:val="subscript"/>
                <w:lang w:val="ro-RO"/>
              </w:rPr>
              <w:t>int</w:t>
            </w:r>
            <w:r w:rsidR="00E24C06" w:rsidRPr="00670674">
              <w:rPr>
                <w:b/>
                <w:sz w:val="18"/>
                <w:szCs w:val="18"/>
                <w:lang w:val="it-IT"/>
              </w:rPr>
              <w:t xml:space="preserve"> -</w:t>
            </w:r>
            <w:r w:rsidRPr="00043955">
              <w:rPr>
                <w:b/>
                <w:sz w:val="18"/>
                <w:szCs w:val="18"/>
                <w:lang w:val="ro-RO"/>
              </w:rPr>
              <w:t xml:space="preserve"> </w:t>
            </w:r>
            <w:r w:rsidRPr="00043955">
              <w:rPr>
                <w:sz w:val="18"/>
                <w:szCs w:val="18"/>
                <w:lang w:val="ro-RO"/>
              </w:rPr>
              <w:t>este durata medie a întreruperilor preconizate, exprimată în ore;</w:t>
            </w:r>
          </w:p>
          <w:p w:rsidR="00D146AC" w:rsidRPr="00043955" w:rsidRDefault="00D146AC" w:rsidP="00DA725A">
            <w:pPr>
              <w:jc w:val="both"/>
              <w:rPr>
                <w:sz w:val="18"/>
                <w:szCs w:val="18"/>
                <w:lang w:val="ro-RO"/>
              </w:rPr>
            </w:pPr>
            <w:r w:rsidRPr="00043955">
              <w:rPr>
                <w:b/>
                <w:sz w:val="18"/>
                <w:szCs w:val="18"/>
                <w:lang w:val="ro-RO"/>
              </w:rPr>
              <w:t>D</w:t>
            </w:r>
            <w:r w:rsidRPr="00043955">
              <w:rPr>
                <w:sz w:val="18"/>
                <w:szCs w:val="18"/>
                <w:lang w:val="ro-RO"/>
              </w:rPr>
              <w:t xml:space="preserve"> </w:t>
            </w:r>
            <w:r w:rsidR="00E24C06" w:rsidRPr="00670674">
              <w:rPr>
                <w:sz w:val="18"/>
                <w:szCs w:val="18"/>
                <w:lang w:val="it-IT"/>
              </w:rPr>
              <w:t xml:space="preserve">- </w:t>
            </w:r>
            <w:r w:rsidRPr="00043955">
              <w:rPr>
                <w:sz w:val="18"/>
                <w:szCs w:val="18"/>
                <w:lang w:val="ro-RO"/>
              </w:rPr>
              <w:t>este durata totală a respectivului tip de PC</w:t>
            </w:r>
            <w:r w:rsidR="008B5B34" w:rsidRPr="00670674">
              <w:rPr>
                <w:sz w:val="18"/>
                <w:szCs w:val="18"/>
                <w:lang w:val="it-IT"/>
              </w:rPr>
              <w:t>S</w:t>
            </w:r>
            <w:r w:rsidRPr="00043955">
              <w:rPr>
                <w:sz w:val="18"/>
                <w:szCs w:val="18"/>
                <w:lang w:val="ro-RO"/>
              </w:rPr>
              <w:t xml:space="preserve"> pentru capacitate întreruptibilă, exprimată în ore;</w:t>
            </w:r>
          </w:p>
          <w:p w:rsidR="00D146AC" w:rsidRPr="00043955" w:rsidRDefault="00D146AC" w:rsidP="00DA725A">
            <w:pPr>
              <w:jc w:val="both"/>
              <w:rPr>
                <w:sz w:val="18"/>
                <w:szCs w:val="18"/>
                <w:lang w:val="ro-RO"/>
              </w:rPr>
            </w:pPr>
            <w:r w:rsidRPr="00043955">
              <w:rPr>
                <w:b/>
                <w:sz w:val="18"/>
                <w:szCs w:val="18"/>
                <w:lang w:val="ro-RO"/>
              </w:rPr>
              <w:t>CAP</w:t>
            </w:r>
            <w:r w:rsidRPr="00043955">
              <w:rPr>
                <w:b/>
                <w:sz w:val="18"/>
                <w:szCs w:val="18"/>
                <w:vertAlign w:val="subscript"/>
                <w:lang w:val="ro-RO"/>
              </w:rPr>
              <w:t>av. int</w:t>
            </w:r>
            <w:r w:rsidR="00E24C06" w:rsidRPr="00670674">
              <w:rPr>
                <w:b/>
                <w:sz w:val="18"/>
                <w:szCs w:val="18"/>
                <w:lang w:val="ro-RO"/>
              </w:rPr>
              <w:t xml:space="preserve"> - </w:t>
            </w:r>
            <w:r w:rsidRPr="00043955">
              <w:rPr>
                <w:sz w:val="18"/>
                <w:szCs w:val="18"/>
                <w:lang w:val="ro-RO"/>
              </w:rPr>
              <w:t>este volumul mediu estimat de capacitate întreruptă pentru fiecare întrerupere, în cazul în care acest volum este legat de respectivul tip de P</w:t>
            </w:r>
            <w:r w:rsidR="008B5B34" w:rsidRPr="00670674">
              <w:rPr>
                <w:sz w:val="18"/>
                <w:szCs w:val="18"/>
                <w:lang w:val="ro-RO"/>
              </w:rPr>
              <w:t>CS</w:t>
            </w:r>
            <w:r w:rsidRPr="00043955">
              <w:rPr>
                <w:sz w:val="18"/>
                <w:szCs w:val="18"/>
                <w:lang w:val="ro-RO"/>
              </w:rPr>
              <w:t xml:space="preserve"> pentru capacitate întreruptibilă;</w:t>
            </w:r>
          </w:p>
          <w:p w:rsidR="00D146AC" w:rsidRPr="00043955" w:rsidRDefault="00D146AC" w:rsidP="00DA725A">
            <w:pPr>
              <w:jc w:val="both"/>
              <w:rPr>
                <w:sz w:val="18"/>
                <w:szCs w:val="18"/>
                <w:lang w:val="ro-RO"/>
              </w:rPr>
            </w:pPr>
            <w:r w:rsidRPr="00043955">
              <w:rPr>
                <w:b/>
                <w:sz w:val="18"/>
                <w:szCs w:val="18"/>
                <w:lang w:val="ro-RO"/>
              </w:rPr>
              <w:t>CAP</w:t>
            </w:r>
            <w:r w:rsidR="00E24C06" w:rsidRPr="00670674">
              <w:rPr>
                <w:b/>
                <w:sz w:val="18"/>
                <w:szCs w:val="18"/>
                <w:lang w:val="it-IT"/>
              </w:rPr>
              <w:t xml:space="preserve"> -</w:t>
            </w:r>
            <w:r w:rsidRPr="00043955">
              <w:rPr>
                <w:sz w:val="18"/>
                <w:szCs w:val="18"/>
                <w:lang w:val="ro-RO"/>
              </w:rPr>
              <w:t xml:space="preserve"> este volumul total de capacitate întreruptibilă pentru respectivul tip de PSC pentru capacitate întreruptibilă.</w:t>
            </w:r>
          </w:p>
          <w:p w:rsidR="00612663" w:rsidRDefault="00612663" w:rsidP="007A2DC8">
            <w:pPr>
              <w:tabs>
                <w:tab w:val="left" w:pos="851"/>
              </w:tabs>
              <w:jc w:val="both"/>
              <w:outlineLvl w:val="0"/>
              <w:rPr>
                <w:b/>
                <w:bCs/>
                <w:sz w:val="18"/>
                <w:szCs w:val="18"/>
                <w:lang w:val="ro-RO"/>
              </w:rPr>
            </w:pPr>
          </w:p>
          <w:p w:rsidR="00612663" w:rsidRDefault="00612663" w:rsidP="007A2DC8">
            <w:pPr>
              <w:tabs>
                <w:tab w:val="left" w:pos="851"/>
              </w:tabs>
              <w:jc w:val="both"/>
              <w:outlineLvl w:val="0"/>
              <w:rPr>
                <w:b/>
                <w:bCs/>
                <w:sz w:val="18"/>
                <w:szCs w:val="18"/>
                <w:lang w:val="ro-RO"/>
              </w:rPr>
            </w:pPr>
          </w:p>
          <w:p w:rsidR="00043DC5" w:rsidRDefault="00043DC5" w:rsidP="007A2DC8">
            <w:pPr>
              <w:tabs>
                <w:tab w:val="left" w:pos="851"/>
              </w:tabs>
              <w:jc w:val="both"/>
              <w:outlineLvl w:val="0"/>
              <w:rPr>
                <w:b/>
                <w:bCs/>
                <w:sz w:val="18"/>
                <w:szCs w:val="18"/>
                <w:lang w:val="ro-RO"/>
              </w:rPr>
            </w:pPr>
          </w:p>
          <w:p w:rsidR="00043DC5" w:rsidRDefault="00043DC5" w:rsidP="007A2DC8">
            <w:pPr>
              <w:tabs>
                <w:tab w:val="left" w:pos="851"/>
              </w:tabs>
              <w:jc w:val="both"/>
              <w:outlineLvl w:val="0"/>
              <w:rPr>
                <w:b/>
                <w:bCs/>
                <w:sz w:val="18"/>
                <w:szCs w:val="18"/>
                <w:lang w:val="ro-RO"/>
              </w:rPr>
            </w:pPr>
          </w:p>
          <w:p w:rsidR="00043DC5" w:rsidRDefault="00043DC5" w:rsidP="007A2DC8">
            <w:pPr>
              <w:tabs>
                <w:tab w:val="left" w:pos="851"/>
              </w:tabs>
              <w:jc w:val="both"/>
              <w:outlineLvl w:val="0"/>
              <w:rPr>
                <w:b/>
                <w:bCs/>
                <w:sz w:val="18"/>
                <w:szCs w:val="18"/>
                <w:lang w:val="ro-RO"/>
              </w:rPr>
            </w:pPr>
          </w:p>
          <w:p w:rsidR="007A2DC8" w:rsidRPr="007A2DC8" w:rsidRDefault="007A2DC8" w:rsidP="007A2DC8">
            <w:pPr>
              <w:tabs>
                <w:tab w:val="left" w:pos="851"/>
              </w:tabs>
              <w:jc w:val="both"/>
              <w:outlineLvl w:val="0"/>
              <w:rPr>
                <w:sz w:val="18"/>
                <w:szCs w:val="18"/>
                <w:lang w:val="ro-RO"/>
              </w:rPr>
            </w:pPr>
            <w:r w:rsidRPr="007A2DC8">
              <w:rPr>
                <w:b/>
                <w:bCs/>
                <w:sz w:val="18"/>
                <w:szCs w:val="18"/>
                <w:lang w:val="ro-RO"/>
              </w:rPr>
              <w:t>369.</w:t>
            </w:r>
            <w:r w:rsidRPr="007A2DC8">
              <w:rPr>
                <w:sz w:val="18"/>
                <w:szCs w:val="18"/>
                <w:lang w:val="ro-RO"/>
              </w:rPr>
              <w:t xml:space="preserve"> Ca alternativă la aplicarea reducerilor ex-ante în conformitate cu pct.366, Agenţia poate decide să aplice o reducere ex-post, prin care utilizatorii de sistem să fie compensaţi ca urmare a întreruperilor reale suportate. Această reducere ex-post poate fi utilizată numai în punctele de interconectare în care, în cursul anului gazier anterior, nu a avut loc nici o întrerupere a capacităţii din cauza congestiei fizice.</w:t>
            </w:r>
          </w:p>
          <w:p w:rsidR="007A2DC8" w:rsidRDefault="007A2DC8" w:rsidP="007A2DC8">
            <w:pPr>
              <w:tabs>
                <w:tab w:val="left" w:pos="851"/>
              </w:tabs>
              <w:jc w:val="both"/>
              <w:outlineLvl w:val="0"/>
              <w:rPr>
                <w:b/>
                <w:bCs/>
                <w:sz w:val="18"/>
                <w:szCs w:val="18"/>
                <w:lang w:val="ro-RO"/>
              </w:rPr>
            </w:pPr>
          </w:p>
          <w:p w:rsidR="00612663" w:rsidRDefault="00612663" w:rsidP="007A2DC8">
            <w:pPr>
              <w:tabs>
                <w:tab w:val="left" w:pos="851"/>
              </w:tabs>
              <w:jc w:val="both"/>
              <w:outlineLvl w:val="0"/>
              <w:rPr>
                <w:b/>
                <w:bCs/>
                <w:sz w:val="18"/>
                <w:szCs w:val="18"/>
                <w:lang w:val="ro-RO"/>
              </w:rPr>
            </w:pPr>
          </w:p>
          <w:p w:rsidR="007A2DC8" w:rsidRPr="007A2DC8" w:rsidRDefault="007A2DC8" w:rsidP="007A2DC8">
            <w:pPr>
              <w:tabs>
                <w:tab w:val="left" w:pos="851"/>
              </w:tabs>
              <w:jc w:val="both"/>
              <w:outlineLvl w:val="0"/>
              <w:rPr>
                <w:sz w:val="18"/>
                <w:szCs w:val="18"/>
                <w:lang w:val="ro-RO"/>
              </w:rPr>
            </w:pPr>
            <w:r w:rsidRPr="007A2DC8">
              <w:rPr>
                <w:b/>
                <w:bCs/>
                <w:sz w:val="18"/>
                <w:szCs w:val="18"/>
                <w:lang w:val="ro-RO"/>
              </w:rPr>
              <w:t>370.</w:t>
            </w:r>
            <w:r w:rsidRPr="007A2DC8">
              <w:rPr>
                <w:sz w:val="18"/>
                <w:szCs w:val="18"/>
                <w:lang w:val="ro-RO"/>
              </w:rPr>
              <w:t xml:space="preserve"> Compensarea ex-post plătită pentru fiecare zi în care a avut loc o întrerupere trebuie să fie egală cu trei preţuri de rezervă pentru PCS zilnică pentru capacitate fermă.</w:t>
            </w:r>
          </w:p>
          <w:p w:rsidR="00D146AC" w:rsidRPr="00043955" w:rsidRDefault="00D146AC" w:rsidP="00DA725A">
            <w:pPr>
              <w:shd w:val="clear" w:color="auto" w:fill="FFFFFF"/>
              <w:jc w:val="both"/>
              <w:rPr>
                <w:b/>
                <w:bCs/>
                <w:sz w:val="18"/>
                <w:szCs w:val="18"/>
                <w:lang w:val="ro-RO"/>
              </w:rPr>
            </w:pP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3A54FD" w:rsidRDefault="003A54FD" w:rsidP="00DA725A">
            <w:pPr>
              <w:jc w:val="both"/>
              <w:rPr>
                <w:b/>
                <w:sz w:val="18"/>
                <w:szCs w:val="18"/>
                <w:lang w:val="ro-RO"/>
              </w:rPr>
            </w:pPr>
          </w:p>
          <w:p w:rsidR="003A54FD" w:rsidRPr="00D82EE4" w:rsidRDefault="003A54FD"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8B5B34" w:rsidRDefault="008B5B34" w:rsidP="00DA725A">
            <w:pPr>
              <w:jc w:val="both"/>
              <w:rPr>
                <w:b/>
                <w:sz w:val="18"/>
                <w:szCs w:val="18"/>
              </w:rPr>
            </w:pPr>
          </w:p>
          <w:p w:rsidR="00043DC5" w:rsidRDefault="00043DC5" w:rsidP="00DA725A">
            <w:pPr>
              <w:jc w:val="both"/>
              <w:rPr>
                <w:b/>
                <w:sz w:val="18"/>
                <w:szCs w:val="18"/>
              </w:rPr>
            </w:pPr>
          </w:p>
          <w:p w:rsidR="00043DC5" w:rsidRDefault="00043DC5"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043DC5" w:rsidRDefault="00043DC5" w:rsidP="00DA725A">
            <w:pPr>
              <w:jc w:val="both"/>
              <w:rPr>
                <w:b/>
                <w:sz w:val="18"/>
                <w:szCs w:val="18"/>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765D5E" w:rsidRPr="00E84D74" w:rsidRDefault="00765D5E" w:rsidP="00582A35">
            <w:pPr>
              <w:autoSpaceDE w:val="0"/>
              <w:autoSpaceDN w:val="0"/>
              <w:adjustRightInd w:val="0"/>
              <w:jc w:val="center"/>
              <w:rPr>
                <w:b/>
                <w:bCs/>
                <w:i/>
                <w:iCs/>
                <w:sz w:val="18"/>
                <w:szCs w:val="18"/>
              </w:rPr>
            </w:pPr>
            <w:r w:rsidRPr="00E84D74">
              <w:rPr>
                <w:b/>
                <w:bCs/>
                <w:i/>
                <w:iCs/>
                <w:sz w:val="18"/>
                <w:szCs w:val="18"/>
              </w:rPr>
              <w:lastRenderedPageBreak/>
              <w:t>Article 16</w:t>
            </w:r>
          </w:p>
          <w:p w:rsidR="00D146AC" w:rsidRPr="00E84D74" w:rsidRDefault="00765D5E" w:rsidP="00582A35">
            <w:pPr>
              <w:jc w:val="center"/>
              <w:rPr>
                <w:b/>
                <w:bCs/>
                <w:sz w:val="18"/>
                <w:szCs w:val="18"/>
              </w:rPr>
            </w:pPr>
            <w:r w:rsidRPr="00E84D74">
              <w:rPr>
                <w:b/>
                <w:bCs/>
                <w:sz w:val="18"/>
                <w:szCs w:val="18"/>
              </w:rPr>
              <w:t>Calculation of reserve prices for standard capacity products for interruptible capacity</w:t>
            </w:r>
          </w:p>
          <w:p w:rsidR="00765D5E" w:rsidRPr="00E84D74" w:rsidRDefault="00765D5E" w:rsidP="00DA725A">
            <w:pPr>
              <w:jc w:val="both"/>
              <w:rPr>
                <w:b/>
                <w:bCs/>
                <w:sz w:val="18"/>
                <w:szCs w:val="18"/>
              </w:rPr>
            </w:pPr>
          </w:p>
          <w:p w:rsidR="00765D5E" w:rsidRPr="00E84D74" w:rsidRDefault="00765D5E" w:rsidP="00DA725A">
            <w:pPr>
              <w:jc w:val="both"/>
              <w:rPr>
                <w:sz w:val="18"/>
                <w:szCs w:val="18"/>
              </w:rPr>
            </w:pPr>
            <w:r w:rsidRPr="00E84D74">
              <w:rPr>
                <w:sz w:val="18"/>
                <w:szCs w:val="18"/>
              </w:rPr>
              <w:t xml:space="preserve">1. The reserve prices for standard capacity products for interruptible capacity shall be calculated by </w:t>
            </w:r>
            <w:r w:rsidR="002D49A7" w:rsidRPr="00E84D74">
              <w:rPr>
                <w:sz w:val="18"/>
                <w:szCs w:val="18"/>
              </w:rPr>
              <w:t>multiplying the reserve prices for the respective standard capacity products for firm capacity calculated as a set out in Articles 14 or 15, as relevant, by the difference between 100% and the level of an ex-ante discount calculated as a set out in paragraph 2 and 3.</w:t>
            </w:r>
          </w:p>
          <w:p w:rsidR="002D49A7" w:rsidRPr="00E84D74" w:rsidRDefault="002D49A7" w:rsidP="00DA725A">
            <w:pPr>
              <w:autoSpaceDE w:val="0"/>
              <w:autoSpaceDN w:val="0"/>
              <w:adjustRightInd w:val="0"/>
              <w:rPr>
                <w:sz w:val="18"/>
                <w:szCs w:val="18"/>
              </w:rPr>
            </w:pPr>
            <w:r w:rsidRPr="00E84D74">
              <w:rPr>
                <w:sz w:val="18"/>
                <w:szCs w:val="18"/>
              </w:rPr>
              <w:t xml:space="preserve">2. An </w:t>
            </w:r>
            <w:r w:rsidRPr="00E84D74">
              <w:rPr>
                <w:i/>
                <w:iCs/>
                <w:sz w:val="18"/>
                <w:szCs w:val="18"/>
              </w:rPr>
              <w:t xml:space="preserve">ex-ante </w:t>
            </w:r>
            <w:r w:rsidRPr="00E84D74">
              <w:rPr>
                <w:sz w:val="18"/>
                <w:szCs w:val="18"/>
              </w:rPr>
              <w:t>discount shall be calculated in accordance with the following formula:</w:t>
            </w:r>
          </w:p>
          <w:p w:rsidR="00E103CE" w:rsidRPr="00E84D74" w:rsidRDefault="00E103CE" w:rsidP="00DA725A">
            <w:pPr>
              <w:autoSpaceDE w:val="0"/>
              <w:autoSpaceDN w:val="0"/>
              <w:adjustRightInd w:val="0"/>
              <w:rPr>
                <w:b/>
                <w:bCs/>
                <w:sz w:val="18"/>
                <w:szCs w:val="18"/>
              </w:rPr>
            </w:pPr>
          </w:p>
          <w:p w:rsidR="002D49A7" w:rsidRPr="00E84D74" w:rsidRDefault="002D49A7" w:rsidP="00DA725A">
            <w:pPr>
              <w:autoSpaceDE w:val="0"/>
              <w:autoSpaceDN w:val="0"/>
              <w:adjustRightInd w:val="0"/>
              <w:jc w:val="center"/>
              <w:rPr>
                <w:b/>
                <w:bCs/>
                <w:sz w:val="18"/>
                <w:szCs w:val="18"/>
              </w:rPr>
            </w:pPr>
            <w:r w:rsidRPr="00E84D74">
              <w:rPr>
                <w:b/>
                <w:bCs/>
                <w:sz w:val="18"/>
                <w:szCs w:val="18"/>
              </w:rPr>
              <w:t>Diex-ante = Pro × A × 100 %</w:t>
            </w:r>
          </w:p>
          <w:p w:rsidR="00E103CE" w:rsidRPr="00E84D74" w:rsidRDefault="00E103CE" w:rsidP="00DA725A">
            <w:pPr>
              <w:autoSpaceDE w:val="0"/>
              <w:autoSpaceDN w:val="0"/>
              <w:adjustRightInd w:val="0"/>
              <w:rPr>
                <w:i/>
                <w:iCs/>
                <w:sz w:val="18"/>
                <w:szCs w:val="18"/>
              </w:rPr>
            </w:pPr>
          </w:p>
          <w:p w:rsidR="002D49A7" w:rsidRPr="00E84D74" w:rsidRDefault="002D49A7" w:rsidP="00DA725A">
            <w:pPr>
              <w:autoSpaceDE w:val="0"/>
              <w:autoSpaceDN w:val="0"/>
              <w:adjustRightInd w:val="0"/>
              <w:rPr>
                <w:i/>
                <w:iCs/>
                <w:sz w:val="18"/>
                <w:szCs w:val="18"/>
              </w:rPr>
            </w:pPr>
            <w:r w:rsidRPr="00E84D74">
              <w:rPr>
                <w:i/>
                <w:iCs/>
                <w:sz w:val="18"/>
                <w:szCs w:val="18"/>
              </w:rPr>
              <w:t>Where:</w:t>
            </w:r>
          </w:p>
          <w:p w:rsidR="002D49A7" w:rsidRPr="00E84D74" w:rsidRDefault="002D49A7" w:rsidP="00DA725A">
            <w:pPr>
              <w:autoSpaceDE w:val="0"/>
              <w:autoSpaceDN w:val="0"/>
              <w:adjustRightInd w:val="0"/>
              <w:rPr>
                <w:sz w:val="18"/>
                <w:szCs w:val="18"/>
              </w:rPr>
            </w:pPr>
            <w:r w:rsidRPr="00E84D74">
              <w:rPr>
                <w:b/>
                <w:bCs/>
                <w:sz w:val="18"/>
                <w:szCs w:val="18"/>
              </w:rPr>
              <w:t xml:space="preserve">Diex-ante </w:t>
            </w:r>
            <w:r w:rsidRPr="00E84D74">
              <w:rPr>
                <w:sz w:val="18"/>
                <w:szCs w:val="18"/>
              </w:rPr>
              <w:t xml:space="preserve">is the level of an </w:t>
            </w:r>
            <w:r w:rsidRPr="00E84D74">
              <w:rPr>
                <w:i/>
                <w:iCs/>
                <w:sz w:val="18"/>
                <w:szCs w:val="18"/>
              </w:rPr>
              <w:t xml:space="preserve">ex-ante </w:t>
            </w:r>
            <w:r w:rsidRPr="00E84D74">
              <w:rPr>
                <w:sz w:val="18"/>
                <w:szCs w:val="18"/>
              </w:rPr>
              <w:t>discount;</w:t>
            </w:r>
          </w:p>
          <w:p w:rsidR="002D49A7" w:rsidRPr="00E84D74" w:rsidRDefault="002D49A7" w:rsidP="00DA725A">
            <w:pPr>
              <w:autoSpaceDE w:val="0"/>
              <w:autoSpaceDN w:val="0"/>
              <w:adjustRightInd w:val="0"/>
              <w:rPr>
                <w:sz w:val="18"/>
                <w:szCs w:val="18"/>
              </w:rPr>
            </w:pPr>
            <w:r w:rsidRPr="00E84D74">
              <w:rPr>
                <w:b/>
                <w:bCs/>
                <w:sz w:val="18"/>
                <w:szCs w:val="18"/>
              </w:rPr>
              <w:t xml:space="preserve">Pro factor </w:t>
            </w:r>
            <w:r w:rsidRPr="00E84D74">
              <w:rPr>
                <w:sz w:val="18"/>
                <w:szCs w:val="18"/>
              </w:rPr>
              <w:t>is the probability of interruption which is set or approved i</w:t>
            </w:r>
            <w:r w:rsidR="00E103CE" w:rsidRPr="00E84D74">
              <w:rPr>
                <w:sz w:val="18"/>
                <w:szCs w:val="18"/>
              </w:rPr>
              <w:t xml:space="preserve">n accordance with Article 41(6) </w:t>
            </w:r>
            <w:r w:rsidRPr="00E84D74">
              <w:rPr>
                <w:sz w:val="18"/>
                <w:szCs w:val="18"/>
              </w:rPr>
              <w:t>(a) of Directive 2009/73/EC pursuant to Article 28, and which refers to the type of standard capacity</w:t>
            </w:r>
            <w:r w:rsidR="00E103CE" w:rsidRPr="00E84D74">
              <w:rPr>
                <w:sz w:val="18"/>
                <w:szCs w:val="18"/>
              </w:rPr>
              <w:t xml:space="preserve"> </w:t>
            </w:r>
            <w:r w:rsidRPr="00E84D74">
              <w:rPr>
                <w:sz w:val="18"/>
                <w:szCs w:val="18"/>
              </w:rPr>
              <w:t>product for interruptible capacity;</w:t>
            </w:r>
          </w:p>
          <w:p w:rsidR="002D49A7" w:rsidRPr="00E84D74" w:rsidRDefault="002D49A7" w:rsidP="00DA725A">
            <w:pPr>
              <w:autoSpaceDE w:val="0"/>
              <w:autoSpaceDN w:val="0"/>
              <w:adjustRightInd w:val="0"/>
              <w:rPr>
                <w:sz w:val="18"/>
                <w:szCs w:val="18"/>
              </w:rPr>
            </w:pPr>
            <w:r w:rsidRPr="00E84D74">
              <w:rPr>
                <w:b/>
                <w:bCs/>
                <w:sz w:val="18"/>
                <w:szCs w:val="18"/>
              </w:rPr>
              <w:t xml:space="preserve">A </w:t>
            </w:r>
            <w:r w:rsidRPr="00E84D74">
              <w:rPr>
                <w:sz w:val="18"/>
                <w:szCs w:val="18"/>
              </w:rPr>
              <w:t>is the adjustment factor which is set or approved in accordance with Article 41(6)(a) of Directive</w:t>
            </w:r>
            <w:r w:rsidR="003A54FD" w:rsidRPr="00E84D74">
              <w:rPr>
                <w:sz w:val="18"/>
                <w:szCs w:val="18"/>
              </w:rPr>
              <w:t xml:space="preserve"> </w:t>
            </w:r>
            <w:r w:rsidRPr="00E84D74">
              <w:rPr>
                <w:sz w:val="18"/>
                <w:szCs w:val="18"/>
              </w:rPr>
              <w:t>2009/73/EC pursuant to Article 28, applied to reflect the estimated economic value of the type of standard</w:t>
            </w:r>
            <w:r w:rsidR="00E103CE" w:rsidRPr="00E84D74">
              <w:rPr>
                <w:sz w:val="18"/>
                <w:szCs w:val="18"/>
              </w:rPr>
              <w:t xml:space="preserve"> </w:t>
            </w:r>
            <w:r w:rsidRPr="00E84D74">
              <w:rPr>
                <w:sz w:val="18"/>
                <w:szCs w:val="18"/>
              </w:rPr>
              <w:t>capacity product for interruptible capacity, calculated for each, some or all interconnection points,</w:t>
            </w:r>
            <w:r w:rsidR="00E103CE" w:rsidRPr="00E84D74">
              <w:rPr>
                <w:sz w:val="18"/>
                <w:szCs w:val="18"/>
              </w:rPr>
              <w:t xml:space="preserve"> </w:t>
            </w:r>
            <w:r w:rsidRPr="00E84D74">
              <w:rPr>
                <w:sz w:val="18"/>
                <w:szCs w:val="18"/>
              </w:rPr>
              <w:t>which shall be no less than 1.</w:t>
            </w:r>
          </w:p>
          <w:p w:rsidR="002D49A7" w:rsidRPr="00E84D74" w:rsidRDefault="002D49A7" w:rsidP="00DA725A">
            <w:pPr>
              <w:autoSpaceDE w:val="0"/>
              <w:autoSpaceDN w:val="0"/>
              <w:adjustRightInd w:val="0"/>
              <w:rPr>
                <w:sz w:val="18"/>
                <w:szCs w:val="18"/>
              </w:rPr>
            </w:pPr>
            <w:r w:rsidRPr="00E84D74">
              <w:rPr>
                <w:sz w:val="18"/>
                <w:szCs w:val="18"/>
              </w:rPr>
              <w:t>3. The Pro factor referred to in paragraph 2 shall be calculated for each, some or all interconnection points</w:t>
            </w:r>
          </w:p>
          <w:p w:rsidR="002D49A7" w:rsidRPr="00E84D74" w:rsidRDefault="002D49A7" w:rsidP="00DA725A">
            <w:pPr>
              <w:autoSpaceDE w:val="0"/>
              <w:autoSpaceDN w:val="0"/>
              <w:adjustRightInd w:val="0"/>
              <w:rPr>
                <w:sz w:val="18"/>
                <w:szCs w:val="18"/>
              </w:rPr>
            </w:pPr>
            <w:r w:rsidRPr="00E84D74">
              <w:rPr>
                <w:sz w:val="18"/>
                <w:szCs w:val="18"/>
              </w:rPr>
              <w:t>per type of standard capacity product for interruptible capacity offered in accordance with the following</w:t>
            </w:r>
          </w:p>
          <w:p w:rsidR="002D49A7" w:rsidRPr="00E84D74" w:rsidRDefault="002D49A7" w:rsidP="00DA725A">
            <w:pPr>
              <w:jc w:val="both"/>
              <w:rPr>
                <w:rFonts w:ascii="FrutigerNextPro-Light" w:hAnsi="FrutigerNextPro-Light" w:cs="FrutigerNextPro-Light"/>
                <w:sz w:val="18"/>
                <w:szCs w:val="18"/>
              </w:rPr>
            </w:pPr>
            <w:r w:rsidRPr="00E84D74">
              <w:rPr>
                <w:sz w:val="18"/>
                <w:szCs w:val="18"/>
              </w:rPr>
              <w:lastRenderedPageBreak/>
              <w:t>formula on the basis of forecasted information related to the components of this formula</w:t>
            </w:r>
            <w:r w:rsidRPr="00E84D74">
              <w:rPr>
                <w:rFonts w:ascii="FrutigerNextPro-Light" w:hAnsi="FrutigerNextPro-Light" w:cs="FrutigerNextPro-Light"/>
                <w:sz w:val="18"/>
                <w:szCs w:val="18"/>
              </w:rPr>
              <w:t>:</w:t>
            </w:r>
          </w:p>
          <w:p w:rsidR="00E103CE" w:rsidRPr="00E84D74" w:rsidRDefault="00E103CE" w:rsidP="00DA725A">
            <w:pPr>
              <w:jc w:val="both"/>
              <w:rPr>
                <w:rFonts w:ascii="FrutigerNextPro-Light" w:hAnsi="FrutigerNextPro-Light" w:cs="FrutigerNextPro-Light"/>
                <w:sz w:val="18"/>
                <w:szCs w:val="18"/>
              </w:rPr>
            </w:pPr>
          </w:p>
          <w:p w:rsidR="00E103CE" w:rsidRPr="00E84D74" w:rsidRDefault="00E103CE" w:rsidP="00DA725A">
            <w:pPr>
              <w:jc w:val="center"/>
              <w:rPr>
                <w:b/>
                <w:sz w:val="18"/>
                <w:szCs w:val="18"/>
              </w:rPr>
            </w:pPr>
            <w:r w:rsidRPr="00E84D74">
              <w:rPr>
                <w:noProof/>
                <w:sz w:val="18"/>
                <w:szCs w:val="18"/>
                <w:lang w:eastAsia="en-US"/>
              </w:rPr>
              <w:drawing>
                <wp:inline distT="0" distB="0" distL="0" distR="0" wp14:anchorId="4F242218" wp14:editId="383CCB82">
                  <wp:extent cx="1521954" cy="298857"/>
                  <wp:effectExtent l="0" t="0" r="2540" b="6350"/>
                  <wp:docPr id="67" name="Picture 6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ula"/>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55922" cy="305527"/>
                          </a:xfrm>
                          <a:prstGeom prst="rect">
                            <a:avLst/>
                          </a:prstGeom>
                          <a:noFill/>
                          <a:ln>
                            <a:noFill/>
                          </a:ln>
                        </pic:spPr>
                      </pic:pic>
                    </a:graphicData>
                  </a:graphic>
                </wp:inline>
              </w:drawing>
            </w:r>
          </w:p>
          <w:p w:rsidR="00E103CE" w:rsidRPr="00E84D74" w:rsidRDefault="00E103CE" w:rsidP="00DA725A">
            <w:pPr>
              <w:rPr>
                <w:b/>
                <w:sz w:val="18"/>
                <w:szCs w:val="18"/>
              </w:rPr>
            </w:pPr>
            <w:r w:rsidRPr="00E84D74">
              <w:rPr>
                <w:b/>
                <w:sz w:val="18"/>
                <w:szCs w:val="18"/>
              </w:rPr>
              <w:t>Where:</w:t>
            </w:r>
          </w:p>
          <w:p w:rsidR="00E103CE" w:rsidRPr="00E84D74" w:rsidRDefault="00E103CE" w:rsidP="00DA725A">
            <w:pPr>
              <w:autoSpaceDE w:val="0"/>
              <w:autoSpaceDN w:val="0"/>
              <w:adjustRightInd w:val="0"/>
              <w:rPr>
                <w:sz w:val="18"/>
                <w:szCs w:val="18"/>
              </w:rPr>
            </w:pPr>
            <w:r w:rsidRPr="00E84D74">
              <w:rPr>
                <w:b/>
                <w:bCs/>
                <w:sz w:val="18"/>
                <w:szCs w:val="18"/>
              </w:rPr>
              <w:t xml:space="preserve">N </w:t>
            </w:r>
            <w:r w:rsidRPr="00E84D74">
              <w:rPr>
                <w:sz w:val="18"/>
                <w:szCs w:val="18"/>
              </w:rPr>
              <w:t>is the expectation of the number of interruptions over D;</w:t>
            </w:r>
          </w:p>
          <w:p w:rsidR="00E103CE" w:rsidRPr="00E84D74" w:rsidRDefault="00E103CE" w:rsidP="00DA725A">
            <w:pPr>
              <w:autoSpaceDE w:val="0"/>
              <w:autoSpaceDN w:val="0"/>
              <w:adjustRightInd w:val="0"/>
              <w:rPr>
                <w:sz w:val="18"/>
                <w:szCs w:val="18"/>
              </w:rPr>
            </w:pPr>
            <w:r w:rsidRPr="00E84D74">
              <w:rPr>
                <w:b/>
                <w:bCs/>
                <w:sz w:val="18"/>
                <w:szCs w:val="18"/>
              </w:rPr>
              <w:t xml:space="preserve">Dint </w:t>
            </w:r>
            <w:r w:rsidRPr="00E84D74">
              <w:rPr>
                <w:sz w:val="18"/>
                <w:szCs w:val="18"/>
              </w:rPr>
              <w:t>is the average duration of the expected interruptions expressed in hours;</w:t>
            </w:r>
          </w:p>
          <w:p w:rsidR="00E103CE" w:rsidRPr="00E84D74" w:rsidRDefault="00E103CE" w:rsidP="00DA725A">
            <w:pPr>
              <w:autoSpaceDE w:val="0"/>
              <w:autoSpaceDN w:val="0"/>
              <w:adjustRightInd w:val="0"/>
              <w:rPr>
                <w:sz w:val="18"/>
                <w:szCs w:val="18"/>
              </w:rPr>
            </w:pPr>
            <w:r w:rsidRPr="00E84D74">
              <w:rPr>
                <w:b/>
                <w:bCs/>
                <w:sz w:val="18"/>
                <w:szCs w:val="18"/>
              </w:rPr>
              <w:t xml:space="preserve">D </w:t>
            </w:r>
            <w:r w:rsidRPr="00E84D74">
              <w:rPr>
                <w:sz w:val="18"/>
                <w:szCs w:val="18"/>
              </w:rPr>
              <w:t>is the total duration of the respective type of standard capacity product for interruptible capacity expressed in hours;</w:t>
            </w:r>
          </w:p>
          <w:p w:rsidR="00E103CE" w:rsidRPr="00E84D74" w:rsidRDefault="00E103CE" w:rsidP="00DA725A">
            <w:pPr>
              <w:autoSpaceDE w:val="0"/>
              <w:autoSpaceDN w:val="0"/>
              <w:adjustRightInd w:val="0"/>
              <w:rPr>
                <w:sz w:val="18"/>
                <w:szCs w:val="18"/>
              </w:rPr>
            </w:pPr>
            <w:r w:rsidRPr="00E84D74">
              <w:rPr>
                <w:b/>
                <w:bCs/>
                <w:sz w:val="18"/>
                <w:szCs w:val="18"/>
              </w:rPr>
              <w:t xml:space="preserve">CAPav. int </w:t>
            </w:r>
            <w:r w:rsidRPr="00E84D74">
              <w:rPr>
                <w:sz w:val="18"/>
                <w:szCs w:val="18"/>
              </w:rPr>
              <w:t>is the expected average amount of interrupted capacity for each interruption where such amount is related to the respective type of standard capacity product for interruptible capacity;</w:t>
            </w:r>
          </w:p>
          <w:p w:rsidR="00E103CE" w:rsidRPr="00E84D74" w:rsidRDefault="00E103CE" w:rsidP="00DA725A">
            <w:pPr>
              <w:autoSpaceDE w:val="0"/>
              <w:autoSpaceDN w:val="0"/>
              <w:adjustRightInd w:val="0"/>
              <w:rPr>
                <w:sz w:val="18"/>
                <w:szCs w:val="18"/>
              </w:rPr>
            </w:pPr>
            <w:r w:rsidRPr="00E84D74">
              <w:rPr>
                <w:b/>
                <w:bCs/>
                <w:sz w:val="18"/>
                <w:szCs w:val="18"/>
              </w:rPr>
              <w:t xml:space="preserve">CAP </w:t>
            </w:r>
            <w:r w:rsidRPr="00E84D74">
              <w:rPr>
                <w:sz w:val="18"/>
                <w:szCs w:val="18"/>
              </w:rPr>
              <w:t>is the total amount of interruptible capacity for the respective type of standard capacity product</w:t>
            </w:r>
          </w:p>
          <w:p w:rsidR="00E103CE" w:rsidRPr="00E84D74" w:rsidRDefault="00E103CE" w:rsidP="00DA725A">
            <w:pPr>
              <w:autoSpaceDE w:val="0"/>
              <w:autoSpaceDN w:val="0"/>
              <w:adjustRightInd w:val="0"/>
              <w:rPr>
                <w:sz w:val="18"/>
                <w:szCs w:val="18"/>
              </w:rPr>
            </w:pPr>
            <w:r w:rsidRPr="00E84D74">
              <w:rPr>
                <w:sz w:val="18"/>
                <w:szCs w:val="18"/>
              </w:rPr>
              <w:t>for interruptible capacity.</w:t>
            </w:r>
          </w:p>
          <w:p w:rsidR="00E103CE" w:rsidRPr="00E84D74" w:rsidRDefault="00E103CE" w:rsidP="00DA725A">
            <w:pPr>
              <w:autoSpaceDE w:val="0"/>
              <w:autoSpaceDN w:val="0"/>
              <w:adjustRightInd w:val="0"/>
              <w:rPr>
                <w:sz w:val="18"/>
                <w:szCs w:val="18"/>
              </w:rPr>
            </w:pPr>
            <w:r w:rsidRPr="00E84D74">
              <w:rPr>
                <w:sz w:val="18"/>
                <w:szCs w:val="18"/>
              </w:rPr>
              <w:t>4</w:t>
            </w:r>
            <w:r w:rsidR="00DF45C9" w:rsidRPr="00E84D74">
              <w:rPr>
                <w:sz w:val="18"/>
                <w:szCs w:val="18"/>
              </w:rPr>
              <w:t>.</w:t>
            </w:r>
            <w:r w:rsidRPr="00E84D74">
              <w:rPr>
                <w:sz w:val="18"/>
                <w:szCs w:val="18"/>
              </w:rPr>
              <w:t xml:space="preserve">As an alternative to applying </w:t>
            </w:r>
            <w:r w:rsidRPr="00E84D74">
              <w:rPr>
                <w:i/>
                <w:iCs/>
                <w:sz w:val="18"/>
                <w:szCs w:val="18"/>
              </w:rPr>
              <w:t xml:space="preserve">ex-ante </w:t>
            </w:r>
            <w:r w:rsidRPr="00E84D74">
              <w:rPr>
                <w:sz w:val="18"/>
                <w:szCs w:val="18"/>
              </w:rPr>
              <w:t>discounts in accordance with paragraph 1, the national regulatory</w:t>
            </w:r>
          </w:p>
          <w:p w:rsidR="00E103CE" w:rsidRPr="00E84D74" w:rsidRDefault="00E103CE" w:rsidP="00DA725A">
            <w:pPr>
              <w:autoSpaceDE w:val="0"/>
              <w:autoSpaceDN w:val="0"/>
              <w:adjustRightInd w:val="0"/>
              <w:rPr>
                <w:sz w:val="18"/>
                <w:szCs w:val="18"/>
              </w:rPr>
            </w:pPr>
            <w:r w:rsidRPr="00E84D74">
              <w:rPr>
                <w:sz w:val="18"/>
                <w:szCs w:val="18"/>
              </w:rPr>
              <w:t xml:space="preserve">authority may decide to apply an </w:t>
            </w:r>
            <w:r w:rsidRPr="00E84D74">
              <w:rPr>
                <w:i/>
                <w:iCs/>
                <w:sz w:val="18"/>
                <w:szCs w:val="18"/>
              </w:rPr>
              <w:t xml:space="preserve">ex-post </w:t>
            </w:r>
            <w:r w:rsidRPr="00E84D74">
              <w:rPr>
                <w:sz w:val="18"/>
                <w:szCs w:val="18"/>
              </w:rPr>
              <w:t xml:space="preserve">discount, whereby network users are compensated after the actual interruptions incurred. Such </w:t>
            </w:r>
            <w:r w:rsidRPr="00E84D74">
              <w:rPr>
                <w:i/>
                <w:iCs/>
                <w:sz w:val="18"/>
                <w:szCs w:val="18"/>
              </w:rPr>
              <w:t xml:space="preserve">ex-post </w:t>
            </w:r>
            <w:r w:rsidRPr="00E84D74">
              <w:rPr>
                <w:sz w:val="18"/>
                <w:szCs w:val="18"/>
              </w:rPr>
              <w:t>discount may only be used at interconnection points where there was no interruption of capacity due to physical congestion in the preceding gas year.</w:t>
            </w:r>
          </w:p>
          <w:p w:rsidR="00E103CE" w:rsidRPr="00E84D74" w:rsidRDefault="00E103CE" w:rsidP="00DA725A">
            <w:pPr>
              <w:autoSpaceDE w:val="0"/>
              <w:autoSpaceDN w:val="0"/>
              <w:adjustRightInd w:val="0"/>
              <w:rPr>
                <w:sz w:val="18"/>
                <w:szCs w:val="18"/>
              </w:rPr>
            </w:pPr>
            <w:r w:rsidRPr="00E84D74">
              <w:rPr>
                <w:sz w:val="18"/>
                <w:szCs w:val="18"/>
              </w:rPr>
              <w:t xml:space="preserve">The </w:t>
            </w:r>
            <w:r w:rsidRPr="00E84D74">
              <w:rPr>
                <w:i/>
                <w:iCs/>
                <w:sz w:val="18"/>
                <w:szCs w:val="18"/>
              </w:rPr>
              <w:t xml:space="preserve">ex-post </w:t>
            </w:r>
            <w:r w:rsidRPr="00E84D74">
              <w:rPr>
                <w:sz w:val="18"/>
                <w:szCs w:val="18"/>
              </w:rPr>
              <w:t>compensation paid for each day on which an interruption occurred shall be equal to three</w:t>
            </w:r>
          </w:p>
          <w:p w:rsidR="00E103CE" w:rsidRPr="00E84D74" w:rsidRDefault="00E103CE" w:rsidP="00DA725A">
            <w:pPr>
              <w:rPr>
                <w:b/>
                <w:sz w:val="18"/>
                <w:szCs w:val="18"/>
              </w:rPr>
            </w:pPr>
            <w:r w:rsidRPr="00E84D74">
              <w:rPr>
                <w:sz w:val="18"/>
                <w:szCs w:val="18"/>
              </w:rPr>
              <w:t>times the reserve price for daily standard capacity products for firm capacity.</w:t>
            </w:r>
          </w:p>
        </w:tc>
      </w:tr>
      <w:tr w:rsidR="00D146AC" w:rsidRPr="00043955" w:rsidTr="00FC3840">
        <w:trPr>
          <w:trHeight w:val="1826"/>
        </w:trPr>
        <w:tc>
          <w:tcPr>
            <w:tcW w:w="5245" w:type="dxa"/>
          </w:tcPr>
          <w:p w:rsidR="00D146AC" w:rsidRPr="00D82EE4" w:rsidRDefault="00D146AC" w:rsidP="00DA725A">
            <w:pPr>
              <w:shd w:val="clear" w:color="auto" w:fill="FFFFFF"/>
              <w:jc w:val="center"/>
              <w:rPr>
                <w:b/>
                <w:bCs/>
                <w:sz w:val="18"/>
                <w:szCs w:val="18"/>
                <w:lang w:val="it-IT"/>
              </w:rPr>
            </w:pPr>
            <w:r w:rsidRPr="00D82EE4">
              <w:rPr>
                <w:b/>
                <w:bCs/>
                <w:sz w:val="18"/>
                <w:szCs w:val="18"/>
                <w:lang w:val="it-IT"/>
              </w:rPr>
              <w:lastRenderedPageBreak/>
              <w:t>CAPITOLUL IV</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RECONCILIEREA VENITURILOR</w:t>
            </w:r>
          </w:p>
          <w:p w:rsidR="00075EEE" w:rsidRDefault="00075EEE" w:rsidP="00DA725A">
            <w:pPr>
              <w:shd w:val="clear" w:color="auto" w:fill="FFFFFF"/>
              <w:jc w:val="center"/>
              <w:rPr>
                <w:i/>
                <w:iCs/>
                <w:sz w:val="18"/>
                <w:szCs w:val="18"/>
                <w:lang w:val="it-IT"/>
              </w:rPr>
            </w:pPr>
          </w:p>
          <w:p w:rsidR="00D146AC" w:rsidRPr="00D82EE4" w:rsidRDefault="00D146AC" w:rsidP="00DA725A">
            <w:pPr>
              <w:shd w:val="clear" w:color="auto" w:fill="FFFFFF"/>
              <w:jc w:val="center"/>
              <w:rPr>
                <w:i/>
                <w:iCs/>
                <w:sz w:val="18"/>
                <w:szCs w:val="18"/>
                <w:lang w:val="it-IT"/>
              </w:rPr>
            </w:pPr>
            <w:r w:rsidRPr="00D82EE4">
              <w:rPr>
                <w:i/>
                <w:iCs/>
                <w:sz w:val="18"/>
                <w:szCs w:val="18"/>
                <w:lang w:val="it-IT"/>
              </w:rPr>
              <w:t>Articolul 17</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Dispoziții generale</w:t>
            </w:r>
          </w:p>
          <w:p w:rsidR="00D146AC" w:rsidRPr="00D82EE4" w:rsidRDefault="00D146AC" w:rsidP="00DA725A">
            <w:pPr>
              <w:shd w:val="clear" w:color="auto" w:fill="FFFFFF"/>
              <w:jc w:val="both"/>
              <w:rPr>
                <w:sz w:val="18"/>
                <w:szCs w:val="18"/>
                <w:lang w:val="it-IT"/>
              </w:rPr>
            </w:pPr>
            <w:r w:rsidRPr="00D82EE4">
              <w:rPr>
                <w:sz w:val="18"/>
                <w:szCs w:val="18"/>
                <w:lang w:val="it-IT"/>
              </w:rPr>
              <w:t>(1)   În cazul și în măsura în care operatorul de transport și de sistem funcționează în cadrul unui regim de tarifare fără plafonarea prețului, se aplică următoarele principii: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55" w:type="dxa"/>
                  <w:shd w:val="clear" w:color="auto" w:fill="FFFFFF"/>
                  <w:hideMark/>
                </w:tcPr>
                <w:p w:rsidR="00D146AC" w:rsidRDefault="00D146AC" w:rsidP="00DA725A">
                  <w:pPr>
                    <w:jc w:val="both"/>
                    <w:rPr>
                      <w:sz w:val="18"/>
                      <w:szCs w:val="18"/>
                    </w:rPr>
                  </w:pPr>
                  <w:r w:rsidRPr="00043955">
                    <w:rPr>
                      <w:sz w:val="18"/>
                      <w:szCs w:val="18"/>
                    </w:rPr>
                    <w:t>recuperarea parțială sau recuperarea în exces a venitului aferent serviciilor de transport trebuie redusă la minimum, ținând seama în mod corespunzător de investițiile necesare;</w:t>
                  </w:r>
                </w:p>
                <w:p w:rsidR="003B0A30" w:rsidRPr="00043955" w:rsidRDefault="003B0A30"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43955"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lastRenderedPageBreak/>
                    <w:t>(b)</w:t>
                  </w:r>
                </w:p>
              </w:tc>
              <w:tc>
                <w:tcPr>
                  <w:tcW w:w="9145" w:type="dxa"/>
                  <w:shd w:val="clear" w:color="auto" w:fill="FFFFFF"/>
                  <w:hideMark/>
                </w:tcPr>
                <w:p w:rsidR="00D146AC" w:rsidRDefault="00D146AC" w:rsidP="00DA725A">
                  <w:pPr>
                    <w:jc w:val="both"/>
                    <w:rPr>
                      <w:sz w:val="18"/>
                      <w:szCs w:val="18"/>
                    </w:rPr>
                  </w:pPr>
                  <w:r w:rsidRPr="00043955">
                    <w:rPr>
                      <w:sz w:val="18"/>
                      <w:szCs w:val="18"/>
                    </w:rPr>
                    <w:t>nivelul tarifelor de transport trebuie să garanteze că venitul aferent serviciilor de transport este recuperat la timp de operatorul de transport și de sistem;</w:t>
                  </w:r>
                </w:p>
                <w:p w:rsidR="003B0A30" w:rsidRPr="00043955" w:rsidRDefault="003B0A30"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Default="00D146AC" w:rsidP="00DA725A">
                  <w:pPr>
                    <w:jc w:val="both"/>
                    <w:rPr>
                      <w:sz w:val="18"/>
                      <w:szCs w:val="18"/>
                      <w:lang w:val="it-IT"/>
                    </w:rPr>
                  </w:pPr>
                  <w:r w:rsidRPr="00D82EE4">
                    <w:rPr>
                      <w:sz w:val="18"/>
                      <w:szCs w:val="18"/>
                      <w:lang w:val="it-IT"/>
                    </w:rPr>
                    <w:t>în măsura posibilului, trebuie evitate diferențele semnificative între nivelul tarifelor de transport aplicabile pentru două perioade tarifare consecutive.</w:t>
                  </w:r>
                </w:p>
                <w:p w:rsidR="003B0A30" w:rsidRPr="00D82EE4" w:rsidRDefault="003B0A30"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(2)   În cazul și în măsura în care operatorul de transport și de sistem funcționează în cadrul unui regim de tarifare cu plafonarea prețului sau aplică abordarea bazată pe prețul de plătit fix prevăzută la articolul 24 litera (b), nu are loc nicio reconciliere a veniturilor și toate riscurile legate de recuperarea parțială sau de recuperarea în exces sunt acoperite exclusiv din prima de risc. În aceste cazuri, articolul 18, articolul 19 alineatele (1)-(4) și articolul 20 nu se aplică.</w:t>
            </w:r>
          </w:p>
          <w:p w:rsidR="003B0A30" w:rsidRPr="00D82EE4" w:rsidRDefault="003B0A30"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(3)   Sub rezerva cerințelor privind consultările periodice în temeiul articolului 26 și a aprobării în conformitate cu articolul 41 alineatul (6) litera (a) din Directiva 2009/73/CE, veniturile aferente altor servicii decât cele de transport pot fi reconciliate în conformitate cu dispozițiile prezentului capitol, </w:t>
            </w:r>
            <w:r w:rsidRPr="00D82EE4">
              <w:rPr>
                <w:i/>
                <w:iCs/>
                <w:sz w:val="18"/>
                <w:szCs w:val="18"/>
                <w:lang w:val="it-IT"/>
              </w:rPr>
              <w:t>mutatis mutandis</w:t>
            </w:r>
            <w:r w:rsidRPr="00D82EE4">
              <w:rPr>
                <w:sz w:val="18"/>
                <w:szCs w:val="18"/>
                <w:lang w:val="it-IT"/>
              </w:rPr>
              <w:t>.</w:t>
            </w: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CAPITOLUL IV</w:t>
            </w:r>
          </w:p>
          <w:p w:rsidR="00D146AC" w:rsidRPr="00043955" w:rsidRDefault="00D146AC" w:rsidP="00DA725A">
            <w:pPr>
              <w:jc w:val="center"/>
              <w:rPr>
                <w:b/>
                <w:sz w:val="18"/>
                <w:szCs w:val="18"/>
                <w:lang w:val="ro-RO"/>
              </w:rPr>
            </w:pPr>
            <w:r w:rsidRPr="00043955">
              <w:rPr>
                <w:b/>
                <w:sz w:val="18"/>
                <w:szCs w:val="18"/>
                <w:lang w:val="ro-RO"/>
              </w:rPr>
              <w:t>RECONCILIEREA VENITURILOR</w:t>
            </w:r>
          </w:p>
          <w:p w:rsidR="00D146AC" w:rsidRPr="00043955" w:rsidRDefault="00D146AC" w:rsidP="00DA725A">
            <w:pPr>
              <w:jc w:val="center"/>
              <w:rPr>
                <w:b/>
                <w:sz w:val="18"/>
                <w:szCs w:val="18"/>
                <w:lang w:val="ro-RO"/>
              </w:rPr>
            </w:pPr>
          </w:p>
          <w:p w:rsidR="00D146AC" w:rsidRPr="00043955" w:rsidRDefault="00D146AC" w:rsidP="00DA725A">
            <w:pPr>
              <w:jc w:val="center"/>
              <w:rPr>
                <w:b/>
                <w:sz w:val="18"/>
                <w:szCs w:val="18"/>
                <w:lang w:val="ro-RO"/>
              </w:rPr>
            </w:pPr>
            <w:r w:rsidRPr="00043955">
              <w:rPr>
                <w:b/>
                <w:sz w:val="18"/>
                <w:szCs w:val="18"/>
                <w:lang w:val="ro-RO"/>
              </w:rPr>
              <w:t>Secțiunea 1</w:t>
            </w:r>
          </w:p>
          <w:p w:rsidR="00D146AC" w:rsidRDefault="00D146AC" w:rsidP="00DA725A">
            <w:pPr>
              <w:jc w:val="center"/>
              <w:rPr>
                <w:b/>
                <w:sz w:val="18"/>
                <w:szCs w:val="18"/>
                <w:lang w:val="ro-RO"/>
              </w:rPr>
            </w:pPr>
            <w:r w:rsidRPr="00043955">
              <w:rPr>
                <w:b/>
                <w:sz w:val="18"/>
                <w:szCs w:val="18"/>
                <w:lang w:val="ro-RO"/>
              </w:rPr>
              <w:t>Dispoziții generale</w:t>
            </w:r>
          </w:p>
          <w:p w:rsidR="00D146AC" w:rsidRDefault="00D146AC" w:rsidP="00DA725A">
            <w:pPr>
              <w:jc w:val="center"/>
              <w:rPr>
                <w:b/>
                <w:sz w:val="18"/>
                <w:szCs w:val="18"/>
                <w:lang w:val="ro-RO"/>
              </w:rPr>
            </w:pPr>
          </w:p>
          <w:p w:rsidR="00C61D7D" w:rsidRPr="00C61D7D" w:rsidRDefault="00C61D7D" w:rsidP="00C61D7D">
            <w:pPr>
              <w:tabs>
                <w:tab w:val="left" w:pos="851"/>
              </w:tabs>
              <w:jc w:val="both"/>
              <w:outlineLvl w:val="0"/>
              <w:rPr>
                <w:sz w:val="18"/>
                <w:szCs w:val="18"/>
                <w:lang w:val="ro-RO"/>
              </w:rPr>
            </w:pPr>
            <w:r w:rsidRPr="00C61D7D">
              <w:rPr>
                <w:b/>
                <w:bCs/>
                <w:sz w:val="18"/>
                <w:szCs w:val="18"/>
                <w:lang w:val="ro-RO"/>
              </w:rPr>
              <w:t>371.</w:t>
            </w:r>
            <w:r w:rsidRPr="00C61D7D">
              <w:rPr>
                <w:sz w:val="18"/>
                <w:szCs w:val="18"/>
                <w:lang w:val="ro-RO"/>
              </w:rPr>
              <w:t xml:space="preserve"> În cazul şi în măsura în care OST funcţionează în cadrul unui regim tarifar fără plafonarea preţului, se aplică următoarele principii:</w:t>
            </w:r>
          </w:p>
          <w:p w:rsidR="00C61D7D" w:rsidRPr="00C61D7D" w:rsidRDefault="00C61D7D" w:rsidP="00C61D7D">
            <w:pPr>
              <w:tabs>
                <w:tab w:val="left" w:pos="851"/>
              </w:tabs>
              <w:jc w:val="both"/>
              <w:outlineLvl w:val="0"/>
              <w:rPr>
                <w:sz w:val="18"/>
                <w:szCs w:val="18"/>
                <w:lang w:val="ro-RO"/>
              </w:rPr>
            </w:pPr>
            <w:r>
              <w:rPr>
                <w:sz w:val="18"/>
                <w:szCs w:val="18"/>
                <w:lang w:val="ro-RO"/>
              </w:rPr>
              <w:tab/>
            </w:r>
            <w:r w:rsidRPr="00C61D7D">
              <w:rPr>
                <w:sz w:val="18"/>
                <w:szCs w:val="18"/>
                <w:lang w:val="ro-RO"/>
              </w:rPr>
              <w:t>1) recuperarea parţială sau recuperarea în exces a venitului aferent serviciilor de transport trebuie redusă la minimum, ţinând cont în mod corespunzător de investiţiile necesare;</w:t>
            </w:r>
          </w:p>
          <w:p w:rsidR="00C61D7D" w:rsidRPr="00C61D7D" w:rsidRDefault="00C61D7D" w:rsidP="00C61D7D">
            <w:pPr>
              <w:tabs>
                <w:tab w:val="left" w:pos="851"/>
              </w:tabs>
              <w:jc w:val="both"/>
              <w:outlineLvl w:val="0"/>
              <w:rPr>
                <w:sz w:val="18"/>
                <w:szCs w:val="18"/>
                <w:lang w:val="ro-RO"/>
              </w:rPr>
            </w:pPr>
            <w:r>
              <w:rPr>
                <w:sz w:val="18"/>
                <w:szCs w:val="18"/>
                <w:lang w:val="ro-RO"/>
              </w:rPr>
              <w:lastRenderedPageBreak/>
              <w:tab/>
            </w:r>
            <w:r w:rsidRPr="00C61D7D">
              <w:rPr>
                <w:sz w:val="18"/>
                <w:szCs w:val="18"/>
                <w:lang w:val="ro-RO"/>
              </w:rPr>
              <w:t>2) nivelul tarifelor de transport trebuie să garanteze că venitul aferent serviciilor de transport este recuperat la timp de OST;</w:t>
            </w:r>
          </w:p>
          <w:p w:rsidR="00C61D7D" w:rsidRPr="00C61D7D" w:rsidRDefault="00C61D7D" w:rsidP="00C61D7D">
            <w:pPr>
              <w:tabs>
                <w:tab w:val="left" w:pos="851"/>
              </w:tabs>
              <w:jc w:val="both"/>
              <w:outlineLvl w:val="0"/>
              <w:rPr>
                <w:sz w:val="18"/>
                <w:szCs w:val="18"/>
                <w:lang w:val="ro-RO"/>
              </w:rPr>
            </w:pPr>
            <w:r>
              <w:rPr>
                <w:sz w:val="18"/>
                <w:szCs w:val="18"/>
                <w:lang w:val="ro-RO"/>
              </w:rPr>
              <w:tab/>
            </w:r>
            <w:r w:rsidRPr="00C61D7D">
              <w:rPr>
                <w:sz w:val="18"/>
                <w:szCs w:val="18"/>
                <w:lang w:val="ro-RO"/>
              </w:rPr>
              <w:t>3) în măsura posibilului, trebuie evitate diferenţele semnificative între nivelul tarifelor de transport aplicabile pentru 2 perioade tarifare consecutive.</w:t>
            </w:r>
          </w:p>
          <w:p w:rsidR="000E739D" w:rsidRDefault="000E739D" w:rsidP="00C61D7D">
            <w:pPr>
              <w:tabs>
                <w:tab w:val="left" w:pos="851"/>
              </w:tabs>
              <w:jc w:val="both"/>
              <w:outlineLvl w:val="0"/>
              <w:rPr>
                <w:b/>
                <w:bCs/>
                <w:sz w:val="18"/>
                <w:szCs w:val="18"/>
                <w:lang w:val="ro-RO"/>
              </w:rPr>
            </w:pPr>
          </w:p>
          <w:p w:rsidR="00C61D7D" w:rsidRPr="00C61D7D" w:rsidRDefault="00C61D7D" w:rsidP="00C61D7D">
            <w:pPr>
              <w:tabs>
                <w:tab w:val="left" w:pos="851"/>
              </w:tabs>
              <w:jc w:val="both"/>
              <w:outlineLvl w:val="0"/>
              <w:rPr>
                <w:sz w:val="18"/>
                <w:szCs w:val="18"/>
                <w:lang w:val="ro-RO"/>
              </w:rPr>
            </w:pPr>
            <w:r w:rsidRPr="00C61D7D">
              <w:rPr>
                <w:b/>
                <w:bCs/>
                <w:sz w:val="18"/>
                <w:szCs w:val="18"/>
                <w:lang w:val="ro-RO"/>
              </w:rPr>
              <w:t>372.</w:t>
            </w:r>
            <w:r w:rsidRPr="00C61D7D">
              <w:rPr>
                <w:sz w:val="18"/>
                <w:szCs w:val="18"/>
                <w:lang w:val="ro-RO"/>
              </w:rPr>
              <w:t xml:space="preserve"> În cazul şi în măsura în care OST funcţionează în cadrul unui regim tarifar cu plafonarea preţului sau aplică abordarea bazată pe preţul de plătit fix prevăzută la pct.391, subpunctul 2), nu are loc nicio reconciliere a veniturilor şi toate riscurile legate de recuperarea parţială sau de recuperarea în exces sunt acoperite exclusiv din prima de risc. În aceste cazuri, pct.374-380 şi 381-383 nu se aplică.</w:t>
            </w:r>
          </w:p>
          <w:p w:rsidR="000E739D" w:rsidRDefault="000E739D" w:rsidP="00C61D7D">
            <w:pPr>
              <w:tabs>
                <w:tab w:val="left" w:pos="851"/>
              </w:tabs>
              <w:jc w:val="both"/>
              <w:outlineLvl w:val="0"/>
              <w:rPr>
                <w:b/>
                <w:bCs/>
                <w:sz w:val="18"/>
                <w:szCs w:val="18"/>
                <w:lang w:val="ro-RO"/>
              </w:rPr>
            </w:pPr>
          </w:p>
          <w:p w:rsidR="00C61D7D" w:rsidRPr="00C61D7D" w:rsidRDefault="00C61D7D" w:rsidP="00C61D7D">
            <w:pPr>
              <w:tabs>
                <w:tab w:val="left" w:pos="851"/>
              </w:tabs>
              <w:jc w:val="both"/>
              <w:outlineLvl w:val="0"/>
              <w:rPr>
                <w:sz w:val="18"/>
                <w:szCs w:val="18"/>
                <w:lang w:val="ro-RO"/>
              </w:rPr>
            </w:pPr>
            <w:r w:rsidRPr="00C61D7D">
              <w:rPr>
                <w:b/>
                <w:bCs/>
                <w:sz w:val="18"/>
                <w:szCs w:val="18"/>
                <w:lang w:val="ro-RO"/>
              </w:rPr>
              <w:t>373.</w:t>
            </w:r>
            <w:r w:rsidRPr="00C61D7D">
              <w:rPr>
                <w:sz w:val="18"/>
                <w:szCs w:val="18"/>
                <w:lang w:val="ro-RO"/>
              </w:rPr>
              <w:t xml:space="preserve"> Veniturile aferente altor servicii decât cele de transport al gazelor naturale pot fi reconciliate în conformitate cu dispoziţiile prezentului Capitol, mutatis mutandis, cu respectarea cerinţelor privind consultările periodice în temeiul pct.394-399 (Secţiunea 1, Capitolul 7 din prezentul Titlu) şi a aprobării de către Agenţie.</w:t>
            </w:r>
          </w:p>
          <w:p w:rsidR="00D146AC" w:rsidRPr="00C61D7D" w:rsidRDefault="00D146AC" w:rsidP="00DA725A">
            <w:pPr>
              <w:tabs>
                <w:tab w:val="left" w:pos="851"/>
              </w:tabs>
              <w:jc w:val="both"/>
              <w:outlineLvl w:val="0"/>
              <w:rPr>
                <w:b/>
                <w:bCs/>
                <w:strike/>
                <w:sz w:val="18"/>
                <w:szCs w:val="18"/>
                <w:lang w:val="ro-RO"/>
              </w:rPr>
            </w:pPr>
          </w:p>
        </w:tc>
        <w:tc>
          <w:tcPr>
            <w:tcW w:w="1275" w:type="dxa"/>
          </w:tcPr>
          <w:p w:rsidR="00D146AC" w:rsidRPr="00D82EE4" w:rsidRDefault="00D146AC" w:rsidP="00DA725A">
            <w:pPr>
              <w:jc w:val="both"/>
              <w:rPr>
                <w:b/>
                <w:sz w:val="18"/>
                <w:szCs w:val="18"/>
                <w:lang w:val="ro-RO"/>
              </w:rPr>
            </w:pPr>
          </w:p>
          <w:p w:rsidR="00D146AC" w:rsidRDefault="00D146AC" w:rsidP="00DA725A">
            <w:pPr>
              <w:jc w:val="both"/>
              <w:rPr>
                <w:b/>
                <w:sz w:val="18"/>
                <w:szCs w:val="18"/>
                <w:lang w:val="ro-RO"/>
              </w:rPr>
            </w:pPr>
          </w:p>
          <w:p w:rsidR="003A64CA" w:rsidRPr="00D82EE4" w:rsidRDefault="003A64CA"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3B0A30" w:rsidRDefault="003B0A30" w:rsidP="00DA725A">
            <w:pPr>
              <w:jc w:val="both"/>
              <w:rPr>
                <w:b/>
                <w:sz w:val="18"/>
                <w:szCs w:val="18"/>
              </w:rPr>
            </w:pPr>
          </w:p>
          <w:p w:rsidR="003B0A30" w:rsidRDefault="003B0A30"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4C3A82" w:rsidRPr="00E84D74" w:rsidRDefault="004C3A82" w:rsidP="00FC3840">
            <w:pPr>
              <w:jc w:val="center"/>
              <w:rPr>
                <w:b/>
                <w:sz w:val="18"/>
                <w:szCs w:val="18"/>
                <w:lang w:val="ro-RO"/>
              </w:rPr>
            </w:pPr>
            <w:r w:rsidRPr="00E84D74">
              <w:rPr>
                <w:b/>
                <w:sz w:val="18"/>
                <w:szCs w:val="18"/>
                <w:lang w:val="ro-RO"/>
              </w:rPr>
              <w:lastRenderedPageBreak/>
              <w:t>CHAPTER IV</w:t>
            </w:r>
          </w:p>
          <w:p w:rsidR="004C3A82" w:rsidRPr="00E84D74" w:rsidRDefault="004C3A82" w:rsidP="00FC3840">
            <w:pPr>
              <w:jc w:val="center"/>
              <w:rPr>
                <w:b/>
                <w:sz w:val="18"/>
                <w:szCs w:val="18"/>
                <w:lang w:val="ro-RO"/>
              </w:rPr>
            </w:pPr>
            <w:r w:rsidRPr="00E84D74">
              <w:rPr>
                <w:b/>
                <w:sz w:val="18"/>
                <w:szCs w:val="18"/>
                <w:lang w:val="ro-RO"/>
              </w:rPr>
              <w:t>RECONCILIATION OF REVENUE</w:t>
            </w:r>
          </w:p>
          <w:p w:rsidR="00075EEE" w:rsidRPr="00E84D74" w:rsidRDefault="00075EEE" w:rsidP="00FC3840">
            <w:pPr>
              <w:jc w:val="center"/>
              <w:rPr>
                <w:b/>
                <w:sz w:val="18"/>
                <w:szCs w:val="18"/>
                <w:lang w:val="ro-RO"/>
              </w:rPr>
            </w:pPr>
          </w:p>
          <w:p w:rsidR="004C3A82" w:rsidRPr="00E84D74" w:rsidRDefault="004C3A82" w:rsidP="00FC3840">
            <w:pPr>
              <w:jc w:val="center"/>
              <w:rPr>
                <w:b/>
                <w:sz w:val="18"/>
                <w:szCs w:val="18"/>
                <w:lang w:val="ro-RO"/>
              </w:rPr>
            </w:pPr>
            <w:r w:rsidRPr="00E84D74">
              <w:rPr>
                <w:b/>
                <w:sz w:val="18"/>
                <w:szCs w:val="18"/>
                <w:lang w:val="ro-RO"/>
              </w:rPr>
              <w:t>Article 17</w:t>
            </w:r>
          </w:p>
          <w:p w:rsidR="00D146AC" w:rsidRPr="00E84D74" w:rsidRDefault="004C3A82" w:rsidP="00FC3840">
            <w:pPr>
              <w:jc w:val="center"/>
              <w:rPr>
                <w:b/>
                <w:sz w:val="18"/>
                <w:szCs w:val="18"/>
                <w:lang w:val="ro-RO"/>
              </w:rPr>
            </w:pPr>
            <w:r w:rsidRPr="00E84D74">
              <w:rPr>
                <w:b/>
                <w:sz w:val="18"/>
                <w:szCs w:val="18"/>
                <w:lang w:val="ro-RO"/>
              </w:rPr>
              <w:t>General provisions</w:t>
            </w:r>
          </w:p>
          <w:p w:rsidR="004C3A82" w:rsidRPr="00E84D74" w:rsidRDefault="004C3A82" w:rsidP="00FC3840">
            <w:pPr>
              <w:jc w:val="both"/>
              <w:rPr>
                <w:rFonts w:ascii="FrutigerNextPro-Bold" w:hAnsi="FrutigerNextPro-Bold" w:cs="FrutigerNextPro-Bold"/>
                <w:b/>
                <w:bCs/>
                <w:sz w:val="18"/>
                <w:szCs w:val="18"/>
              </w:rPr>
            </w:pPr>
          </w:p>
          <w:p w:rsidR="004C3A82" w:rsidRPr="00E84D74" w:rsidRDefault="004C3A82" w:rsidP="00FC3840">
            <w:pPr>
              <w:autoSpaceDE w:val="0"/>
              <w:autoSpaceDN w:val="0"/>
              <w:adjustRightInd w:val="0"/>
              <w:jc w:val="both"/>
              <w:rPr>
                <w:sz w:val="18"/>
                <w:szCs w:val="18"/>
              </w:rPr>
            </w:pPr>
            <w:r w:rsidRPr="00E84D74">
              <w:rPr>
                <w:sz w:val="18"/>
                <w:szCs w:val="18"/>
              </w:rPr>
              <w:t>1. Where and to the extent that the transmission system operator functions under a non-price cap regime,</w:t>
            </w:r>
          </w:p>
          <w:p w:rsidR="004C3A82" w:rsidRPr="00E84D74" w:rsidRDefault="004C3A82" w:rsidP="00FC3840">
            <w:pPr>
              <w:autoSpaceDE w:val="0"/>
              <w:autoSpaceDN w:val="0"/>
              <w:adjustRightInd w:val="0"/>
              <w:jc w:val="both"/>
              <w:rPr>
                <w:sz w:val="18"/>
                <w:szCs w:val="18"/>
              </w:rPr>
            </w:pPr>
            <w:r w:rsidRPr="00E84D74">
              <w:rPr>
                <w:sz w:val="18"/>
                <w:szCs w:val="18"/>
              </w:rPr>
              <w:t>the following principles shall apply:</w:t>
            </w:r>
          </w:p>
          <w:p w:rsidR="004C3A82" w:rsidRPr="00E84D74" w:rsidRDefault="004C3A82" w:rsidP="00FC3840">
            <w:pPr>
              <w:autoSpaceDE w:val="0"/>
              <w:autoSpaceDN w:val="0"/>
              <w:adjustRightInd w:val="0"/>
              <w:jc w:val="both"/>
              <w:rPr>
                <w:sz w:val="18"/>
                <w:szCs w:val="18"/>
              </w:rPr>
            </w:pPr>
            <w:r w:rsidRPr="00E84D74">
              <w:rPr>
                <w:sz w:val="18"/>
                <w:szCs w:val="18"/>
              </w:rPr>
              <w:t>(a) the under- or over-recovery of the transmission services revenue shall be minimised having due regard</w:t>
            </w:r>
          </w:p>
          <w:p w:rsidR="004C3A82" w:rsidRPr="00E84D74" w:rsidRDefault="004C3A82" w:rsidP="00FC3840">
            <w:pPr>
              <w:autoSpaceDE w:val="0"/>
              <w:autoSpaceDN w:val="0"/>
              <w:adjustRightInd w:val="0"/>
              <w:jc w:val="both"/>
              <w:rPr>
                <w:sz w:val="18"/>
                <w:szCs w:val="18"/>
              </w:rPr>
            </w:pPr>
            <w:r w:rsidRPr="00E84D74">
              <w:rPr>
                <w:sz w:val="18"/>
                <w:szCs w:val="18"/>
              </w:rPr>
              <w:t>to necessary investments;</w:t>
            </w:r>
          </w:p>
          <w:p w:rsidR="004C3A82" w:rsidRPr="00E84D74" w:rsidRDefault="004C3A82" w:rsidP="00FC3840">
            <w:pPr>
              <w:autoSpaceDE w:val="0"/>
              <w:autoSpaceDN w:val="0"/>
              <w:adjustRightInd w:val="0"/>
              <w:jc w:val="both"/>
              <w:rPr>
                <w:sz w:val="18"/>
                <w:szCs w:val="18"/>
              </w:rPr>
            </w:pPr>
            <w:r w:rsidRPr="00E84D74">
              <w:rPr>
                <w:sz w:val="18"/>
                <w:szCs w:val="18"/>
              </w:rPr>
              <w:lastRenderedPageBreak/>
              <w:t>(b) the level of transmission tariffs shall ensure that the transmission services revenue is recovered by the</w:t>
            </w:r>
          </w:p>
          <w:p w:rsidR="004C3A82" w:rsidRPr="00E84D74" w:rsidRDefault="004C3A82" w:rsidP="00FC3840">
            <w:pPr>
              <w:autoSpaceDE w:val="0"/>
              <w:autoSpaceDN w:val="0"/>
              <w:adjustRightInd w:val="0"/>
              <w:jc w:val="both"/>
              <w:rPr>
                <w:sz w:val="18"/>
                <w:szCs w:val="18"/>
              </w:rPr>
            </w:pPr>
            <w:r w:rsidRPr="00E84D74">
              <w:rPr>
                <w:sz w:val="18"/>
                <w:szCs w:val="18"/>
              </w:rPr>
              <w:t>transmission system operator in a timely manner;</w:t>
            </w:r>
          </w:p>
          <w:p w:rsidR="004C3A82" w:rsidRPr="00E84D74" w:rsidRDefault="004C3A82" w:rsidP="00FC3840">
            <w:pPr>
              <w:autoSpaceDE w:val="0"/>
              <w:autoSpaceDN w:val="0"/>
              <w:adjustRightInd w:val="0"/>
              <w:jc w:val="both"/>
              <w:rPr>
                <w:sz w:val="18"/>
                <w:szCs w:val="18"/>
              </w:rPr>
            </w:pPr>
            <w:r w:rsidRPr="00E84D74">
              <w:rPr>
                <w:sz w:val="18"/>
                <w:szCs w:val="18"/>
              </w:rPr>
              <w:t>(c) significant differences between the levels of transmission tariffs applicable for two consecutive tariff</w:t>
            </w:r>
            <w:r w:rsidR="000E739D">
              <w:rPr>
                <w:sz w:val="18"/>
                <w:szCs w:val="18"/>
              </w:rPr>
              <w:t xml:space="preserve"> </w:t>
            </w:r>
            <w:r w:rsidRPr="00E84D74">
              <w:rPr>
                <w:sz w:val="18"/>
                <w:szCs w:val="18"/>
              </w:rPr>
              <w:t>periods shall be avoided to the extent possible.</w:t>
            </w:r>
          </w:p>
          <w:p w:rsidR="004C3A82" w:rsidRPr="00E84D74" w:rsidRDefault="004C3A82" w:rsidP="00FC3840">
            <w:pPr>
              <w:autoSpaceDE w:val="0"/>
              <w:autoSpaceDN w:val="0"/>
              <w:adjustRightInd w:val="0"/>
              <w:jc w:val="both"/>
              <w:rPr>
                <w:sz w:val="18"/>
                <w:szCs w:val="18"/>
              </w:rPr>
            </w:pPr>
          </w:p>
          <w:p w:rsidR="004C3A82" w:rsidRPr="00E84D74" w:rsidRDefault="004C3A82" w:rsidP="00FC3840">
            <w:pPr>
              <w:autoSpaceDE w:val="0"/>
              <w:autoSpaceDN w:val="0"/>
              <w:adjustRightInd w:val="0"/>
              <w:jc w:val="both"/>
              <w:rPr>
                <w:sz w:val="18"/>
                <w:szCs w:val="18"/>
              </w:rPr>
            </w:pPr>
            <w:r w:rsidRPr="00E84D74">
              <w:rPr>
                <w:sz w:val="18"/>
                <w:szCs w:val="18"/>
              </w:rPr>
              <w:t>2. Where and to the extent that the transmission system operator functions under a price cap regime or</w:t>
            </w:r>
            <w:r w:rsidR="000E739D">
              <w:rPr>
                <w:sz w:val="18"/>
                <w:szCs w:val="18"/>
              </w:rPr>
              <w:t xml:space="preserve"> </w:t>
            </w:r>
            <w:r w:rsidRPr="00E84D74">
              <w:rPr>
                <w:sz w:val="18"/>
                <w:szCs w:val="18"/>
              </w:rPr>
              <w:t>applies a fixed payable price approach set out in Article 24(b), no revenue reconciliation shall occur and</w:t>
            </w:r>
            <w:r w:rsidR="000E739D">
              <w:rPr>
                <w:sz w:val="18"/>
                <w:szCs w:val="18"/>
              </w:rPr>
              <w:t xml:space="preserve"> </w:t>
            </w:r>
            <w:r w:rsidRPr="00E84D74">
              <w:rPr>
                <w:sz w:val="18"/>
                <w:szCs w:val="18"/>
              </w:rPr>
              <w:t>all risks related to under- or over-recovery shall be covered exclusively by the risk premium. In such case</w:t>
            </w:r>
            <w:r w:rsidR="000E739D">
              <w:rPr>
                <w:sz w:val="18"/>
                <w:szCs w:val="18"/>
              </w:rPr>
              <w:t xml:space="preserve"> </w:t>
            </w:r>
            <w:r w:rsidRPr="00E84D74">
              <w:rPr>
                <w:sz w:val="18"/>
                <w:szCs w:val="18"/>
              </w:rPr>
              <w:t>Articles 18, 19(1) to (4) and 20 shall not apply.</w:t>
            </w:r>
          </w:p>
          <w:p w:rsidR="00BE6DB2" w:rsidRPr="00E84D74" w:rsidRDefault="00BE6DB2" w:rsidP="00FC3840">
            <w:pPr>
              <w:autoSpaceDE w:val="0"/>
              <w:autoSpaceDN w:val="0"/>
              <w:adjustRightInd w:val="0"/>
              <w:jc w:val="both"/>
              <w:rPr>
                <w:sz w:val="18"/>
                <w:szCs w:val="18"/>
              </w:rPr>
            </w:pPr>
          </w:p>
          <w:p w:rsidR="004C3A82" w:rsidRPr="00E84D74" w:rsidRDefault="004C3A82" w:rsidP="00FC3840">
            <w:pPr>
              <w:autoSpaceDE w:val="0"/>
              <w:autoSpaceDN w:val="0"/>
              <w:adjustRightInd w:val="0"/>
              <w:jc w:val="both"/>
              <w:rPr>
                <w:sz w:val="18"/>
                <w:szCs w:val="18"/>
              </w:rPr>
            </w:pPr>
            <w:r w:rsidRPr="00E84D74">
              <w:rPr>
                <w:sz w:val="18"/>
                <w:szCs w:val="18"/>
              </w:rPr>
              <w:t>3. Subject to the requirements of periodic consultations pursuant to Article 26 and subject to approval</w:t>
            </w:r>
            <w:r w:rsidR="00663362" w:rsidRPr="00E84D74">
              <w:rPr>
                <w:sz w:val="18"/>
                <w:szCs w:val="18"/>
              </w:rPr>
              <w:t xml:space="preserve"> </w:t>
            </w:r>
            <w:r w:rsidRPr="00E84D74">
              <w:rPr>
                <w:sz w:val="18"/>
                <w:szCs w:val="18"/>
              </w:rPr>
              <w:t xml:space="preserve">in accordance with Article 41(6)(a) of Directive </w:t>
            </w:r>
            <w:r w:rsidR="00663362" w:rsidRPr="00E84D74">
              <w:rPr>
                <w:sz w:val="18"/>
                <w:szCs w:val="18"/>
              </w:rPr>
              <w:t xml:space="preserve"> </w:t>
            </w:r>
            <w:r w:rsidRPr="00E84D74">
              <w:rPr>
                <w:sz w:val="18"/>
                <w:szCs w:val="18"/>
              </w:rPr>
              <w:t>2009/73/EC, non-transmission services revenue may be</w:t>
            </w:r>
          </w:p>
          <w:p w:rsidR="004C3A82" w:rsidRPr="00E84D74" w:rsidRDefault="004C3A82" w:rsidP="00FC3840">
            <w:pPr>
              <w:jc w:val="both"/>
              <w:rPr>
                <w:b/>
                <w:sz w:val="18"/>
                <w:szCs w:val="18"/>
              </w:rPr>
            </w:pPr>
            <w:r w:rsidRPr="00E84D74">
              <w:rPr>
                <w:sz w:val="18"/>
                <w:szCs w:val="18"/>
              </w:rPr>
              <w:t>reconciled as set out in this Chapter, mutatis mutandis.</w:t>
            </w:r>
          </w:p>
        </w:tc>
      </w:tr>
      <w:tr w:rsidR="00D146AC" w:rsidRPr="00043955" w:rsidTr="00FC3840">
        <w:trPr>
          <w:trHeight w:val="1240"/>
        </w:trPr>
        <w:tc>
          <w:tcPr>
            <w:tcW w:w="5245" w:type="dxa"/>
          </w:tcPr>
          <w:p w:rsidR="00D146AC" w:rsidRPr="001177C4" w:rsidRDefault="00D146AC" w:rsidP="00DA725A">
            <w:pPr>
              <w:shd w:val="clear" w:color="auto" w:fill="FFFFFF"/>
              <w:jc w:val="center"/>
              <w:rPr>
                <w:b/>
                <w:i/>
                <w:iCs/>
                <w:sz w:val="18"/>
                <w:szCs w:val="18"/>
                <w:lang w:val="it-IT"/>
              </w:rPr>
            </w:pPr>
            <w:r w:rsidRPr="001177C4">
              <w:rPr>
                <w:b/>
                <w:i/>
                <w:iCs/>
                <w:sz w:val="18"/>
                <w:szCs w:val="18"/>
                <w:lang w:val="it-IT"/>
              </w:rPr>
              <w:lastRenderedPageBreak/>
              <w:t>Articolul 18</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Recuperarea parțială și recuperarea în exces</w:t>
            </w:r>
          </w:p>
          <w:p w:rsidR="00D146AC" w:rsidRPr="00043955" w:rsidRDefault="00D146AC" w:rsidP="00DA725A">
            <w:pPr>
              <w:shd w:val="clear" w:color="auto" w:fill="FFFFFF"/>
              <w:jc w:val="both"/>
              <w:rPr>
                <w:sz w:val="18"/>
                <w:szCs w:val="18"/>
              </w:rPr>
            </w:pPr>
            <w:r w:rsidRPr="00043955">
              <w:rPr>
                <w:sz w:val="18"/>
                <w:szCs w:val="18"/>
              </w:rPr>
              <w:t>(1)   Recuperarea parțială și recuperarea în exces a venitului aferent serviciilor de transport sunt egale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8"/>
              <w:gridCol w:w="4611"/>
            </w:tblGrid>
            <w:tr w:rsidR="00D146AC" w:rsidRPr="00043955" w:rsidTr="00B92DDC">
              <w:tc>
                <w:tcPr>
                  <w:tcW w:w="763"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8592" w:type="dxa"/>
                  <w:shd w:val="clear" w:color="auto" w:fill="FFFFFF"/>
                  <w:hideMark/>
                </w:tcPr>
                <w:p w:rsidR="001A4AB6" w:rsidRDefault="001A4AB6" w:rsidP="00DA725A">
                  <w:pPr>
                    <w:jc w:val="center"/>
                    <w:rPr>
                      <w:b/>
                      <w:sz w:val="18"/>
                      <w:szCs w:val="18"/>
                    </w:rPr>
                  </w:pPr>
                </w:p>
                <w:p w:rsidR="00D146AC" w:rsidRPr="001A4AB6" w:rsidRDefault="00D146AC" w:rsidP="00DA725A">
                  <w:pPr>
                    <w:jc w:val="center"/>
                    <w:rPr>
                      <w:b/>
                      <w:sz w:val="18"/>
                      <w:szCs w:val="18"/>
                    </w:rPr>
                  </w:pPr>
                  <w:r w:rsidRPr="001A4AB6">
                    <w:rPr>
                      <w:b/>
                      <w:sz w:val="18"/>
                      <w:szCs w:val="18"/>
                    </w:rPr>
                    <w:t>R</w:t>
                  </w:r>
                  <w:r w:rsidRPr="001A4AB6">
                    <w:rPr>
                      <w:b/>
                      <w:sz w:val="18"/>
                      <w:szCs w:val="18"/>
                      <w:vertAlign w:val="subscript"/>
                    </w:rPr>
                    <w:t>A</w:t>
                  </w:r>
                  <w:r w:rsidRPr="001A4AB6">
                    <w:rPr>
                      <w:b/>
                      <w:sz w:val="18"/>
                      <w:szCs w:val="18"/>
                    </w:rPr>
                    <w:t> – R</w:t>
                  </w:r>
                </w:p>
              </w:tc>
            </w:tr>
          </w:tbl>
          <w:p w:rsidR="008C73B5" w:rsidRDefault="008C73B5" w:rsidP="00DA725A">
            <w:pPr>
              <w:shd w:val="clear" w:color="auto" w:fill="FFFFFF"/>
              <w:jc w:val="both"/>
              <w:rPr>
                <w:sz w:val="18"/>
                <w:szCs w:val="18"/>
              </w:rPr>
            </w:pPr>
          </w:p>
          <w:p w:rsidR="00D146AC" w:rsidRPr="00043955" w:rsidRDefault="00D146AC" w:rsidP="00DA725A">
            <w:pPr>
              <w:shd w:val="clear" w:color="auto" w:fill="FFFFFF"/>
              <w:jc w:val="both"/>
              <w:rPr>
                <w:sz w:val="18"/>
                <w:szCs w:val="18"/>
              </w:rPr>
            </w:pPr>
            <w:r w:rsidRPr="00043955">
              <w:rPr>
                <w:sz w:val="18"/>
                <w:szCs w:val="18"/>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4981"/>
            </w:tblGrid>
            <w:tr w:rsidR="00D146AC" w:rsidRPr="00043955" w:rsidTr="00B92DDC">
              <w:tc>
                <w:tcPr>
                  <w:tcW w:w="73"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9282" w:type="dxa"/>
                  <w:shd w:val="clear" w:color="auto" w:fill="FFFFFF"/>
                  <w:hideMark/>
                </w:tcPr>
                <w:p w:rsidR="00D146AC" w:rsidRPr="00043955" w:rsidRDefault="00D146AC" w:rsidP="00DA725A">
                  <w:pPr>
                    <w:jc w:val="both"/>
                    <w:rPr>
                      <w:sz w:val="18"/>
                      <w:szCs w:val="18"/>
                    </w:rPr>
                  </w:pPr>
                  <w:r w:rsidRPr="00043955">
                    <w:rPr>
                      <w:sz w:val="18"/>
                      <w:szCs w:val="18"/>
                    </w:rPr>
                    <w:t>R</w:t>
                  </w:r>
                  <w:r w:rsidRPr="00043955">
                    <w:rPr>
                      <w:sz w:val="18"/>
                      <w:szCs w:val="18"/>
                      <w:vertAlign w:val="subscript"/>
                    </w:rPr>
                    <w:t>A</w:t>
                  </w:r>
                  <w:r w:rsidRPr="00043955">
                    <w:rPr>
                      <w:sz w:val="18"/>
                      <w:szCs w:val="18"/>
                    </w:rPr>
                    <w:t> este venitul obținut efectiv în legătură cu furnizarea serviciilor de transport;</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8"/>
              <w:gridCol w:w="4951"/>
            </w:tblGrid>
            <w:tr w:rsidR="00D146AC" w:rsidRPr="00043955" w:rsidTr="00B92DDC">
              <w:tc>
                <w:tcPr>
                  <w:tcW w:w="128"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9227" w:type="dxa"/>
                  <w:shd w:val="clear" w:color="auto" w:fill="FFFFFF"/>
                  <w:hideMark/>
                </w:tcPr>
                <w:p w:rsidR="00D146AC" w:rsidRPr="00043955" w:rsidRDefault="00D146AC" w:rsidP="00DA725A">
                  <w:pPr>
                    <w:jc w:val="both"/>
                    <w:rPr>
                      <w:sz w:val="18"/>
                      <w:szCs w:val="18"/>
                    </w:rPr>
                  </w:pPr>
                  <w:r w:rsidRPr="00043955">
                    <w:rPr>
                      <w:sz w:val="18"/>
                      <w:szCs w:val="18"/>
                    </w:rPr>
                    <w:t>R este venitul aferent serviciilor de transport.</w:t>
                  </w:r>
                </w:p>
              </w:tc>
            </w:tr>
          </w:tbl>
          <w:p w:rsidR="00D146AC" w:rsidRPr="00D82EE4" w:rsidRDefault="00D146AC" w:rsidP="00DA725A">
            <w:pPr>
              <w:shd w:val="clear" w:color="auto" w:fill="FFFFFF"/>
              <w:jc w:val="both"/>
              <w:rPr>
                <w:sz w:val="18"/>
                <w:szCs w:val="18"/>
                <w:lang w:val="it-IT"/>
              </w:rPr>
            </w:pPr>
            <w:r w:rsidRPr="00D82EE4">
              <w:rPr>
                <w:sz w:val="18"/>
                <w:szCs w:val="18"/>
                <w:lang w:val="it-IT"/>
              </w:rPr>
              <w:t>Valorile R</w:t>
            </w:r>
            <w:r w:rsidRPr="00D82EE4">
              <w:rPr>
                <w:sz w:val="18"/>
                <w:szCs w:val="18"/>
                <w:vertAlign w:val="subscript"/>
                <w:lang w:val="it-IT"/>
              </w:rPr>
              <w:t>A</w:t>
            </w:r>
            <w:r w:rsidRPr="00D82EE4">
              <w:rPr>
                <w:sz w:val="18"/>
                <w:szCs w:val="18"/>
                <w:lang w:val="it-IT"/>
              </w:rPr>
              <w:t> și R se atribuie aceleiași perioade tarifare și, în cazul în care este instituit un mecanism eficace de compensare între operatorii de transport și de sistem, precum cel menționat la articolul 10 alineatul (3), ele țin seama de acest mecanism.</w:t>
            </w:r>
          </w:p>
          <w:p w:rsidR="00D146AC" w:rsidRPr="00D82EE4" w:rsidRDefault="00D146AC" w:rsidP="00DA725A">
            <w:pPr>
              <w:shd w:val="clear" w:color="auto" w:fill="FFFFFF"/>
              <w:jc w:val="both"/>
              <w:rPr>
                <w:b/>
                <w:bCs/>
                <w:sz w:val="18"/>
                <w:szCs w:val="18"/>
                <w:lang w:val="it-IT"/>
              </w:rPr>
            </w:pPr>
            <w:r w:rsidRPr="00D82EE4">
              <w:rPr>
                <w:sz w:val="18"/>
                <w:szCs w:val="18"/>
                <w:lang w:val="it-IT"/>
              </w:rPr>
              <w:t>(2)   Dacă diferența calculată în conformitate cu alineatul (1) este pozitivă, ea indică o recuperare în exces a venitului aferent serviciilor de transport. Dacă diferența calculată în conformitate cu alineatul (1) este negativă, ea indică o recuperare parțială a venitului aferent serviciilor de transport.</w:t>
            </w:r>
          </w:p>
        </w:tc>
        <w:tc>
          <w:tcPr>
            <w:tcW w:w="4962" w:type="dxa"/>
          </w:tcPr>
          <w:p w:rsidR="00D146AC" w:rsidRPr="00043955" w:rsidRDefault="00D146AC" w:rsidP="00DA725A">
            <w:pPr>
              <w:jc w:val="center"/>
              <w:rPr>
                <w:b/>
                <w:sz w:val="18"/>
                <w:szCs w:val="18"/>
                <w:lang w:val="ro-RO"/>
              </w:rPr>
            </w:pPr>
            <w:r w:rsidRPr="00043955">
              <w:rPr>
                <w:b/>
                <w:sz w:val="18"/>
                <w:szCs w:val="18"/>
                <w:lang w:val="ro-RO"/>
              </w:rPr>
              <w:t>Secțiunea 2</w:t>
            </w:r>
          </w:p>
          <w:p w:rsidR="00D146AC" w:rsidRPr="00043955" w:rsidRDefault="00D146AC" w:rsidP="00DA725A">
            <w:pPr>
              <w:jc w:val="center"/>
              <w:rPr>
                <w:b/>
                <w:sz w:val="18"/>
                <w:szCs w:val="18"/>
                <w:lang w:val="ro-RO"/>
              </w:rPr>
            </w:pPr>
            <w:r w:rsidRPr="00043955">
              <w:rPr>
                <w:b/>
                <w:sz w:val="18"/>
                <w:szCs w:val="18"/>
                <w:lang w:val="ro-RO"/>
              </w:rPr>
              <w:t>Recuperarea parțială și recuperarea în exces</w:t>
            </w:r>
          </w:p>
          <w:p w:rsidR="00D146AC" w:rsidRPr="00043955" w:rsidRDefault="00D146AC" w:rsidP="00DA725A">
            <w:pPr>
              <w:jc w:val="center"/>
              <w:rPr>
                <w:b/>
                <w:sz w:val="18"/>
                <w:szCs w:val="18"/>
                <w:lang w:val="ro-RO"/>
              </w:rPr>
            </w:pP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374.</w:t>
            </w:r>
            <w:r w:rsidRPr="001772A4">
              <w:rPr>
                <w:sz w:val="18"/>
                <w:szCs w:val="18"/>
                <w:lang w:val="ro-RO"/>
              </w:rPr>
              <w:t xml:space="preserve"> Recuperarea parţială şi recuperarea în exces a venitului aferent serviciilor de transport sunt egale cu:</w:t>
            </w:r>
          </w:p>
          <w:p w:rsidR="001772A4" w:rsidRPr="001772A4" w:rsidRDefault="001772A4" w:rsidP="001772A4">
            <w:pPr>
              <w:tabs>
                <w:tab w:val="left" w:pos="567"/>
              </w:tabs>
              <w:jc w:val="both"/>
              <w:outlineLvl w:val="0"/>
              <w:rPr>
                <w:sz w:val="18"/>
                <w:szCs w:val="18"/>
                <w:lang w:val="ro-RO"/>
              </w:rPr>
            </w:pPr>
            <w:r w:rsidRPr="001772A4">
              <w:rPr>
                <w:sz w:val="18"/>
                <w:szCs w:val="18"/>
                <w:lang w:val="ro-RO"/>
              </w:rPr>
              <w:t> </w:t>
            </w:r>
          </w:p>
          <w:p w:rsidR="001772A4" w:rsidRPr="00670674" w:rsidRDefault="001772A4" w:rsidP="001772A4">
            <w:pPr>
              <w:tabs>
                <w:tab w:val="left" w:pos="567"/>
              </w:tabs>
              <w:jc w:val="center"/>
              <w:outlineLvl w:val="0"/>
              <w:rPr>
                <w:sz w:val="18"/>
                <w:szCs w:val="18"/>
                <w:lang w:val="ro-RO"/>
              </w:rPr>
            </w:pPr>
            <w:r w:rsidRPr="001772A4">
              <w:rPr>
                <w:b/>
                <w:bCs/>
                <w:sz w:val="18"/>
                <w:szCs w:val="18"/>
                <w:lang w:val="ro-RO"/>
              </w:rPr>
              <w:t>R</w:t>
            </w:r>
            <w:r w:rsidRPr="001772A4">
              <w:rPr>
                <w:b/>
                <w:bCs/>
                <w:sz w:val="18"/>
                <w:szCs w:val="18"/>
                <w:vertAlign w:val="subscript"/>
                <w:lang w:val="ro-RO"/>
              </w:rPr>
              <w:t>A</w:t>
            </w:r>
            <w:r w:rsidRPr="001772A4">
              <w:rPr>
                <w:b/>
                <w:bCs/>
                <w:sz w:val="18"/>
                <w:szCs w:val="18"/>
                <w:lang w:val="ro-RO"/>
              </w:rPr>
              <w:t xml:space="preserve"> – R</w:t>
            </w:r>
            <w:r w:rsidR="006C4B0E" w:rsidRPr="00670674">
              <w:rPr>
                <w:b/>
                <w:bCs/>
                <w:sz w:val="18"/>
                <w:szCs w:val="18"/>
                <w:lang w:val="ro-RO"/>
              </w:rPr>
              <w:t xml:space="preserve"> </w:t>
            </w:r>
          </w:p>
          <w:p w:rsidR="001772A4" w:rsidRPr="001772A4" w:rsidRDefault="001772A4" w:rsidP="001772A4">
            <w:pPr>
              <w:tabs>
                <w:tab w:val="left" w:pos="567"/>
              </w:tabs>
              <w:jc w:val="both"/>
              <w:outlineLvl w:val="0"/>
              <w:rPr>
                <w:sz w:val="18"/>
                <w:szCs w:val="18"/>
                <w:lang w:val="ro-RO"/>
              </w:rPr>
            </w:pPr>
            <w:r w:rsidRPr="001772A4">
              <w:rPr>
                <w:sz w:val="18"/>
                <w:szCs w:val="18"/>
                <w:lang w:val="ro-RO"/>
              </w:rPr>
              <w:t> </w:t>
            </w:r>
          </w:p>
          <w:p w:rsidR="001772A4" w:rsidRPr="001772A4" w:rsidRDefault="001772A4" w:rsidP="001772A4">
            <w:pPr>
              <w:tabs>
                <w:tab w:val="left" w:pos="567"/>
              </w:tabs>
              <w:jc w:val="both"/>
              <w:outlineLvl w:val="0"/>
              <w:rPr>
                <w:sz w:val="18"/>
                <w:szCs w:val="18"/>
                <w:lang w:val="ro-RO"/>
              </w:rPr>
            </w:pPr>
            <w:r w:rsidRPr="001772A4">
              <w:rPr>
                <w:sz w:val="18"/>
                <w:szCs w:val="18"/>
                <w:lang w:val="ro-RO"/>
              </w:rPr>
              <w:t>unde:</w:t>
            </w: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R</w:t>
            </w:r>
            <w:r w:rsidRPr="001772A4">
              <w:rPr>
                <w:b/>
                <w:bCs/>
                <w:sz w:val="18"/>
                <w:szCs w:val="18"/>
                <w:vertAlign w:val="subscript"/>
                <w:lang w:val="ro-RO"/>
              </w:rPr>
              <w:t>A</w:t>
            </w:r>
            <w:r w:rsidRPr="001772A4">
              <w:rPr>
                <w:sz w:val="18"/>
                <w:szCs w:val="18"/>
                <w:lang w:val="ro-RO"/>
              </w:rPr>
              <w:t xml:space="preserve"> – venitul efectiv obţinut în legătură cu prestarea serviciilor de transport;</w:t>
            </w: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 xml:space="preserve">R </w:t>
            </w:r>
            <w:r w:rsidRPr="001772A4">
              <w:rPr>
                <w:sz w:val="18"/>
                <w:szCs w:val="18"/>
                <w:lang w:val="ro-RO"/>
              </w:rPr>
              <w:t>– venitul aferent serviciilor de transport.</w:t>
            </w:r>
          </w:p>
          <w:p w:rsidR="001772A4" w:rsidRPr="001772A4" w:rsidRDefault="001772A4" w:rsidP="001772A4">
            <w:pPr>
              <w:tabs>
                <w:tab w:val="left" w:pos="567"/>
              </w:tabs>
              <w:jc w:val="both"/>
              <w:outlineLvl w:val="0"/>
              <w:rPr>
                <w:sz w:val="18"/>
                <w:szCs w:val="18"/>
                <w:lang w:val="ro-RO"/>
              </w:rPr>
            </w:pPr>
            <w:r w:rsidRPr="001772A4">
              <w:rPr>
                <w:sz w:val="18"/>
                <w:szCs w:val="18"/>
                <w:lang w:val="ro-RO"/>
              </w:rPr>
              <w:t>Valorile R</w:t>
            </w:r>
            <w:r w:rsidRPr="001772A4">
              <w:rPr>
                <w:sz w:val="18"/>
                <w:szCs w:val="18"/>
                <w:vertAlign w:val="subscript"/>
                <w:lang w:val="ro-RO"/>
              </w:rPr>
              <w:t>A</w:t>
            </w:r>
            <w:r w:rsidRPr="001772A4">
              <w:rPr>
                <w:sz w:val="18"/>
                <w:szCs w:val="18"/>
                <w:lang w:val="ro-RO"/>
              </w:rPr>
              <w:t xml:space="preserve"> şi R se atribuie aceleiaşi perioade tarifare şi, în cazul în care este instituit un mecanism eficace de compensare între OST, precum cel menţionat la pct.347 şi 348, ele iau în consideraţie acest mecanism.</w:t>
            </w: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375.</w:t>
            </w:r>
            <w:r w:rsidRPr="001772A4">
              <w:rPr>
                <w:sz w:val="18"/>
                <w:szCs w:val="18"/>
                <w:lang w:val="ro-RO"/>
              </w:rPr>
              <w:t xml:space="preserve"> Dacă diferenţa calculată în conformitate cu pct.374 este pozitivă, ea indică o recuperare în exces a venitului aferent serviciilor de transport. Dacă diferenţa calculată este negativă, ea indică o recuperare parţială a venitului aferent serviciilor de transport.</w:t>
            </w:r>
          </w:p>
          <w:p w:rsidR="00D146AC" w:rsidRPr="00043955" w:rsidRDefault="00D146AC" w:rsidP="00DA725A">
            <w:pPr>
              <w:tabs>
                <w:tab w:val="left" w:pos="567"/>
              </w:tabs>
              <w:jc w:val="both"/>
              <w:outlineLvl w:val="0"/>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AF0E15" w:rsidRDefault="00D146AC" w:rsidP="00DA725A">
            <w:pPr>
              <w:rPr>
                <w:sz w:val="18"/>
                <w:szCs w:val="18"/>
                <w:lang w:val="it-IT"/>
              </w:rPr>
            </w:pPr>
          </w:p>
          <w:p w:rsidR="00D146AC" w:rsidRPr="00AF0E15" w:rsidRDefault="00D146AC" w:rsidP="00DA725A">
            <w:pPr>
              <w:rPr>
                <w:sz w:val="18"/>
                <w:szCs w:val="18"/>
                <w:lang w:val="it-IT"/>
              </w:rPr>
            </w:pPr>
          </w:p>
          <w:p w:rsidR="00D146AC" w:rsidRPr="00AF0E15" w:rsidRDefault="00D146AC" w:rsidP="00DA725A">
            <w:pPr>
              <w:rPr>
                <w:sz w:val="18"/>
                <w:szCs w:val="18"/>
                <w:lang w:val="it-IT"/>
              </w:rPr>
            </w:pPr>
          </w:p>
          <w:p w:rsidR="00D146AC" w:rsidRPr="00AF0E15" w:rsidRDefault="00D146AC" w:rsidP="00DA725A">
            <w:pPr>
              <w:rPr>
                <w:sz w:val="18"/>
                <w:szCs w:val="18"/>
                <w:lang w:val="it-IT"/>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1177C4" w:rsidRPr="00E84D74" w:rsidRDefault="001177C4" w:rsidP="00FC3840">
            <w:pPr>
              <w:autoSpaceDE w:val="0"/>
              <w:autoSpaceDN w:val="0"/>
              <w:adjustRightInd w:val="0"/>
              <w:jc w:val="both"/>
              <w:rPr>
                <w:b/>
                <w:bCs/>
                <w:i/>
                <w:iCs/>
                <w:sz w:val="18"/>
                <w:szCs w:val="18"/>
              </w:rPr>
            </w:pPr>
            <w:r w:rsidRPr="00E84D74">
              <w:rPr>
                <w:b/>
                <w:bCs/>
                <w:i/>
                <w:iCs/>
                <w:sz w:val="18"/>
                <w:szCs w:val="18"/>
              </w:rPr>
              <w:t>Article 18</w:t>
            </w:r>
          </w:p>
          <w:p w:rsidR="00D146AC" w:rsidRPr="00E84D74" w:rsidRDefault="001177C4" w:rsidP="00FC3840">
            <w:pPr>
              <w:jc w:val="both"/>
              <w:rPr>
                <w:b/>
                <w:bCs/>
                <w:sz w:val="18"/>
                <w:szCs w:val="18"/>
              </w:rPr>
            </w:pPr>
            <w:r w:rsidRPr="00E84D74">
              <w:rPr>
                <w:b/>
                <w:bCs/>
                <w:sz w:val="18"/>
                <w:szCs w:val="18"/>
              </w:rPr>
              <w:t>Under- and over-recovery</w:t>
            </w:r>
          </w:p>
          <w:p w:rsidR="001177C4" w:rsidRPr="00E84D74" w:rsidRDefault="001177C4" w:rsidP="00FC3840">
            <w:pPr>
              <w:jc w:val="both"/>
              <w:rPr>
                <w:b/>
                <w:bCs/>
                <w:sz w:val="18"/>
                <w:szCs w:val="18"/>
              </w:rPr>
            </w:pPr>
          </w:p>
          <w:p w:rsidR="001177C4" w:rsidRPr="00E84D74" w:rsidRDefault="001177C4" w:rsidP="00FC3840">
            <w:pPr>
              <w:autoSpaceDE w:val="0"/>
              <w:autoSpaceDN w:val="0"/>
              <w:adjustRightInd w:val="0"/>
              <w:jc w:val="both"/>
              <w:rPr>
                <w:sz w:val="18"/>
                <w:szCs w:val="18"/>
              </w:rPr>
            </w:pPr>
            <w:r w:rsidRPr="00E84D74">
              <w:rPr>
                <w:sz w:val="18"/>
                <w:szCs w:val="18"/>
              </w:rPr>
              <w:t>The under- or over-recovery of the transmission services revenue shall be equal to:</w:t>
            </w:r>
          </w:p>
          <w:p w:rsidR="003A54FD" w:rsidRPr="00E84D74" w:rsidRDefault="003A54FD" w:rsidP="00FC3840">
            <w:pPr>
              <w:autoSpaceDE w:val="0"/>
              <w:autoSpaceDN w:val="0"/>
              <w:adjustRightInd w:val="0"/>
              <w:jc w:val="both"/>
              <w:rPr>
                <w:b/>
                <w:bCs/>
                <w:sz w:val="18"/>
                <w:szCs w:val="18"/>
              </w:rPr>
            </w:pPr>
          </w:p>
          <w:p w:rsidR="001177C4" w:rsidRPr="00E84D74" w:rsidRDefault="001177C4" w:rsidP="00FC3840">
            <w:pPr>
              <w:autoSpaceDE w:val="0"/>
              <w:autoSpaceDN w:val="0"/>
              <w:adjustRightInd w:val="0"/>
              <w:jc w:val="both"/>
              <w:rPr>
                <w:b/>
                <w:bCs/>
                <w:sz w:val="18"/>
                <w:szCs w:val="18"/>
              </w:rPr>
            </w:pPr>
            <w:r w:rsidRPr="00E84D74">
              <w:rPr>
                <w:b/>
                <w:bCs/>
                <w:sz w:val="18"/>
                <w:szCs w:val="18"/>
              </w:rPr>
              <w:t>RA – R</w:t>
            </w:r>
          </w:p>
          <w:p w:rsidR="001177C4" w:rsidRPr="00E84D74" w:rsidRDefault="001177C4" w:rsidP="00FC3840">
            <w:pPr>
              <w:autoSpaceDE w:val="0"/>
              <w:autoSpaceDN w:val="0"/>
              <w:adjustRightInd w:val="0"/>
              <w:jc w:val="both"/>
              <w:rPr>
                <w:i/>
                <w:iCs/>
                <w:sz w:val="18"/>
                <w:szCs w:val="18"/>
              </w:rPr>
            </w:pPr>
            <w:r w:rsidRPr="00E84D74">
              <w:rPr>
                <w:i/>
                <w:iCs/>
                <w:sz w:val="18"/>
                <w:szCs w:val="18"/>
              </w:rPr>
              <w:t>Where:</w:t>
            </w:r>
          </w:p>
          <w:p w:rsidR="001177C4" w:rsidRPr="00E84D74" w:rsidRDefault="001177C4" w:rsidP="00FC3840">
            <w:pPr>
              <w:autoSpaceDE w:val="0"/>
              <w:autoSpaceDN w:val="0"/>
              <w:adjustRightInd w:val="0"/>
              <w:jc w:val="both"/>
              <w:rPr>
                <w:sz w:val="18"/>
                <w:szCs w:val="18"/>
              </w:rPr>
            </w:pPr>
            <w:r w:rsidRPr="00E84D74">
              <w:rPr>
                <w:b/>
                <w:bCs/>
                <w:sz w:val="18"/>
                <w:szCs w:val="18"/>
              </w:rPr>
              <w:t xml:space="preserve">RA </w:t>
            </w:r>
            <w:r w:rsidRPr="00E84D74">
              <w:rPr>
                <w:sz w:val="18"/>
                <w:szCs w:val="18"/>
              </w:rPr>
              <w:t>is the actually obtained revenue related to the provision of transmission services;</w:t>
            </w:r>
          </w:p>
          <w:p w:rsidR="001177C4" w:rsidRPr="00E84D74" w:rsidRDefault="001177C4" w:rsidP="00FC3840">
            <w:pPr>
              <w:autoSpaceDE w:val="0"/>
              <w:autoSpaceDN w:val="0"/>
              <w:adjustRightInd w:val="0"/>
              <w:jc w:val="both"/>
              <w:rPr>
                <w:sz w:val="18"/>
                <w:szCs w:val="18"/>
              </w:rPr>
            </w:pPr>
            <w:r w:rsidRPr="00E84D74">
              <w:rPr>
                <w:b/>
                <w:bCs/>
                <w:sz w:val="18"/>
                <w:szCs w:val="18"/>
              </w:rPr>
              <w:t xml:space="preserve">R </w:t>
            </w:r>
            <w:r w:rsidRPr="00E84D74">
              <w:rPr>
                <w:sz w:val="18"/>
                <w:szCs w:val="18"/>
              </w:rPr>
              <w:t>is the transmission services revenue. The values of RA and R shall be attributed to the same tariff period</w:t>
            </w:r>
          </w:p>
          <w:p w:rsidR="001177C4" w:rsidRPr="00E84D74" w:rsidRDefault="001177C4" w:rsidP="00FC3840">
            <w:pPr>
              <w:autoSpaceDE w:val="0"/>
              <w:autoSpaceDN w:val="0"/>
              <w:adjustRightInd w:val="0"/>
              <w:jc w:val="both"/>
              <w:rPr>
                <w:sz w:val="18"/>
                <w:szCs w:val="18"/>
              </w:rPr>
            </w:pPr>
            <w:r w:rsidRPr="00E84D74">
              <w:rPr>
                <w:sz w:val="18"/>
                <w:szCs w:val="18"/>
              </w:rPr>
              <w:t>and, where an effective inter-transmission system operator compensation mechanism referred to in Article</w:t>
            </w:r>
          </w:p>
          <w:p w:rsidR="001177C4" w:rsidRPr="00E84D74" w:rsidRDefault="001177C4" w:rsidP="00FC3840">
            <w:pPr>
              <w:autoSpaceDE w:val="0"/>
              <w:autoSpaceDN w:val="0"/>
              <w:adjustRightInd w:val="0"/>
              <w:jc w:val="both"/>
              <w:rPr>
                <w:sz w:val="18"/>
                <w:szCs w:val="18"/>
              </w:rPr>
            </w:pPr>
            <w:r w:rsidRPr="00E84D74">
              <w:rPr>
                <w:sz w:val="18"/>
                <w:szCs w:val="18"/>
              </w:rPr>
              <w:t>10(3) is established, shall take such mechanism into account.</w:t>
            </w:r>
          </w:p>
          <w:p w:rsidR="0039303B" w:rsidRPr="00E84D74" w:rsidRDefault="0039303B" w:rsidP="00FC3840">
            <w:pPr>
              <w:autoSpaceDE w:val="0"/>
              <w:autoSpaceDN w:val="0"/>
              <w:adjustRightInd w:val="0"/>
              <w:jc w:val="both"/>
              <w:rPr>
                <w:sz w:val="18"/>
                <w:szCs w:val="18"/>
              </w:rPr>
            </w:pPr>
          </w:p>
          <w:p w:rsidR="001177C4" w:rsidRPr="00E84D74" w:rsidRDefault="001177C4" w:rsidP="00FC3840">
            <w:pPr>
              <w:autoSpaceDE w:val="0"/>
              <w:autoSpaceDN w:val="0"/>
              <w:adjustRightInd w:val="0"/>
              <w:jc w:val="both"/>
              <w:rPr>
                <w:sz w:val="18"/>
                <w:szCs w:val="18"/>
              </w:rPr>
            </w:pPr>
            <w:r w:rsidRPr="00E84D74">
              <w:rPr>
                <w:sz w:val="18"/>
                <w:szCs w:val="18"/>
              </w:rPr>
              <w:t>Where the difference calculated in accordance with paragraph 1 is positive, it shall indicate an over-recovery</w:t>
            </w:r>
          </w:p>
          <w:p w:rsidR="001177C4" w:rsidRPr="00E84D74" w:rsidRDefault="001177C4" w:rsidP="00FC3840">
            <w:pPr>
              <w:autoSpaceDE w:val="0"/>
              <w:autoSpaceDN w:val="0"/>
              <w:adjustRightInd w:val="0"/>
              <w:jc w:val="both"/>
              <w:rPr>
                <w:b/>
                <w:sz w:val="18"/>
                <w:szCs w:val="18"/>
              </w:rPr>
            </w:pPr>
            <w:r w:rsidRPr="00E84D74">
              <w:rPr>
                <w:sz w:val="18"/>
                <w:szCs w:val="18"/>
              </w:rPr>
              <w:t>of the transmission services revenue. Where such difference is negative, it shall indicate an under-recovery of the transmission services revenue.</w:t>
            </w:r>
          </w:p>
        </w:tc>
      </w:tr>
      <w:tr w:rsidR="00D146AC" w:rsidRPr="00043955" w:rsidTr="00FC3840">
        <w:trPr>
          <w:trHeight w:val="1240"/>
        </w:trPr>
        <w:tc>
          <w:tcPr>
            <w:tcW w:w="5245" w:type="dxa"/>
          </w:tcPr>
          <w:p w:rsidR="00D146AC" w:rsidRPr="00933778" w:rsidRDefault="00D146AC" w:rsidP="00933778">
            <w:pPr>
              <w:shd w:val="clear" w:color="auto" w:fill="FFFFFF"/>
              <w:jc w:val="center"/>
              <w:rPr>
                <w:b/>
                <w:i/>
                <w:iCs/>
                <w:sz w:val="18"/>
                <w:szCs w:val="18"/>
                <w:lang w:val="it-IT"/>
              </w:rPr>
            </w:pPr>
            <w:r w:rsidRPr="00933778">
              <w:rPr>
                <w:b/>
                <w:i/>
                <w:iCs/>
                <w:sz w:val="18"/>
                <w:szCs w:val="18"/>
                <w:lang w:val="it-IT"/>
              </w:rPr>
              <w:lastRenderedPageBreak/>
              <w:t>Articolul 19</w:t>
            </w:r>
          </w:p>
          <w:p w:rsidR="00D146AC" w:rsidRPr="00D82EE4" w:rsidRDefault="00D146AC" w:rsidP="00933778">
            <w:pPr>
              <w:shd w:val="clear" w:color="auto" w:fill="FFFFFF"/>
              <w:jc w:val="center"/>
              <w:rPr>
                <w:b/>
                <w:bCs/>
                <w:sz w:val="18"/>
                <w:szCs w:val="18"/>
                <w:lang w:val="it-IT"/>
              </w:rPr>
            </w:pPr>
            <w:r w:rsidRPr="00D82EE4">
              <w:rPr>
                <w:b/>
                <w:bCs/>
                <w:sz w:val="18"/>
                <w:szCs w:val="18"/>
                <w:lang w:val="it-IT"/>
              </w:rPr>
              <w:t>Contul de regularizare</w:t>
            </w:r>
          </w:p>
          <w:p w:rsidR="00D146AC" w:rsidRPr="00D82EE4" w:rsidRDefault="00D146AC" w:rsidP="00DA725A">
            <w:pPr>
              <w:shd w:val="clear" w:color="auto" w:fill="FFFFFF"/>
              <w:jc w:val="both"/>
              <w:rPr>
                <w:sz w:val="18"/>
                <w:szCs w:val="18"/>
                <w:lang w:val="it-IT"/>
              </w:rPr>
            </w:pPr>
            <w:r w:rsidRPr="00D82EE4">
              <w:rPr>
                <w:sz w:val="18"/>
                <w:szCs w:val="18"/>
                <w:lang w:val="it-IT"/>
              </w:rPr>
              <w:t>(1)   Contul de regularizare indică informațiile menționate la articolul 18 alineatul (1) pentru o anumită perioadă tarifară și poate include alte informații, cum ar fi diferența dintre elementele de cost anticipate și cele reale.</w:t>
            </w:r>
          </w:p>
          <w:p w:rsidR="00D146AC" w:rsidRDefault="00D146AC" w:rsidP="00DA725A">
            <w:pPr>
              <w:shd w:val="clear" w:color="auto" w:fill="FFFFFF"/>
              <w:jc w:val="both"/>
              <w:rPr>
                <w:sz w:val="18"/>
                <w:szCs w:val="18"/>
                <w:lang w:val="it-IT"/>
              </w:rPr>
            </w:pPr>
            <w:r w:rsidRPr="00D82EE4">
              <w:rPr>
                <w:sz w:val="18"/>
                <w:szCs w:val="18"/>
                <w:lang w:val="it-IT"/>
              </w:rPr>
              <w:t>(2)   Recuperarea parțială sau recuperarea în exces de către operatorul de transport și de sistem a venitului aferent serviciilor de transport se atribuie contului de regularizare, cu excepția cazului în care au fost adoptate alte norme în conformitate cu articolul 41 alineatul (6) litera (a) din Directiva 2009/73/CE.</w:t>
            </w:r>
          </w:p>
          <w:p w:rsidR="00D75606" w:rsidRPr="00D82EE4" w:rsidRDefault="00D75606"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În cazul în care sunt implementate mecanisme de stimulare pentru vânzările de capacitate, sub rezerva unei decizii în conformitate cu articolul 41 alineatul (6) litera (a) din Directiva 2009/73/CE, numai o parte a recuperării parțiale sau în exces efectuate de operatorul de transport și de sistem se atribuie contului de regularizare. În acest caz, partea restantă a recuperării respective trebuie păstrată sau plătită, după caz, de operatorul de transport și de sistem.</w:t>
            </w:r>
          </w:p>
          <w:p w:rsidR="00043DC5" w:rsidRPr="00D82EE4" w:rsidRDefault="00043DC5"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(4)   Fiecare operator de transport și de sistem utilizează un singur cont de regularizare.</w:t>
            </w:r>
          </w:p>
          <w:p w:rsidR="00D146AC" w:rsidRPr="00D82EE4" w:rsidRDefault="00D146AC" w:rsidP="00DA725A">
            <w:pPr>
              <w:shd w:val="clear" w:color="auto" w:fill="FFFFFF"/>
              <w:jc w:val="both"/>
              <w:rPr>
                <w:b/>
                <w:bCs/>
                <w:sz w:val="18"/>
                <w:szCs w:val="18"/>
                <w:lang w:val="it-IT"/>
              </w:rPr>
            </w:pPr>
            <w:r w:rsidRPr="00D82EE4">
              <w:rPr>
                <w:sz w:val="18"/>
                <w:szCs w:val="18"/>
                <w:lang w:val="it-IT"/>
              </w:rPr>
              <w:t>(5)   Sub rezerva unei decizii în conformitate cu articolul 41 alineatul (6) litera (a) din Directiva 2009/73/CE, prima de licitație câștigată, dacă este cazul, poate fi atribuită unui cont special separat de contul de regularizare menționat la alineatul (4). Autoritatea națională de reglementare poate decide să utilizeze această primă de licitație pentru reducerea congestiei fizice sau, dacă operatorul de transport și de sistem funcționează numai în cadrul unui regim de tarifare fără plafonarea prețului, să scadă tarifele de transport pentru următoarea (următoarele) perioadă (perioade) tarifară (tarifare), în conformitate cu articolul 20.</w:t>
            </w:r>
          </w:p>
        </w:tc>
        <w:tc>
          <w:tcPr>
            <w:tcW w:w="4962" w:type="dxa"/>
          </w:tcPr>
          <w:p w:rsidR="00D146AC" w:rsidRPr="00043955" w:rsidRDefault="00D146AC" w:rsidP="00DA725A">
            <w:pPr>
              <w:jc w:val="center"/>
              <w:rPr>
                <w:b/>
                <w:sz w:val="18"/>
                <w:szCs w:val="18"/>
                <w:lang w:val="ro-RO"/>
              </w:rPr>
            </w:pPr>
            <w:r w:rsidRPr="00043955">
              <w:rPr>
                <w:b/>
                <w:sz w:val="18"/>
                <w:szCs w:val="18"/>
                <w:lang w:val="ro-RO"/>
              </w:rPr>
              <w:t>Secțiunea 3</w:t>
            </w:r>
          </w:p>
          <w:p w:rsidR="00D146AC" w:rsidRPr="00043955" w:rsidRDefault="00D146AC" w:rsidP="00DA725A">
            <w:pPr>
              <w:jc w:val="center"/>
              <w:rPr>
                <w:b/>
                <w:sz w:val="18"/>
                <w:szCs w:val="18"/>
                <w:lang w:val="ro-RO"/>
              </w:rPr>
            </w:pPr>
            <w:r w:rsidRPr="00043955">
              <w:rPr>
                <w:b/>
                <w:sz w:val="18"/>
                <w:szCs w:val="18"/>
                <w:lang w:val="ro-RO"/>
              </w:rPr>
              <w:t>Contul de reglementare</w:t>
            </w:r>
          </w:p>
          <w:p w:rsidR="00521C6E" w:rsidRPr="00521C6E" w:rsidRDefault="00521C6E" w:rsidP="00521C6E">
            <w:pPr>
              <w:tabs>
                <w:tab w:val="left" w:pos="851"/>
              </w:tabs>
              <w:jc w:val="both"/>
              <w:outlineLvl w:val="0"/>
              <w:rPr>
                <w:sz w:val="18"/>
                <w:szCs w:val="18"/>
                <w:lang w:val="ro-RO"/>
              </w:rPr>
            </w:pPr>
            <w:r w:rsidRPr="00521C6E">
              <w:rPr>
                <w:b/>
                <w:bCs/>
                <w:sz w:val="18"/>
                <w:szCs w:val="18"/>
                <w:lang w:val="ro-RO"/>
              </w:rPr>
              <w:t>376.</w:t>
            </w:r>
            <w:r w:rsidRPr="00521C6E">
              <w:rPr>
                <w:sz w:val="18"/>
                <w:szCs w:val="18"/>
                <w:lang w:val="ro-RO"/>
              </w:rPr>
              <w:t xml:space="preserve"> Contul de regularizare indică informaţiile menţionate la pct.374 pentru o anumită perioadă tarifară şi poate include alte informaţii, cum ar fi diferenţa dintre elementele de cost anticipate şi cele reale.</w:t>
            </w:r>
          </w:p>
          <w:p w:rsidR="00521C6E" w:rsidRPr="00521C6E" w:rsidRDefault="00521C6E" w:rsidP="00521C6E">
            <w:pPr>
              <w:tabs>
                <w:tab w:val="left" w:pos="851"/>
              </w:tabs>
              <w:jc w:val="both"/>
              <w:outlineLvl w:val="0"/>
              <w:rPr>
                <w:sz w:val="18"/>
                <w:szCs w:val="18"/>
                <w:lang w:val="ro-RO"/>
              </w:rPr>
            </w:pPr>
            <w:r w:rsidRPr="00521C6E">
              <w:rPr>
                <w:sz w:val="18"/>
                <w:szCs w:val="18"/>
                <w:lang w:val="ro-RO"/>
              </w:rPr>
              <w:t> </w:t>
            </w:r>
          </w:p>
          <w:p w:rsidR="00521C6E" w:rsidRPr="00521C6E" w:rsidRDefault="00521C6E" w:rsidP="00521C6E">
            <w:pPr>
              <w:tabs>
                <w:tab w:val="left" w:pos="851"/>
              </w:tabs>
              <w:jc w:val="both"/>
              <w:outlineLvl w:val="0"/>
              <w:rPr>
                <w:sz w:val="18"/>
                <w:szCs w:val="18"/>
                <w:lang w:val="ro-RO"/>
              </w:rPr>
            </w:pPr>
            <w:r w:rsidRPr="00521C6E">
              <w:rPr>
                <w:b/>
                <w:bCs/>
                <w:sz w:val="18"/>
                <w:szCs w:val="18"/>
                <w:lang w:val="ro-RO"/>
              </w:rPr>
              <w:t>377.</w:t>
            </w:r>
            <w:r w:rsidRPr="00521C6E">
              <w:rPr>
                <w:sz w:val="18"/>
                <w:szCs w:val="18"/>
                <w:lang w:val="ro-RO"/>
              </w:rPr>
              <w:t xml:space="preserve"> Recuperarea parţială sau recuperarea în exces de către OST a venitului aferent serviciilor de transport se atribuie contului de regularizare, cu excepţia cazului în care au fost adoptate alte norme de către Agenţie.</w:t>
            </w:r>
          </w:p>
          <w:p w:rsidR="00521C6E" w:rsidRPr="00521C6E" w:rsidRDefault="00521C6E" w:rsidP="00521C6E">
            <w:pPr>
              <w:tabs>
                <w:tab w:val="left" w:pos="851"/>
              </w:tabs>
              <w:jc w:val="both"/>
              <w:outlineLvl w:val="0"/>
              <w:rPr>
                <w:sz w:val="18"/>
                <w:szCs w:val="18"/>
                <w:lang w:val="ro-RO"/>
              </w:rPr>
            </w:pPr>
            <w:r w:rsidRPr="00521C6E">
              <w:rPr>
                <w:sz w:val="18"/>
                <w:szCs w:val="18"/>
                <w:lang w:val="ro-RO"/>
              </w:rPr>
              <w:t> </w:t>
            </w:r>
          </w:p>
          <w:p w:rsidR="00521C6E" w:rsidRDefault="00521C6E" w:rsidP="00521C6E">
            <w:pPr>
              <w:tabs>
                <w:tab w:val="left" w:pos="851"/>
              </w:tabs>
              <w:jc w:val="both"/>
              <w:outlineLvl w:val="0"/>
              <w:rPr>
                <w:sz w:val="18"/>
                <w:szCs w:val="18"/>
                <w:lang w:val="ro-RO"/>
              </w:rPr>
            </w:pPr>
            <w:r w:rsidRPr="00521C6E">
              <w:rPr>
                <w:b/>
                <w:bCs/>
                <w:sz w:val="18"/>
                <w:szCs w:val="18"/>
                <w:lang w:val="ro-RO"/>
              </w:rPr>
              <w:t>378.</w:t>
            </w:r>
            <w:r w:rsidRPr="00521C6E">
              <w:rPr>
                <w:sz w:val="18"/>
                <w:szCs w:val="18"/>
                <w:lang w:val="ro-RO"/>
              </w:rPr>
              <w:t xml:space="preserve"> În cazul în care sunt implementate mecanisme de stimulare pentru vânzările de capacitate, în baza unei Hotărâri aprobate de către Agenţie, numai o parte a recuperării parţiale sau în exces efectuate de OST se atribuie contului de regularizare. În acest caz, suma restantă a recuperării respective trebuie păstrată sau plătită, după caz, de OST.</w:t>
            </w:r>
          </w:p>
          <w:p w:rsidR="00043DC5" w:rsidRDefault="00521C6E" w:rsidP="00521C6E">
            <w:pPr>
              <w:tabs>
                <w:tab w:val="left" w:pos="851"/>
              </w:tabs>
              <w:jc w:val="both"/>
              <w:outlineLvl w:val="0"/>
              <w:rPr>
                <w:sz w:val="18"/>
                <w:szCs w:val="18"/>
                <w:lang w:val="ro-RO"/>
              </w:rPr>
            </w:pPr>
            <w:r w:rsidRPr="00521C6E">
              <w:rPr>
                <w:sz w:val="18"/>
                <w:szCs w:val="18"/>
                <w:lang w:val="ro-RO"/>
              </w:rPr>
              <w:t> </w:t>
            </w:r>
          </w:p>
          <w:p w:rsidR="00043DC5" w:rsidRDefault="00043DC5" w:rsidP="00521C6E">
            <w:pPr>
              <w:tabs>
                <w:tab w:val="left" w:pos="851"/>
              </w:tabs>
              <w:jc w:val="both"/>
              <w:outlineLvl w:val="0"/>
              <w:rPr>
                <w:sz w:val="18"/>
                <w:szCs w:val="18"/>
                <w:lang w:val="ro-RO"/>
              </w:rPr>
            </w:pPr>
          </w:p>
          <w:p w:rsidR="00521C6E" w:rsidRPr="00521C6E" w:rsidRDefault="00521C6E" w:rsidP="00521C6E">
            <w:pPr>
              <w:tabs>
                <w:tab w:val="left" w:pos="851"/>
              </w:tabs>
              <w:jc w:val="both"/>
              <w:outlineLvl w:val="0"/>
              <w:rPr>
                <w:sz w:val="18"/>
                <w:szCs w:val="18"/>
                <w:lang w:val="ro-RO"/>
              </w:rPr>
            </w:pPr>
            <w:r w:rsidRPr="00521C6E">
              <w:rPr>
                <w:b/>
                <w:bCs/>
                <w:sz w:val="18"/>
                <w:szCs w:val="18"/>
                <w:lang w:val="ro-RO"/>
              </w:rPr>
              <w:t>379.</w:t>
            </w:r>
            <w:r w:rsidRPr="00521C6E">
              <w:rPr>
                <w:sz w:val="18"/>
                <w:szCs w:val="18"/>
                <w:lang w:val="ro-RO"/>
              </w:rPr>
              <w:t xml:space="preserve"> Fiecare OST utilizează un singur cont de regularizare.</w:t>
            </w:r>
          </w:p>
          <w:p w:rsidR="00521C6E" w:rsidRDefault="00521C6E" w:rsidP="00521C6E">
            <w:pPr>
              <w:tabs>
                <w:tab w:val="left" w:pos="851"/>
              </w:tabs>
              <w:jc w:val="both"/>
              <w:outlineLvl w:val="0"/>
              <w:rPr>
                <w:sz w:val="18"/>
                <w:szCs w:val="18"/>
                <w:lang w:val="ro-RO"/>
              </w:rPr>
            </w:pPr>
            <w:r w:rsidRPr="00521C6E">
              <w:rPr>
                <w:sz w:val="18"/>
                <w:szCs w:val="18"/>
                <w:lang w:val="ro-RO"/>
              </w:rPr>
              <w:t> </w:t>
            </w:r>
          </w:p>
          <w:p w:rsidR="00D146AC" w:rsidRPr="00043955" w:rsidRDefault="00521C6E" w:rsidP="00521C6E">
            <w:pPr>
              <w:tabs>
                <w:tab w:val="left" w:pos="851"/>
              </w:tabs>
              <w:jc w:val="both"/>
              <w:outlineLvl w:val="0"/>
              <w:rPr>
                <w:b/>
                <w:bCs/>
                <w:sz w:val="18"/>
                <w:szCs w:val="18"/>
                <w:lang w:val="ro-RO"/>
              </w:rPr>
            </w:pPr>
            <w:r w:rsidRPr="00521C6E">
              <w:rPr>
                <w:b/>
                <w:bCs/>
                <w:sz w:val="18"/>
                <w:szCs w:val="18"/>
                <w:lang w:val="ro-RO"/>
              </w:rPr>
              <w:t>380.</w:t>
            </w:r>
            <w:r w:rsidRPr="00521C6E">
              <w:rPr>
                <w:sz w:val="18"/>
                <w:szCs w:val="18"/>
                <w:lang w:val="ro-RO"/>
              </w:rPr>
              <w:t xml:space="preserve"> Prima de licitaţie câştigată, după caz, poate fi atribuită unui cont special separat de contul de regularizare menţionat la pct.379 în conformitate cu decizia Agenţiei. Agenţia poate decide să utilizeze această primă de licitaţie pentru reducerea congestiei fizice sau, dacă OST activează numai în cadrul unui regim tarifar fără plafonarea preţului, să reducă tarifele pentru serviciul de transport pentru următoarea perioadă (perioade) tarifară, în conformitate cu pct.381-383.</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B21E30" w:rsidRDefault="00D146AC" w:rsidP="00DA725A">
            <w:pPr>
              <w:rPr>
                <w:sz w:val="18"/>
                <w:szCs w:val="18"/>
                <w:lang w:val="it-IT"/>
              </w:rPr>
            </w:pPr>
            <w:r w:rsidRPr="00B21E30">
              <w:rPr>
                <w:sz w:val="18"/>
                <w:szCs w:val="18"/>
                <w:lang w:val="it-IT"/>
              </w:rPr>
              <w:t>Compatibil</w:t>
            </w: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p w:rsidR="000563D8" w:rsidRDefault="000563D8" w:rsidP="00DA725A">
            <w:pPr>
              <w:jc w:val="both"/>
              <w:rPr>
                <w:b/>
                <w:sz w:val="18"/>
                <w:szCs w:val="18"/>
                <w:lang w:val="it-IT"/>
              </w:rPr>
            </w:pPr>
          </w:p>
          <w:p w:rsidR="00B21E30" w:rsidRPr="00B21E30" w:rsidRDefault="00B21E30" w:rsidP="00DA725A">
            <w:pPr>
              <w:jc w:val="both"/>
              <w:rPr>
                <w:b/>
                <w:sz w:val="18"/>
                <w:szCs w:val="18"/>
                <w:lang w:val="it-IT"/>
              </w:rPr>
            </w:pPr>
          </w:p>
          <w:p w:rsidR="00D146AC" w:rsidRPr="00B21E30" w:rsidRDefault="00D146AC" w:rsidP="00DA725A">
            <w:pPr>
              <w:rPr>
                <w:sz w:val="18"/>
                <w:szCs w:val="18"/>
                <w:lang w:val="it-IT"/>
              </w:rPr>
            </w:pPr>
            <w:r w:rsidRPr="00B21E30">
              <w:rPr>
                <w:sz w:val="18"/>
                <w:szCs w:val="18"/>
                <w:lang w:val="it-IT"/>
              </w:rPr>
              <w:t>Compatibil</w:t>
            </w: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p w:rsidR="005845F8" w:rsidRPr="00B21E30" w:rsidRDefault="005845F8" w:rsidP="00DA725A">
            <w:pPr>
              <w:jc w:val="both"/>
              <w:rPr>
                <w:b/>
                <w:sz w:val="18"/>
                <w:szCs w:val="18"/>
                <w:lang w:val="it-IT"/>
              </w:rPr>
            </w:pPr>
          </w:p>
          <w:p w:rsidR="005845F8" w:rsidRDefault="005845F8" w:rsidP="00DA725A">
            <w:pPr>
              <w:jc w:val="both"/>
              <w:rPr>
                <w:b/>
                <w:sz w:val="18"/>
                <w:szCs w:val="18"/>
                <w:lang w:val="it-IT"/>
              </w:rPr>
            </w:pPr>
          </w:p>
          <w:p w:rsidR="00AC425B" w:rsidRDefault="00AC425B" w:rsidP="00DA725A">
            <w:pPr>
              <w:jc w:val="both"/>
              <w:rPr>
                <w:b/>
                <w:sz w:val="18"/>
                <w:szCs w:val="18"/>
                <w:lang w:val="it-IT"/>
              </w:rPr>
            </w:pPr>
          </w:p>
          <w:p w:rsidR="00D146AC" w:rsidRPr="00B21E30" w:rsidRDefault="008B1F16" w:rsidP="00DA725A">
            <w:pPr>
              <w:rPr>
                <w:sz w:val="18"/>
                <w:szCs w:val="18"/>
                <w:lang w:val="it-IT"/>
              </w:rPr>
            </w:pPr>
            <w:r w:rsidRPr="00B21E30">
              <w:rPr>
                <w:sz w:val="18"/>
                <w:szCs w:val="18"/>
                <w:lang w:val="it-IT"/>
              </w:rPr>
              <w:t>C</w:t>
            </w:r>
            <w:r w:rsidR="00D146AC" w:rsidRPr="00B21E30">
              <w:rPr>
                <w:sz w:val="18"/>
                <w:szCs w:val="18"/>
                <w:lang w:val="it-IT"/>
              </w:rPr>
              <w:t>ompatibil</w:t>
            </w:r>
          </w:p>
          <w:p w:rsidR="00D146AC" w:rsidRPr="00B21E30" w:rsidRDefault="00D146AC" w:rsidP="00DA725A">
            <w:pPr>
              <w:jc w:val="both"/>
              <w:rPr>
                <w:b/>
                <w:sz w:val="18"/>
                <w:szCs w:val="18"/>
                <w:lang w:val="it-IT"/>
              </w:rPr>
            </w:pPr>
          </w:p>
          <w:p w:rsidR="00E837C9" w:rsidRDefault="00E837C9" w:rsidP="00DA725A">
            <w:pPr>
              <w:jc w:val="both"/>
              <w:rPr>
                <w:b/>
                <w:sz w:val="18"/>
                <w:szCs w:val="18"/>
                <w:lang w:val="it-IT"/>
              </w:rPr>
            </w:pPr>
          </w:p>
          <w:p w:rsidR="00D75606" w:rsidRDefault="00D75606" w:rsidP="00DA725A">
            <w:pPr>
              <w:jc w:val="both"/>
              <w:rPr>
                <w:b/>
                <w:sz w:val="18"/>
                <w:szCs w:val="18"/>
                <w:lang w:val="it-IT"/>
              </w:rPr>
            </w:pPr>
          </w:p>
          <w:p w:rsidR="00D75606" w:rsidRDefault="00D75606" w:rsidP="00DA725A">
            <w:pPr>
              <w:jc w:val="both"/>
              <w:rPr>
                <w:b/>
                <w:sz w:val="18"/>
                <w:szCs w:val="18"/>
                <w:lang w:val="it-IT"/>
              </w:rPr>
            </w:pPr>
          </w:p>
          <w:p w:rsidR="00D75606" w:rsidRPr="00B21E30" w:rsidRDefault="00D75606" w:rsidP="00DA725A">
            <w:pPr>
              <w:jc w:val="both"/>
              <w:rPr>
                <w:b/>
                <w:sz w:val="18"/>
                <w:szCs w:val="18"/>
                <w:lang w:val="it-IT"/>
              </w:rPr>
            </w:pPr>
          </w:p>
          <w:p w:rsidR="00E837C9" w:rsidRDefault="00E837C9" w:rsidP="00DA725A">
            <w:pPr>
              <w:jc w:val="both"/>
              <w:rPr>
                <w:b/>
                <w:sz w:val="18"/>
                <w:szCs w:val="18"/>
                <w:lang w:val="it-IT"/>
              </w:rPr>
            </w:pPr>
          </w:p>
          <w:p w:rsidR="00043DC5" w:rsidRPr="00B21E30" w:rsidRDefault="00043DC5" w:rsidP="00DA725A">
            <w:pPr>
              <w:jc w:val="both"/>
              <w:rPr>
                <w:b/>
                <w:sz w:val="18"/>
                <w:szCs w:val="18"/>
                <w:lang w:val="it-IT"/>
              </w:rPr>
            </w:pPr>
          </w:p>
          <w:p w:rsidR="00D146AC" w:rsidRPr="00B21E30" w:rsidRDefault="00D146AC" w:rsidP="00DA725A">
            <w:pPr>
              <w:rPr>
                <w:sz w:val="18"/>
                <w:szCs w:val="18"/>
                <w:lang w:val="it-IT"/>
              </w:rPr>
            </w:pPr>
            <w:r w:rsidRPr="00B21E30">
              <w:rPr>
                <w:sz w:val="18"/>
                <w:szCs w:val="18"/>
                <w:lang w:val="it-IT"/>
              </w:rPr>
              <w:t>Compatibil</w:t>
            </w:r>
          </w:p>
          <w:p w:rsidR="00E837C9" w:rsidRPr="00B21E30" w:rsidRDefault="00E837C9" w:rsidP="00DA725A">
            <w:pPr>
              <w:rPr>
                <w:sz w:val="18"/>
                <w:szCs w:val="18"/>
                <w:lang w:val="it-IT"/>
              </w:rPr>
            </w:pPr>
          </w:p>
          <w:p w:rsidR="008B1F16" w:rsidRPr="00B21E30" w:rsidRDefault="008B1F16" w:rsidP="00DA725A">
            <w:pPr>
              <w:rPr>
                <w:sz w:val="18"/>
                <w:szCs w:val="18"/>
                <w:lang w:val="it-IT"/>
              </w:rPr>
            </w:pPr>
            <w:r w:rsidRPr="00B21E30">
              <w:rPr>
                <w:sz w:val="18"/>
                <w:szCs w:val="18"/>
                <w:lang w:val="it-IT"/>
              </w:rPr>
              <w:t>Compatibil</w:t>
            </w:r>
          </w:p>
          <w:p w:rsidR="008B1F16" w:rsidRPr="00B21E30" w:rsidRDefault="008B1F16" w:rsidP="00DA725A">
            <w:pPr>
              <w:rPr>
                <w:sz w:val="18"/>
                <w:szCs w:val="18"/>
                <w:lang w:val="it-IT"/>
              </w:rPr>
            </w:pP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tc>
        <w:tc>
          <w:tcPr>
            <w:tcW w:w="4253" w:type="dxa"/>
          </w:tcPr>
          <w:p w:rsidR="001177C4" w:rsidRPr="00E84D74" w:rsidRDefault="001177C4" w:rsidP="00FC3840">
            <w:pPr>
              <w:autoSpaceDE w:val="0"/>
              <w:autoSpaceDN w:val="0"/>
              <w:adjustRightInd w:val="0"/>
              <w:jc w:val="both"/>
              <w:rPr>
                <w:b/>
                <w:bCs/>
                <w:i/>
                <w:iCs/>
                <w:sz w:val="18"/>
                <w:szCs w:val="18"/>
              </w:rPr>
            </w:pPr>
            <w:r w:rsidRPr="00E84D74">
              <w:rPr>
                <w:b/>
                <w:bCs/>
                <w:i/>
                <w:iCs/>
                <w:sz w:val="18"/>
                <w:szCs w:val="18"/>
              </w:rPr>
              <w:t>Article 19</w:t>
            </w:r>
          </w:p>
          <w:p w:rsidR="001177C4" w:rsidRPr="00E84D74" w:rsidRDefault="001177C4" w:rsidP="00FC3840">
            <w:pPr>
              <w:autoSpaceDE w:val="0"/>
              <w:autoSpaceDN w:val="0"/>
              <w:adjustRightInd w:val="0"/>
              <w:jc w:val="both"/>
              <w:rPr>
                <w:b/>
                <w:bCs/>
                <w:sz w:val="18"/>
                <w:szCs w:val="18"/>
              </w:rPr>
            </w:pPr>
            <w:r w:rsidRPr="00E84D74">
              <w:rPr>
                <w:b/>
                <w:bCs/>
                <w:sz w:val="18"/>
                <w:szCs w:val="18"/>
              </w:rPr>
              <w:t>Regulatory account</w:t>
            </w:r>
          </w:p>
          <w:p w:rsidR="001177C4" w:rsidRPr="00E84D74" w:rsidRDefault="001177C4" w:rsidP="00FC3840">
            <w:pPr>
              <w:autoSpaceDE w:val="0"/>
              <w:autoSpaceDN w:val="0"/>
              <w:adjustRightInd w:val="0"/>
              <w:jc w:val="both"/>
              <w:rPr>
                <w:sz w:val="18"/>
                <w:szCs w:val="18"/>
              </w:rPr>
            </w:pPr>
            <w:r w:rsidRPr="00E84D74">
              <w:rPr>
                <w:sz w:val="18"/>
                <w:szCs w:val="18"/>
              </w:rPr>
              <w:t>1. The regulatory account shall indicate the information referred to in Article 18(1) for a given tariff period</w:t>
            </w:r>
          </w:p>
          <w:p w:rsidR="001177C4" w:rsidRPr="00E84D74" w:rsidRDefault="001177C4" w:rsidP="00FC3840">
            <w:pPr>
              <w:autoSpaceDE w:val="0"/>
              <w:autoSpaceDN w:val="0"/>
              <w:adjustRightInd w:val="0"/>
              <w:jc w:val="both"/>
              <w:rPr>
                <w:sz w:val="18"/>
                <w:szCs w:val="18"/>
              </w:rPr>
            </w:pPr>
            <w:r w:rsidRPr="00E84D74">
              <w:rPr>
                <w:sz w:val="18"/>
                <w:szCs w:val="18"/>
              </w:rPr>
              <w:t>and may include other information, such as the difference between the anticipated and the actual cost</w:t>
            </w:r>
            <w:r w:rsidR="00DD17A3" w:rsidRPr="00E84D74">
              <w:rPr>
                <w:sz w:val="18"/>
                <w:szCs w:val="18"/>
              </w:rPr>
              <w:t xml:space="preserve"> </w:t>
            </w:r>
            <w:r w:rsidRPr="00E84D74">
              <w:rPr>
                <w:sz w:val="18"/>
                <w:szCs w:val="18"/>
              </w:rPr>
              <w:t>components.</w:t>
            </w:r>
          </w:p>
          <w:p w:rsidR="001177C4" w:rsidRPr="00E84D74" w:rsidRDefault="001177C4" w:rsidP="00FC3840">
            <w:pPr>
              <w:autoSpaceDE w:val="0"/>
              <w:autoSpaceDN w:val="0"/>
              <w:adjustRightInd w:val="0"/>
              <w:jc w:val="both"/>
              <w:rPr>
                <w:sz w:val="18"/>
                <w:szCs w:val="18"/>
              </w:rPr>
            </w:pPr>
            <w:r w:rsidRPr="00E84D74">
              <w:rPr>
                <w:sz w:val="18"/>
                <w:szCs w:val="18"/>
              </w:rPr>
              <w:t>2. The transmission system operator’s under- or over-recovered transmission services revenue shall be</w:t>
            </w:r>
          </w:p>
          <w:p w:rsidR="001177C4" w:rsidRPr="00E84D74" w:rsidRDefault="001177C4" w:rsidP="00FC3840">
            <w:pPr>
              <w:autoSpaceDE w:val="0"/>
              <w:autoSpaceDN w:val="0"/>
              <w:adjustRightInd w:val="0"/>
              <w:jc w:val="both"/>
              <w:rPr>
                <w:sz w:val="18"/>
                <w:szCs w:val="18"/>
              </w:rPr>
            </w:pPr>
            <w:r w:rsidRPr="00E84D74">
              <w:rPr>
                <w:sz w:val="18"/>
                <w:szCs w:val="18"/>
              </w:rPr>
              <w:t>attributed to the regulatory account, unless other rules have been enacted in accordance with Article</w:t>
            </w:r>
          </w:p>
          <w:p w:rsidR="001177C4" w:rsidRDefault="001177C4" w:rsidP="00FC3840">
            <w:pPr>
              <w:autoSpaceDE w:val="0"/>
              <w:autoSpaceDN w:val="0"/>
              <w:adjustRightInd w:val="0"/>
              <w:jc w:val="both"/>
              <w:rPr>
                <w:sz w:val="18"/>
                <w:szCs w:val="18"/>
              </w:rPr>
            </w:pPr>
            <w:r w:rsidRPr="00E84D74">
              <w:rPr>
                <w:sz w:val="18"/>
                <w:szCs w:val="18"/>
              </w:rPr>
              <w:t>41(6)(a) of Directive 2009/73/EC.</w:t>
            </w:r>
          </w:p>
          <w:p w:rsidR="001177C4" w:rsidRPr="00E84D74" w:rsidRDefault="001177C4" w:rsidP="00FC3840">
            <w:pPr>
              <w:autoSpaceDE w:val="0"/>
              <w:autoSpaceDN w:val="0"/>
              <w:adjustRightInd w:val="0"/>
              <w:jc w:val="both"/>
              <w:rPr>
                <w:sz w:val="18"/>
                <w:szCs w:val="18"/>
              </w:rPr>
            </w:pPr>
            <w:r w:rsidRPr="00E84D74">
              <w:rPr>
                <w:sz w:val="18"/>
                <w:szCs w:val="18"/>
              </w:rPr>
              <w:t>3. Where incentive mechanisms for capacity sales are implemented, subject to a decision in accordance</w:t>
            </w:r>
          </w:p>
          <w:p w:rsidR="001177C4" w:rsidRPr="00E84D74" w:rsidRDefault="001177C4" w:rsidP="00FC3840">
            <w:pPr>
              <w:autoSpaceDE w:val="0"/>
              <w:autoSpaceDN w:val="0"/>
              <w:adjustRightInd w:val="0"/>
              <w:jc w:val="both"/>
              <w:rPr>
                <w:sz w:val="18"/>
                <w:szCs w:val="18"/>
              </w:rPr>
            </w:pPr>
            <w:r w:rsidRPr="00E84D74">
              <w:rPr>
                <w:sz w:val="18"/>
                <w:szCs w:val="18"/>
              </w:rPr>
              <w:t>with Article 41(6)(a) of Directive 2009/73/EC, only a part of the transmission system operator’s under- or</w:t>
            </w:r>
          </w:p>
          <w:p w:rsidR="001177C4" w:rsidRPr="00E84D74" w:rsidRDefault="001177C4" w:rsidP="00FC3840">
            <w:pPr>
              <w:autoSpaceDE w:val="0"/>
              <w:autoSpaceDN w:val="0"/>
              <w:adjustRightInd w:val="0"/>
              <w:jc w:val="both"/>
              <w:rPr>
                <w:sz w:val="18"/>
                <w:szCs w:val="18"/>
              </w:rPr>
            </w:pPr>
            <w:r w:rsidRPr="00E84D74">
              <w:rPr>
                <w:sz w:val="18"/>
                <w:szCs w:val="18"/>
              </w:rPr>
              <w:t>over-recovery shall be attributed to the regulatory account. In such case, the residual part thereof shall</w:t>
            </w:r>
          </w:p>
          <w:p w:rsidR="001177C4" w:rsidRPr="00E84D74" w:rsidRDefault="001177C4" w:rsidP="00FC3840">
            <w:pPr>
              <w:autoSpaceDE w:val="0"/>
              <w:autoSpaceDN w:val="0"/>
              <w:adjustRightInd w:val="0"/>
              <w:jc w:val="both"/>
              <w:rPr>
                <w:sz w:val="18"/>
                <w:szCs w:val="18"/>
              </w:rPr>
            </w:pPr>
            <w:r w:rsidRPr="00E84D74">
              <w:rPr>
                <w:sz w:val="18"/>
                <w:szCs w:val="18"/>
              </w:rPr>
              <w:t>be kept or paid, as relevant, by the transmission system operator.</w:t>
            </w:r>
          </w:p>
          <w:p w:rsidR="001177C4" w:rsidRPr="00E84D74" w:rsidRDefault="001177C4" w:rsidP="00FC3840">
            <w:pPr>
              <w:autoSpaceDE w:val="0"/>
              <w:autoSpaceDN w:val="0"/>
              <w:adjustRightInd w:val="0"/>
              <w:jc w:val="both"/>
              <w:rPr>
                <w:sz w:val="18"/>
                <w:szCs w:val="18"/>
              </w:rPr>
            </w:pPr>
            <w:r w:rsidRPr="00E84D74">
              <w:rPr>
                <w:sz w:val="18"/>
                <w:szCs w:val="18"/>
              </w:rPr>
              <w:t>4. Each transmission system operator shall use one regulatory account.</w:t>
            </w:r>
          </w:p>
          <w:p w:rsidR="001177C4" w:rsidRPr="00E84D74" w:rsidRDefault="001177C4" w:rsidP="00FC3840">
            <w:pPr>
              <w:autoSpaceDE w:val="0"/>
              <w:autoSpaceDN w:val="0"/>
              <w:adjustRightInd w:val="0"/>
              <w:jc w:val="both"/>
              <w:rPr>
                <w:sz w:val="18"/>
                <w:szCs w:val="18"/>
              </w:rPr>
            </w:pPr>
            <w:r w:rsidRPr="00E84D74">
              <w:rPr>
                <w:sz w:val="18"/>
                <w:szCs w:val="18"/>
              </w:rPr>
              <w:t>5. Subject to a decision in accordance with Article 41(6)(a) of Directive 2009/73/EC, the earned auction</w:t>
            </w:r>
          </w:p>
          <w:p w:rsidR="00D146AC" w:rsidRPr="00E84D74" w:rsidRDefault="001177C4" w:rsidP="00FC3840">
            <w:pPr>
              <w:autoSpaceDE w:val="0"/>
              <w:autoSpaceDN w:val="0"/>
              <w:adjustRightInd w:val="0"/>
              <w:jc w:val="both"/>
              <w:rPr>
                <w:b/>
                <w:sz w:val="18"/>
                <w:szCs w:val="18"/>
              </w:rPr>
            </w:pPr>
            <w:r w:rsidRPr="00E84D74">
              <w:rPr>
                <w:sz w:val="18"/>
                <w:szCs w:val="18"/>
              </w:rPr>
              <w:t>premium, if any, may be attributed to a specific account separate from the regulatory account referred</w:t>
            </w:r>
            <w:r w:rsidR="00DD17A3" w:rsidRPr="00E84D74">
              <w:rPr>
                <w:sz w:val="18"/>
                <w:szCs w:val="18"/>
              </w:rPr>
              <w:t xml:space="preserve"> </w:t>
            </w:r>
            <w:r w:rsidRPr="00E84D74">
              <w:rPr>
                <w:sz w:val="18"/>
                <w:szCs w:val="18"/>
              </w:rPr>
              <w:t>to in paragraph 4. The national regulatory authority may decide to use this auction premium for reducing</w:t>
            </w:r>
            <w:r w:rsidR="00DD17A3" w:rsidRPr="00E84D74">
              <w:rPr>
                <w:sz w:val="18"/>
                <w:szCs w:val="18"/>
              </w:rPr>
              <w:t xml:space="preserve"> </w:t>
            </w:r>
            <w:r w:rsidRPr="00E84D74">
              <w:rPr>
                <w:sz w:val="18"/>
                <w:szCs w:val="18"/>
              </w:rPr>
              <w:t>physical congestion or, where the transmission system operator functions only under a non-price cap</w:t>
            </w:r>
            <w:r w:rsidR="00DD17A3" w:rsidRPr="00E84D74">
              <w:rPr>
                <w:sz w:val="18"/>
                <w:szCs w:val="18"/>
              </w:rPr>
              <w:t xml:space="preserve"> </w:t>
            </w:r>
            <w:r w:rsidRPr="00E84D74">
              <w:rPr>
                <w:sz w:val="18"/>
                <w:szCs w:val="18"/>
              </w:rPr>
              <w:t>regime, to decrease the transmission tariffs for the next tariff period(s) as set out in Article 20.</w:t>
            </w:r>
          </w:p>
        </w:tc>
      </w:tr>
      <w:tr w:rsidR="00D146AC" w:rsidRPr="00043955" w:rsidTr="00FC3840">
        <w:trPr>
          <w:trHeight w:val="1240"/>
        </w:trPr>
        <w:tc>
          <w:tcPr>
            <w:tcW w:w="5245" w:type="dxa"/>
          </w:tcPr>
          <w:p w:rsidR="00D146AC" w:rsidRPr="00933778" w:rsidRDefault="00D146AC" w:rsidP="00933778">
            <w:pPr>
              <w:shd w:val="clear" w:color="auto" w:fill="FFFFFF"/>
              <w:jc w:val="center"/>
              <w:rPr>
                <w:b/>
                <w:i/>
                <w:iCs/>
                <w:sz w:val="18"/>
                <w:szCs w:val="18"/>
                <w:lang w:val="it-IT"/>
              </w:rPr>
            </w:pPr>
            <w:r w:rsidRPr="00933778">
              <w:rPr>
                <w:b/>
                <w:i/>
                <w:iCs/>
                <w:sz w:val="18"/>
                <w:szCs w:val="18"/>
                <w:lang w:val="it-IT"/>
              </w:rPr>
              <w:t>Articolul 20</w:t>
            </w:r>
          </w:p>
          <w:p w:rsidR="00D146AC" w:rsidRPr="00D82EE4" w:rsidRDefault="00D146AC" w:rsidP="00933778">
            <w:pPr>
              <w:shd w:val="clear" w:color="auto" w:fill="FFFFFF"/>
              <w:jc w:val="center"/>
              <w:rPr>
                <w:b/>
                <w:bCs/>
                <w:sz w:val="18"/>
                <w:szCs w:val="18"/>
                <w:lang w:val="it-IT"/>
              </w:rPr>
            </w:pPr>
            <w:r w:rsidRPr="00D82EE4">
              <w:rPr>
                <w:b/>
                <w:bCs/>
                <w:sz w:val="18"/>
                <w:szCs w:val="18"/>
                <w:lang w:val="it-IT"/>
              </w:rPr>
              <w:t>Reconcilierea contului de regularizare</w:t>
            </w:r>
          </w:p>
          <w:p w:rsidR="00D146AC" w:rsidRDefault="00D146AC" w:rsidP="00DA725A">
            <w:pPr>
              <w:shd w:val="clear" w:color="auto" w:fill="FFFFFF"/>
              <w:jc w:val="both"/>
              <w:rPr>
                <w:sz w:val="18"/>
                <w:szCs w:val="18"/>
                <w:lang w:val="it-IT"/>
              </w:rPr>
            </w:pPr>
            <w:r w:rsidRPr="00D82EE4">
              <w:rPr>
                <w:sz w:val="18"/>
                <w:szCs w:val="18"/>
                <w:lang w:val="it-IT"/>
              </w:rPr>
              <w:t>(1)   Reconcilierea totală sau parțială a contului de regularizare se realizează în conformitate cu metodologia de stabilire a prețurilor de referință aplicată și, în plus, utilizând taxa menționată la articolul 4 alineatul (3) litera (b), dacă această taxă este aplicată.</w:t>
            </w:r>
          </w:p>
          <w:p w:rsidR="00A50361" w:rsidRPr="00D82EE4" w:rsidRDefault="00A50361"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(2)   Reconcilierea contului de regularizare se realizează în temeiul normelor adoptate în conformitate cu articolul 41 alineatul (6) litera (a) din Directiva 2009/73/CE în cursul unei perioade de reconciliere date, mai precis în cursul perioadei în care trebuie reconciliat contul de regularizare menționat la articolul 19.</w:t>
            </w:r>
          </w:p>
          <w:p w:rsidR="00A50361" w:rsidRDefault="00A50361"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lastRenderedPageBreak/>
              <w:t>(3)   Scopul reconcilierii contului de regularizare este de a-i rambursa operatorului de transport și de sistem suma recuperată parțial și de a le returna utilizatorilor rețelei suma recuperată în exces.</w:t>
            </w: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4</w:t>
            </w:r>
          </w:p>
          <w:p w:rsidR="00D146AC" w:rsidRPr="00043955" w:rsidRDefault="00D146AC" w:rsidP="00DA725A">
            <w:pPr>
              <w:jc w:val="center"/>
              <w:rPr>
                <w:b/>
                <w:sz w:val="18"/>
                <w:szCs w:val="18"/>
                <w:lang w:val="ro-RO"/>
              </w:rPr>
            </w:pPr>
            <w:r w:rsidRPr="00043955">
              <w:rPr>
                <w:b/>
                <w:sz w:val="18"/>
                <w:szCs w:val="18"/>
                <w:lang w:val="ro-RO"/>
              </w:rPr>
              <w:t>Reconcilierea contului de reglementare</w:t>
            </w:r>
          </w:p>
          <w:p w:rsidR="00933778" w:rsidRPr="00933778" w:rsidRDefault="00933778" w:rsidP="00933778">
            <w:pPr>
              <w:tabs>
                <w:tab w:val="left" w:pos="851"/>
              </w:tabs>
              <w:jc w:val="both"/>
              <w:outlineLvl w:val="0"/>
              <w:rPr>
                <w:sz w:val="18"/>
                <w:szCs w:val="18"/>
                <w:lang w:val="ro-RO"/>
              </w:rPr>
            </w:pPr>
            <w:r w:rsidRPr="00933778">
              <w:rPr>
                <w:b/>
                <w:bCs/>
                <w:sz w:val="18"/>
                <w:szCs w:val="18"/>
                <w:lang w:val="ro-RO"/>
              </w:rPr>
              <w:t>381.</w:t>
            </w:r>
            <w:r w:rsidRPr="00933778">
              <w:rPr>
                <w:sz w:val="18"/>
                <w:szCs w:val="18"/>
                <w:lang w:val="ro-RO"/>
              </w:rPr>
              <w:t xml:space="preserve"> Reconcilierea totală sau parţială a contului de regularizare se realizează în conformitate cu metoda de calculare a preţurilor de referinţă aplicată şi, în plus, utilizând taxa menţionată la pct.324, subpunctul 2), dacă această taxă este aplicată.</w:t>
            </w:r>
          </w:p>
          <w:p w:rsidR="00933778" w:rsidRPr="00933778" w:rsidRDefault="00933778" w:rsidP="00933778">
            <w:pPr>
              <w:tabs>
                <w:tab w:val="left" w:pos="851"/>
              </w:tabs>
              <w:jc w:val="both"/>
              <w:outlineLvl w:val="0"/>
              <w:rPr>
                <w:sz w:val="18"/>
                <w:szCs w:val="18"/>
                <w:lang w:val="ro-RO"/>
              </w:rPr>
            </w:pPr>
            <w:r w:rsidRPr="00933778">
              <w:rPr>
                <w:sz w:val="18"/>
                <w:szCs w:val="18"/>
                <w:lang w:val="ro-RO"/>
              </w:rPr>
              <w:t> </w:t>
            </w:r>
          </w:p>
          <w:p w:rsidR="00933778" w:rsidRDefault="00933778" w:rsidP="00933778">
            <w:pPr>
              <w:tabs>
                <w:tab w:val="left" w:pos="851"/>
              </w:tabs>
              <w:jc w:val="both"/>
              <w:outlineLvl w:val="0"/>
              <w:rPr>
                <w:sz w:val="18"/>
                <w:szCs w:val="18"/>
                <w:lang w:val="ro-RO"/>
              </w:rPr>
            </w:pPr>
            <w:r w:rsidRPr="00933778">
              <w:rPr>
                <w:b/>
                <w:bCs/>
                <w:sz w:val="18"/>
                <w:szCs w:val="18"/>
                <w:lang w:val="ro-RO"/>
              </w:rPr>
              <w:t>382.</w:t>
            </w:r>
            <w:r w:rsidRPr="00933778">
              <w:rPr>
                <w:sz w:val="18"/>
                <w:szCs w:val="18"/>
                <w:lang w:val="ro-RO"/>
              </w:rPr>
              <w:t xml:space="preserve"> Reconcilierea contului de regularizare se realizează în temeiul normelor adoptate de către Agenţie în cursul unei perioade de reconciliere date, mai precis în cursul perioadei în care trebuie reconciliat contul de regularizare menţionat la pct.376-380.</w:t>
            </w:r>
          </w:p>
          <w:p w:rsidR="00A50361" w:rsidRDefault="00A50361" w:rsidP="00933778">
            <w:pPr>
              <w:tabs>
                <w:tab w:val="left" w:pos="851"/>
              </w:tabs>
              <w:jc w:val="both"/>
              <w:outlineLvl w:val="0"/>
              <w:rPr>
                <w:sz w:val="18"/>
                <w:szCs w:val="18"/>
                <w:lang w:val="ro-RO"/>
              </w:rPr>
            </w:pPr>
          </w:p>
          <w:p w:rsidR="00933778" w:rsidRPr="00933778" w:rsidRDefault="00933778" w:rsidP="00A50361">
            <w:pPr>
              <w:tabs>
                <w:tab w:val="left" w:pos="851"/>
              </w:tabs>
              <w:jc w:val="both"/>
              <w:outlineLvl w:val="0"/>
              <w:rPr>
                <w:sz w:val="18"/>
                <w:szCs w:val="18"/>
                <w:lang w:val="ro-RO"/>
              </w:rPr>
            </w:pPr>
            <w:r w:rsidRPr="00933778">
              <w:rPr>
                <w:sz w:val="18"/>
                <w:szCs w:val="18"/>
                <w:lang w:val="ro-RO"/>
              </w:rPr>
              <w:t> </w:t>
            </w:r>
            <w:r w:rsidRPr="00933778">
              <w:rPr>
                <w:b/>
                <w:bCs/>
                <w:sz w:val="18"/>
                <w:szCs w:val="18"/>
                <w:lang w:val="ro-RO"/>
              </w:rPr>
              <w:t>383.</w:t>
            </w:r>
            <w:r w:rsidRPr="00933778">
              <w:rPr>
                <w:sz w:val="18"/>
                <w:szCs w:val="18"/>
                <w:lang w:val="ro-RO"/>
              </w:rPr>
              <w:t xml:space="preserve"> Scopul reconcilierii contului de regularizare este de a rambursa OST suma recuperată parţial şi de a le returna utilizatorilor de sistem suma recuperată în exces.</w:t>
            </w:r>
          </w:p>
          <w:p w:rsidR="00D146AC" w:rsidRPr="00043955" w:rsidRDefault="00D146AC" w:rsidP="00DA725A">
            <w:pPr>
              <w:shd w:val="clear" w:color="auto" w:fill="FFFFFF"/>
              <w:jc w:val="both"/>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5D372B" w:rsidRPr="00D82EE4" w:rsidRDefault="005D372B"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1177C4" w:rsidRPr="00E84D74" w:rsidRDefault="001177C4" w:rsidP="00FC3840">
            <w:pPr>
              <w:autoSpaceDE w:val="0"/>
              <w:autoSpaceDN w:val="0"/>
              <w:adjustRightInd w:val="0"/>
              <w:jc w:val="both"/>
              <w:rPr>
                <w:b/>
                <w:bCs/>
                <w:i/>
                <w:iCs/>
                <w:sz w:val="18"/>
                <w:szCs w:val="18"/>
              </w:rPr>
            </w:pPr>
            <w:r w:rsidRPr="00E84D74">
              <w:rPr>
                <w:b/>
                <w:bCs/>
                <w:i/>
                <w:iCs/>
                <w:sz w:val="18"/>
                <w:szCs w:val="18"/>
              </w:rPr>
              <w:lastRenderedPageBreak/>
              <w:t>Article 20</w:t>
            </w:r>
          </w:p>
          <w:p w:rsidR="00D146AC" w:rsidRPr="00E84D74" w:rsidRDefault="001177C4" w:rsidP="00FC3840">
            <w:pPr>
              <w:jc w:val="both"/>
              <w:rPr>
                <w:b/>
                <w:bCs/>
                <w:sz w:val="18"/>
                <w:szCs w:val="18"/>
              </w:rPr>
            </w:pPr>
            <w:r w:rsidRPr="00E84D74">
              <w:rPr>
                <w:b/>
                <w:bCs/>
                <w:sz w:val="18"/>
                <w:szCs w:val="18"/>
              </w:rPr>
              <w:t>Reconciliation of regulatory account</w:t>
            </w:r>
          </w:p>
          <w:p w:rsidR="001177C4" w:rsidRPr="00E84D74" w:rsidRDefault="001177C4" w:rsidP="00FC3840">
            <w:pPr>
              <w:autoSpaceDE w:val="0"/>
              <w:autoSpaceDN w:val="0"/>
              <w:adjustRightInd w:val="0"/>
              <w:jc w:val="both"/>
              <w:rPr>
                <w:sz w:val="18"/>
                <w:szCs w:val="18"/>
              </w:rPr>
            </w:pPr>
            <w:r w:rsidRPr="00E84D74">
              <w:rPr>
                <w:sz w:val="18"/>
                <w:szCs w:val="18"/>
              </w:rPr>
              <w:t>1. The full or partial reconciliation of the regulatory account shall be carried out in accordance with the</w:t>
            </w:r>
          </w:p>
          <w:p w:rsidR="001177C4" w:rsidRPr="00E84D74" w:rsidRDefault="001177C4" w:rsidP="00FC3840">
            <w:pPr>
              <w:autoSpaceDE w:val="0"/>
              <w:autoSpaceDN w:val="0"/>
              <w:adjustRightInd w:val="0"/>
              <w:jc w:val="both"/>
              <w:rPr>
                <w:sz w:val="18"/>
                <w:szCs w:val="18"/>
              </w:rPr>
            </w:pPr>
            <w:r w:rsidRPr="00E84D74">
              <w:rPr>
                <w:sz w:val="18"/>
                <w:szCs w:val="18"/>
              </w:rPr>
              <w:t>applied reference price methodology and, in addition, by using the charge referred to in Article 4(3)(b),</w:t>
            </w:r>
          </w:p>
          <w:p w:rsidR="001177C4" w:rsidRPr="00E84D74" w:rsidRDefault="001177C4" w:rsidP="00FC3840">
            <w:pPr>
              <w:autoSpaceDE w:val="0"/>
              <w:autoSpaceDN w:val="0"/>
              <w:adjustRightInd w:val="0"/>
              <w:jc w:val="both"/>
              <w:rPr>
                <w:sz w:val="18"/>
                <w:szCs w:val="18"/>
              </w:rPr>
            </w:pPr>
            <w:r w:rsidRPr="00E84D74">
              <w:rPr>
                <w:sz w:val="18"/>
                <w:szCs w:val="18"/>
              </w:rPr>
              <w:t>if applied.</w:t>
            </w:r>
          </w:p>
          <w:p w:rsidR="001177C4" w:rsidRPr="00E84D74" w:rsidRDefault="001177C4" w:rsidP="00FC3840">
            <w:pPr>
              <w:autoSpaceDE w:val="0"/>
              <w:autoSpaceDN w:val="0"/>
              <w:adjustRightInd w:val="0"/>
              <w:jc w:val="both"/>
              <w:rPr>
                <w:sz w:val="18"/>
                <w:szCs w:val="18"/>
              </w:rPr>
            </w:pPr>
            <w:r w:rsidRPr="00E84D74">
              <w:rPr>
                <w:sz w:val="18"/>
                <w:szCs w:val="18"/>
              </w:rPr>
              <w:t>2. The reconciliation of the regulatory account shall be carried out pursuant to the rules enacted in accordance</w:t>
            </w:r>
          </w:p>
          <w:p w:rsidR="001177C4" w:rsidRPr="00E84D74" w:rsidRDefault="001177C4" w:rsidP="00FC3840">
            <w:pPr>
              <w:autoSpaceDE w:val="0"/>
              <w:autoSpaceDN w:val="0"/>
              <w:adjustRightInd w:val="0"/>
              <w:jc w:val="both"/>
              <w:rPr>
                <w:sz w:val="18"/>
                <w:szCs w:val="18"/>
              </w:rPr>
            </w:pPr>
            <w:r w:rsidRPr="00E84D74">
              <w:rPr>
                <w:sz w:val="18"/>
                <w:szCs w:val="18"/>
              </w:rPr>
              <w:t>with Article 41(6)(a) of Directive 2009/73/EC over a given reconciliation period, meaning the</w:t>
            </w:r>
            <w:r w:rsidR="000563D8" w:rsidRPr="00E84D74">
              <w:rPr>
                <w:sz w:val="18"/>
                <w:szCs w:val="18"/>
              </w:rPr>
              <w:t xml:space="preserve"> </w:t>
            </w:r>
            <w:r w:rsidRPr="00E84D74">
              <w:rPr>
                <w:sz w:val="18"/>
                <w:szCs w:val="18"/>
              </w:rPr>
              <w:t>time period over which the regulatory account referred to in Article 19 shall be reconciled.</w:t>
            </w:r>
          </w:p>
          <w:p w:rsidR="001177C4" w:rsidRPr="00E84D74" w:rsidRDefault="001177C4" w:rsidP="00FC3840">
            <w:pPr>
              <w:autoSpaceDE w:val="0"/>
              <w:autoSpaceDN w:val="0"/>
              <w:adjustRightInd w:val="0"/>
              <w:jc w:val="both"/>
              <w:rPr>
                <w:sz w:val="18"/>
                <w:szCs w:val="18"/>
              </w:rPr>
            </w:pPr>
            <w:r w:rsidRPr="00E84D74">
              <w:rPr>
                <w:sz w:val="18"/>
                <w:szCs w:val="18"/>
              </w:rPr>
              <w:t>3. The regulatory account shall be reconciled with the aim of reimbursing to the transmission system</w:t>
            </w:r>
          </w:p>
          <w:p w:rsidR="001177C4" w:rsidRPr="00E84D74" w:rsidRDefault="001177C4" w:rsidP="00FC3840">
            <w:pPr>
              <w:jc w:val="both"/>
              <w:rPr>
                <w:b/>
                <w:sz w:val="18"/>
                <w:szCs w:val="18"/>
              </w:rPr>
            </w:pPr>
            <w:r w:rsidRPr="00E84D74">
              <w:rPr>
                <w:sz w:val="18"/>
                <w:szCs w:val="18"/>
              </w:rPr>
              <w:lastRenderedPageBreak/>
              <w:t>operator the under-recovery and of returning to the network users the over-recovery.</w:t>
            </w:r>
          </w:p>
        </w:tc>
      </w:tr>
      <w:tr w:rsidR="00D146AC" w:rsidRPr="00043955" w:rsidTr="00FC3840">
        <w:trPr>
          <w:trHeight w:val="1240"/>
        </w:trPr>
        <w:tc>
          <w:tcPr>
            <w:tcW w:w="5245" w:type="dxa"/>
          </w:tcPr>
          <w:p w:rsidR="00D146AC" w:rsidRPr="00D82EE4" w:rsidRDefault="00D146AC" w:rsidP="00517203">
            <w:pPr>
              <w:shd w:val="clear" w:color="auto" w:fill="FFFFFF"/>
              <w:jc w:val="center"/>
              <w:rPr>
                <w:b/>
                <w:bCs/>
                <w:sz w:val="18"/>
                <w:szCs w:val="18"/>
                <w:lang w:val="it-IT"/>
              </w:rPr>
            </w:pPr>
            <w:r w:rsidRPr="00D82EE4">
              <w:rPr>
                <w:b/>
                <w:bCs/>
                <w:sz w:val="18"/>
                <w:szCs w:val="18"/>
                <w:lang w:val="it-IT"/>
              </w:rPr>
              <w:lastRenderedPageBreak/>
              <w:t>CAPITOLUL V</w:t>
            </w:r>
          </w:p>
          <w:p w:rsidR="00D146AC" w:rsidRPr="00D82EE4" w:rsidRDefault="00D146AC" w:rsidP="00517203">
            <w:pPr>
              <w:shd w:val="clear" w:color="auto" w:fill="FFFFFF"/>
              <w:jc w:val="center"/>
              <w:rPr>
                <w:b/>
                <w:bCs/>
                <w:sz w:val="18"/>
                <w:szCs w:val="18"/>
                <w:lang w:val="it-IT"/>
              </w:rPr>
            </w:pPr>
            <w:r w:rsidRPr="00D82EE4">
              <w:rPr>
                <w:b/>
                <w:bCs/>
                <w:sz w:val="18"/>
                <w:szCs w:val="18"/>
                <w:lang w:val="it-IT"/>
              </w:rPr>
              <w:t>STABILIREA PREȚURILOR PENTRU CAPACITATEA AGREGATĂ ȘI PENTRU CAPACITATEA ÎN PUNCTELE DE INTERCONECTARE VIRTUALE</w:t>
            </w:r>
          </w:p>
          <w:p w:rsidR="00517203" w:rsidRDefault="00517203" w:rsidP="00517203">
            <w:pPr>
              <w:shd w:val="clear" w:color="auto" w:fill="FFFFFF"/>
              <w:jc w:val="center"/>
              <w:rPr>
                <w:i/>
                <w:iCs/>
                <w:sz w:val="18"/>
                <w:szCs w:val="18"/>
                <w:lang w:val="it-IT"/>
              </w:rPr>
            </w:pPr>
          </w:p>
          <w:p w:rsidR="00D146AC" w:rsidRPr="00D82EE4" w:rsidRDefault="00D146AC" w:rsidP="00517203">
            <w:pPr>
              <w:shd w:val="clear" w:color="auto" w:fill="FFFFFF"/>
              <w:jc w:val="center"/>
              <w:rPr>
                <w:i/>
                <w:iCs/>
                <w:sz w:val="18"/>
                <w:szCs w:val="18"/>
                <w:lang w:val="it-IT"/>
              </w:rPr>
            </w:pPr>
            <w:r w:rsidRPr="00D82EE4">
              <w:rPr>
                <w:i/>
                <w:iCs/>
                <w:sz w:val="18"/>
                <w:szCs w:val="18"/>
                <w:lang w:val="it-IT"/>
              </w:rPr>
              <w:t>Articolul 21</w:t>
            </w:r>
          </w:p>
          <w:p w:rsidR="00D146AC" w:rsidRPr="00D82EE4" w:rsidRDefault="00D146AC" w:rsidP="00517203">
            <w:pPr>
              <w:shd w:val="clear" w:color="auto" w:fill="FFFFFF"/>
              <w:jc w:val="center"/>
              <w:rPr>
                <w:b/>
                <w:bCs/>
                <w:sz w:val="18"/>
                <w:szCs w:val="18"/>
                <w:lang w:val="it-IT"/>
              </w:rPr>
            </w:pPr>
            <w:r w:rsidRPr="00D82EE4">
              <w:rPr>
                <w:b/>
                <w:bCs/>
                <w:sz w:val="18"/>
                <w:szCs w:val="18"/>
                <w:lang w:val="it-IT"/>
              </w:rPr>
              <w:t>Stabilirea prețurilor pentru capacitatea agregată</w:t>
            </w:r>
          </w:p>
          <w:p w:rsidR="00D146AC" w:rsidRPr="00D82EE4" w:rsidRDefault="00D146AC" w:rsidP="00DA725A">
            <w:pPr>
              <w:shd w:val="clear" w:color="auto" w:fill="FFFFFF"/>
              <w:jc w:val="both"/>
              <w:rPr>
                <w:sz w:val="18"/>
                <w:szCs w:val="18"/>
                <w:lang w:val="it-IT"/>
              </w:rPr>
            </w:pPr>
            <w:r w:rsidRPr="00D82EE4">
              <w:rPr>
                <w:sz w:val="18"/>
                <w:szCs w:val="18"/>
                <w:lang w:val="it-IT"/>
              </w:rPr>
              <w:t>(1)   Prețul de rezervă pentru un produs de capacitate agregată este egal cu suma prețurilor de rezervă pentru capacitățile care contribuie la produsul respectiv. Prețurile de rezervă pentru capacitățile de intrare și de ieșire corespunzătoare se pun la dispoziție atunci când este oferit produsul de capacitate agregată și se alocă cu ajutorul unei platforme de rezervare comune, menționate la articolul 37 din Regulamentul (UE) 2017/459.</w:t>
            </w:r>
          </w:p>
          <w:p w:rsidR="00517203" w:rsidRDefault="00517203"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(2)   Venitul rezultat din vânzarea produselor de capacitate agregată corespunzător prețului de rezervă pentru aceste produse se atribuie operatorilor de transport și de sistem respectivi,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9"/>
              <w:gridCol w:w="4810"/>
            </w:tblGrid>
            <w:tr w:rsidR="00D146AC" w:rsidRPr="00C27D66" w:rsidTr="00B92DDC">
              <w:tc>
                <w:tcPr>
                  <w:tcW w:w="392"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6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după fiecare tranzacție pentru un produs de capacitate agregată;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3"/>
              <w:gridCol w:w="4866"/>
            </w:tblGrid>
            <w:tr w:rsidR="00D146AC" w:rsidRPr="00C27D66" w:rsidTr="00B92DDC">
              <w:tc>
                <w:tcPr>
                  <w:tcW w:w="287"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6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proporțional cu prețurile de rezervă pentru capacitățile care contribuie la produsul respectiv.</w:t>
                  </w:r>
                </w:p>
              </w:tc>
            </w:tr>
          </w:tbl>
          <w:p w:rsidR="00517203" w:rsidRDefault="00517203" w:rsidP="00DA725A">
            <w:pPr>
              <w:shd w:val="clear" w:color="auto" w:fill="FFFFFF"/>
              <w:jc w:val="both"/>
              <w:rPr>
                <w:sz w:val="18"/>
                <w:szCs w:val="18"/>
                <w:lang w:val="it-IT"/>
              </w:rPr>
            </w:pPr>
          </w:p>
          <w:p w:rsidR="00951B51" w:rsidRDefault="00951B51"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Prima de licitație rezultată din vânzarea produselor de capacitate agregată se atribuie în conformitate cu acordul dintre respectivii operatori de transport și de sistem, care trebuie aprobat de către autoritatea sau autoritățile naționale de reglementare cu cel mult trei luni înainte de începutul licitațiilor anuale ale capacității anuale. În absența acestei aprobări de către autoritățile naționale de reglementare implicate, prima de licitație se atribuie în mod egal respectivilor operatori de transport și de sistem.</w:t>
            </w:r>
          </w:p>
          <w:p w:rsidR="00951B51" w:rsidRPr="00D82EE4" w:rsidRDefault="00951B51" w:rsidP="00DA725A">
            <w:pPr>
              <w:shd w:val="clear" w:color="auto" w:fill="FFFFFF"/>
              <w:jc w:val="both"/>
              <w:rPr>
                <w:sz w:val="18"/>
                <w:szCs w:val="18"/>
                <w:lang w:val="it-IT"/>
              </w:rPr>
            </w:pPr>
          </w:p>
          <w:p w:rsidR="00517203" w:rsidRDefault="00517203"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(4)   Dacă punctul de interconectare în cauză conectează sisteme de intrare/ieșire adiacente din două state membre, autoritățile naționale de reglementare respective transmit Agenției, cu titlu informativ, acordul menționat la alineatul (3).</w:t>
            </w:r>
          </w:p>
          <w:p w:rsidR="00D146AC" w:rsidRPr="00D82EE4" w:rsidRDefault="00D146AC" w:rsidP="00DA725A">
            <w:pPr>
              <w:shd w:val="clear" w:color="auto" w:fill="FFFFFF"/>
              <w:jc w:val="both"/>
              <w:rPr>
                <w:b/>
                <w:bCs/>
                <w:sz w:val="18"/>
                <w:szCs w:val="18"/>
                <w:lang w:val="it-IT"/>
              </w:rPr>
            </w:pPr>
          </w:p>
        </w:tc>
        <w:tc>
          <w:tcPr>
            <w:tcW w:w="4962" w:type="dxa"/>
          </w:tcPr>
          <w:p w:rsidR="001613B9" w:rsidRPr="007E6421" w:rsidRDefault="001613B9" w:rsidP="001613B9">
            <w:pPr>
              <w:pStyle w:val="NoSpacing"/>
              <w:jc w:val="center"/>
              <w:rPr>
                <w:sz w:val="18"/>
                <w:lang w:val="ro-RO"/>
              </w:rPr>
            </w:pPr>
            <w:r w:rsidRPr="007E6421">
              <w:rPr>
                <w:b/>
                <w:bCs/>
                <w:sz w:val="18"/>
                <w:lang w:val="ro-RO"/>
              </w:rPr>
              <w:t>Capitolul V</w:t>
            </w:r>
          </w:p>
          <w:p w:rsidR="001613B9" w:rsidRPr="007E6421" w:rsidRDefault="001613B9" w:rsidP="001613B9">
            <w:pPr>
              <w:pStyle w:val="NoSpacing"/>
              <w:jc w:val="center"/>
              <w:rPr>
                <w:sz w:val="18"/>
                <w:lang w:val="ro-RO"/>
              </w:rPr>
            </w:pPr>
            <w:r w:rsidRPr="007E6421">
              <w:rPr>
                <w:b/>
                <w:bCs/>
                <w:sz w:val="18"/>
                <w:lang w:val="ro-RO"/>
              </w:rPr>
              <w:t>CALCULAREA PREŢURILOR PENTRU CAPACITATEA AGREGATĂ ŞI PENTRU CAPACITATEA ÎN PUNCTELE DE</w:t>
            </w:r>
          </w:p>
          <w:p w:rsidR="001613B9" w:rsidRPr="007E6421" w:rsidRDefault="001613B9" w:rsidP="001613B9">
            <w:pPr>
              <w:pStyle w:val="NoSpacing"/>
              <w:jc w:val="center"/>
              <w:rPr>
                <w:sz w:val="18"/>
                <w:lang w:val="ro-RO"/>
              </w:rPr>
            </w:pPr>
            <w:r w:rsidRPr="007E6421">
              <w:rPr>
                <w:b/>
                <w:bCs/>
                <w:sz w:val="18"/>
                <w:lang w:val="ro-RO"/>
              </w:rPr>
              <w:t>INTERCONECTARE VIRTUALE</w:t>
            </w:r>
          </w:p>
          <w:p w:rsidR="001613B9" w:rsidRPr="007E6421" w:rsidRDefault="001613B9" w:rsidP="00951B51">
            <w:pPr>
              <w:pStyle w:val="NoSpacing"/>
              <w:jc w:val="center"/>
              <w:rPr>
                <w:sz w:val="18"/>
                <w:lang w:val="ro-RO"/>
              </w:rPr>
            </w:pPr>
            <w:r w:rsidRPr="007E6421">
              <w:rPr>
                <w:b/>
                <w:bCs/>
                <w:sz w:val="18"/>
                <w:lang w:val="ro-RO"/>
              </w:rPr>
              <w:t>Secţiunea 1</w:t>
            </w:r>
          </w:p>
          <w:p w:rsidR="001613B9" w:rsidRPr="007E6421" w:rsidRDefault="001613B9" w:rsidP="001613B9">
            <w:pPr>
              <w:pStyle w:val="NoSpacing"/>
              <w:jc w:val="center"/>
              <w:rPr>
                <w:sz w:val="18"/>
                <w:lang w:val="ro-RO"/>
              </w:rPr>
            </w:pPr>
            <w:r w:rsidRPr="007E6421">
              <w:rPr>
                <w:b/>
                <w:bCs/>
                <w:sz w:val="18"/>
                <w:lang w:val="ro-RO"/>
              </w:rPr>
              <w:t>Calcularea preţurilor pentru capacitatea agregată</w:t>
            </w:r>
          </w:p>
          <w:p w:rsidR="001613B9" w:rsidRPr="007E6421" w:rsidRDefault="001613B9" w:rsidP="001613B9">
            <w:pPr>
              <w:pStyle w:val="NoSpacing"/>
              <w:rPr>
                <w:sz w:val="18"/>
                <w:lang w:val="ro-RO"/>
              </w:rPr>
            </w:pPr>
            <w:r w:rsidRPr="007E6421">
              <w:rPr>
                <w:b/>
                <w:bCs/>
                <w:sz w:val="18"/>
                <w:lang w:val="ro-RO"/>
              </w:rPr>
              <w:t>384.</w:t>
            </w:r>
            <w:r w:rsidRPr="007E6421">
              <w:rPr>
                <w:sz w:val="18"/>
                <w:lang w:val="ro-RO"/>
              </w:rPr>
              <w:t xml:space="preserve"> Preţul de rezervă pentru un produs de capacitate agregată este egal cu suma preţurilor de rezervă pentru capacităţile care contribuie la produsul respectiv. Preţurile de rezervă pentru capacităţile de intrare şi de ieşire corespunzătoare se pun la dispoziţie atunci când este oferit produsul de capacitate agregată şi se alocă cu ajutorul unei platforme de rezervare comune, menţionate la pct.312-317.</w:t>
            </w:r>
          </w:p>
          <w:p w:rsidR="001613B9" w:rsidRPr="007E6421" w:rsidRDefault="001613B9" w:rsidP="001613B9">
            <w:pPr>
              <w:pStyle w:val="NoSpacing"/>
              <w:rPr>
                <w:b/>
                <w:bCs/>
                <w:sz w:val="18"/>
                <w:lang w:val="ro-RO"/>
              </w:rPr>
            </w:pPr>
          </w:p>
          <w:p w:rsidR="001613B9" w:rsidRPr="007E6421" w:rsidRDefault="001613B9" w:rsidP="001613B9">
            <w:pPr>
              <w:pStyle w:val="NoSpacing"/>
              <w:rPr>
                <w:sz w:val="18"/>
                <w:lang w:val="ro-RO"/>
              </w:rPr>
            </w:pPr>
            <w:r w:rsidRPr="007E6421">
              <w:rPr>
                <w:b/>
                <w:bCs/>
                <w:sz w:val="18"/>
                <w:lang w:val="ro-RO"/>
              </w:rPr>
              <w:t>385.</w:t>
            </w:r>
            <w:r w:rsidRPr="007E6421">
              <w:rPr>
                <w:sz w:val="18"/>
                <w:lang w:val="ro-RO"/>
              </w:rPr>
              <w:t xml:space="preserve"> Venitul rezultat din vânzarea produselor de capacitate agregată corespunzător preţului de rezervă pentru aceste produse se atribuie OST respectivi, după cum urmează:</w:t>
            </w:r>
          </w:p>
          <w:p w:rsidR="001613B9" w:rsidRPr="007E6421" w:rsidRDefault="001613B9" w:rsidP="001613B9">
            <w:pPr>
              <w:pStyle w:val="NoSpacing"/>
              <w:rPr>
                <w:sz w:val="18"/>
                <w:lang w:val="ro-RO"/>
              </w:rPr>
            </w:pPr>
            <w:r w:rsidRPr="007E6421">
              <w:rPr>
                <w:sz w:val="18"/>
                <w:lang w:val="ro-RO"/>
              </w:rPr>
              <w:t>1) după fiecare tranzacţie pentru un produs de capacitate agregată;</w:t>
            </w:r>
          </w:p>
          <w:p w:rsidR="001613B9" w:rsidRPr="007E6421" w:rsidRDefault="001613B9" w:rsidP="001613B9">
            <w:pPr>
              <w:pStyle w:val="NoSpacing"/>
              <w:rPr>
                <w:sz w:val="18"/>
                <w:lang w:val="ro-RO"/>
              </w:rPr>
            </w:pPr>
            <w:r w:rsidRPr="007E6421">
              <w:rPr>
                <w:sz w:val="18"/>
                <w:lang w:val="ro-RO"/>
              </w:rPr>
              <w:t>2) proporţional cu preţurile de rezervă pentru capacităţile care contribuie la produsul respectiv.</w:t>
            </w:r>
          </w:p>
          <w:p w:rsidR="001613B9" w:rsidRPr="007E6421" w:rsidRDefault="001613B9" w:rsidP="001613B9">
            <w:pPr>
              <w:pStyle w:val="NoSpacing"/>
              <w:rPr>
                <w:b/>
                <w:bCs/>
                <w:sz w:val="18"/>
                <w:lang w:val="ro-RO"/>
              </w:rPr>
            </w:pPr>
          </w:p>
          <w:p w:rsidR="001613B9" w:rsidRPr="007E6421" w:rsidRDefault="001613B9" w:rsidP="001613B9">
            <w:pPr>
              <w:pStyle w:val="NoSpacing"/>
              <w:rPr>
                <w:sz w:val="18"/>
                <w:lang w:val="ro-RO"/>
              </w:rPr>
            </w:pPr>
            <w:r w:rsidRPr="007E6421">
              <w:rPr>
                <w:b/>
                <w:bCs/>
                <w:sz w:val="18"/>
                <w:lang w:val="ro-RO"/>
              </w:rPr>
              <w:t>386.</w:t>
            </w:r>
            <w:r w:rsidRPr="007E6421">
              <w:rPr>
                <w:sz w:val="18"/>
                <w:lang w:val="ro-RO"/>
              </w:rPr>
              <w:t xml:space="preserve"> Prima de licitaţie rezultată din vânzarea produselor de capacitate agregată se atribuie în conformitate cu acordul dintre respectivii OST, care trebuie aprobat de către Agenţie sau reprezentanţii autorităţilor naţionale de reglementare cu cel mult 3 luni înainte de începutul licitaţiilor anuale ale capacităţii anuale. În absenţa acestei aprobări de către autorităţile naţionale de reglementare implicate, prima de licitaţie se atribuie în mod egal respectivilor OST.</w:t>
            </w:r>
          </w:p>
          <w:p w:rsidR="001613B9" w:rsidRDefault="001613B9" w:rsidP="001613B9">
            <w:pPr>
              <w:pStyle w:val="NoSpacing"/>
              <w:rPr>
                <w:b/>
                <w:bCs/>
                <w:sz w:val="18"/>
                <w:lang w:val="ro-RO"/>
              </w:rPr>
            </w:pPr>
          </w:p>
          <w:p w:rsidR="00951B51" w:rsidRPr="007E6421" w:rsidRDefault="00951B51" w:rsidP="001613B9">
            <w:pPr>
              <w:pStyle w:val="NoSpacing"/>
              <w:rPr>
                <w:b/>
                <w:bCs/>
                <w:sz w:val="18"/>
                <w:lang w:val="ro-RO"/>
              </w:rPr>
            </w:pPr>
          </w:p>
          <w:p w:rsidR="001613B9" w:rsidRPr="007E6421" w:rsidRDefault="001613B9" w:rsidP="001613B9">
            <w:pPr>
              <w:pStyle w:val="NoSpacing"/>
              <w:rPr>
                <w:sz w:val="18"/>
                <w:lang w:val="ro-RO"/>
              </w:rPr>
            </w:pPr>
            <w:r w:rsidRPr="007E6421">
              <w:rPr>
                <w:b/>
                <w:bCs/>
                <w:sz w:val="18"/>
                <w:lang w:val="ro-RO"/>
              </w:rPr>
              <w:t>387.</w:t>
            </w:r>
            <w:r w:rsidRPr="007E6421">
              <w:rPr>
                <w:sz w:val="18"/>
                <w:lang w:val="ro-RO"/>
              </w:rPr>
              <w:t xml:space="preserve"> Dacă punctul de interconectare conectează sisteme de intrare/ieşire adiacente din 2 Părţi Contractante, autorităţile naţionale de reglementare competente transmit Comitetul de reglementare al CE, cu titlu informativ, acordul menţionat la pct.386.</w:t>
            </w:r>
          </w:p>
          <w:p w:rsidR="00D146AC" w:rsidRPr="00043955" w:rsidRDefault="00D146AC" w:rsidP="00DA725A">
            <w:pPr>
              <w:pStyle w:val="NoSpacing"/>
              <w:rPr>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AC425B" w:rsidRPr="00D82EE4" w:rsidRDefault="00AC425B"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951B51" w:rsidRDefault="00951B51" w:rsidP="00DA725A">
            <w:pPr>
              <w:rPr>
                <w:sz w:val="18"/>
                <w:szCs w:val="18"/>
              </w:rPr>
            </w:pPr>
          </w:p>
          <w:p w:rsidR="00951B51" w:rsidRDefault="00951B51"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0B5876" w:rsidRDefault="000B5876" w:rsidP="00DA725A">
            <w:pPr>
              <w:jc w:val="both"/>
              <w:rPr>
                <w:b/>
                <w:sz w:val="18"/>
                <w:szCs w:val="18"/>
              </w:rPr>
            </w:pPr>
          </w:p>
          <w:p w:rsidR="000B5876" w:rsidRDefault="000B5876" w:rsidP="00DA725A">
            <w:pPr>
              <w:jc w:val="both"/>
              <w:rPr>
                <w:b/>
                <w:sz w:val="18"/>
                <w:szCs w:val="18"/>
              </w:rPr>
            </w:pPr>
          </w:p>
          <w:p w:rsidR="000B5876" w:rsidRDefault="000B5876" w:rsidP="00DA725A">
            <w:pPr>
              <w:jc w:val="both"/>
              <w:rPr>
                <w:b/>
                <w:sz w:val="18"/>
                <w:szCs w:val="18"/>
              </w:rPr>
            </w:pPr>
          </w:p>
          <w:p w:rsidR="000B5876" w:rsidRDefault="000B5876"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8B1F16" w:rsidRDefault="008B1F16" w:rsidP="00DA725A">
            <w:pPr>
              <w:jc w:val="both"/>
              <w:rPr>
                <w:b/>
                <w:sz w:val="18"/>
                <w:szCs w:val="18"/>
              </w:rPr>
            </w:pPr>
          </w:p>
          <w:p w:rsidR="008B1F16" w:rsidRDefault="008B1F16" w:rsidP="00DA725A">
            <w:pPr>
              <w:jc w:val="both"/>
              <w:rPr>
                <w:b/>
                <w:sz w:val="18"/>
                <w:szCs w:val="18"/>
              </w:rPr>
            </w:pPr>
          </w:p>
          <w:p w:rsidR="008B1F16" w:rsidRDefault="008B1F16"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951B51" w:rsidRDefault="00951B51"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1177C4" w:rsidRPr="00E84D74" w:rsidRDefault="001177C4" w:rsidP="00FC3840">
            <w:pPr>
              <w:autoSpaceDE w:val="0"/>
              <w:autoSpaceDN w:val="0"/>
              <w:adjustRightInd w:val="0"/>
              <w:jc w:val="both"/>
              <w:rPr>
                <w:b/>
                <w:bCs/>
                <w:sz w:val="18"/>
                <w:szCs w:val="18"/>
              </w:rPr>
            </w:pPr>
            <w:r w:rsidRPr="00E84D74">
              <w:rPr>
                <w:b/>
                <w:bCs/>
                <w:sz w:val="18"/>
                <w:szCs w:val="18"/>
              </w:rPr>
              <w:t>CHAPTER V</w:t>
            </w:r>
          </w:p>
          <w:p w:rsidR="001177C4" w:rsidRPr="00E84D74" w:rsidRDefault="001177C4" w:rsidP="00FC3840">
            <w:pPr>
              <w:autoSpaceDE w:val="0"/>
              <w:autoSpaceDN w:val="0"/>
              <w:adjustRightInd w:val="0"/>
              <w:jc w:val="both"/>
              <w:rPr>
                <w:b/>
                <w:bCs/>
                <w:sz w:val="18"/>
                <w:szCs w:val="18"/>
              </w:rPr>
            </w:pPr>
            <w:r w:rsidRPr="00E84D74">
              <w:rPr>
                <w:b/>
                <w:bCs/>
                <w:sz w:val="18"/>
                <w:szCs w:val="18"/>
              </w:rPr>
              <w:t>PRICING OF BUNDLED CAPACITY AND CAPACITY AT VIRTUAL INTERCONNECTION</w:t>
            </w:r>
          </w:p>
          <w:p w:rsidR="001177C4" w:rsidRPr="00E84D74" w:rsidRDefault="001177C4" w:rsidP="00FC3840">
            <w:pPr>
              <w:autoSpaceDE w:val="0"/>
              <w:autoSpaceDN w:val="0"/>
              <w:adjustRightInd w:val="0"/>
              <w:jc w:val="both"/>
              <w:rPr>
                <w:b/>
                <w:bCs/>
                <w:sz w:val="18"/>
                <w:szCs w:val="18"/>
              </w:rPr>
            </w:pPr>
            <w:r w:rsidRPr="00E84D74">
              <w:rPr>
                <w:b/>
                <w:bCs/>
                <w:sz w:val="18"/>
                <w:szCs w:val="18"/>
              </w:rPr>
              <w:t>POINTS</w:t>
            </w:r>
          </w:p>
          <w:p w:rsidR="00CD7886" w:rsidRPr="00E84D74" w:rsidRDefault="00CD7886" w:rsidP="00FC3840">
            <w:pPr>
              <w:autoSpaceDE w:val="0"/>
              <w:autoSpaceDN w:val="0"/>
              <w:adjustRightInd w:val="0"/>
              <w:jc w:val="both"/>
              <w:rPr>
                <w:b/>
                <w:bCs/>
                <w:i/>
                <w:iCs/>
                <w:sz w:val="18"/>
                <w:szCs w:val="18"/>
              </w:rPr>
            </w:pPr>
          </w:p>
          <w:p w:rsidR="001177C4" w:rsidRPr="00E84D74" w:rsidRDefault="001177C4" w:rsidP="00FC3840">
            <w:pPr>
              <w:autoSpaceDE w:val="0"/>
              <w:autoSpaceDN w:val="0"/>
              <w:adjustRightInd w:val="0"/>
              <w:jc w:val="both"/>
              <w:rPr>
                <w:b/>
                <w:bCs/>
                <w:i/>
                <w:iCs/>
                <w:sz w:val="18"/>
                <w:szCs w:val="18"/>
              </w:rPr>
            </w:pPr>
            <w:r w:rsidRPr="00E84D74">
              <w:rPr>
                <w:b/>
                <w:bCs/>
                <w:i/>
                <w:iCs/>
                <w:sz w:val="18"/>
                <w:szCs w:val="18"/>
              </w:rPr>
              <w:t>Article 21</w:t>
            </w:r>
          </w:p>
          <w:p w:rsidR="00D146AC" w:rsidRPr="00E84D74" w:rsidRDefault="001177C4" w:rsidP="00FC3840">
            <w:pPr>
              <w:jc w:val="both"/>
              <w:rPr>
                <w:b/>
                <w:bCs/>
                <w:sz w:val="18"/>
                <w:szCs w:val="18"/>
              </w:rPr>
            </w:pPr>
            <w:r w:rsidRPr="00E84D74">
              <w:rPr>
                <w:b/>
                <w:bCs/>
                <w:sz w:val="18"/>
                <w:szCs w:val="18"/>
              </w:rPr>
              <w:t>Pricing of bundled capacity</w:t>
            </w:r>
          </w:p>
          <w:p w:rsidR="001177C4" w:rsidRPr="00E84D74" w:rsidRDefault="001177C4" w:rsidP="00FC3840">
            <w:pPr>
              <w:autoSpaceDE w:val="0"/>
              <w:autoSpaceDN w:val="0"/>
              <w:adjustRightInd w:val="0"/>
              <w:jc w:val="both"/>
              <w:rPr>
                <w:sz w:val="18"/>
                <w:szCs w:val="18"/>
              </w:rPr>
            </w:pPr>
            <w:r w:rsidRPr="00E84D74">
              <w:rPr>
                <w:sz w:val="18"/>
                <w:szCs w:val="18"/>
              </w:rPr>
              <w:t>1. The reserve price for a bundled capacity product shall be equal to the sum of the reserve prices for the</w:t>
            </w:r>
            <w:r w:rsidR="008E0144" w:rsidRPr="00E84D74">
              <w:rPr>
                <w:sz w:val="18"/>
                <w:szCs w:val="18"/>
              </w:rPr>
              <w:t xml:space="preserve"> </w:t>
            </w:r>
            <w:r w:rsidRPr="00E84D74">
              <w:rPr>
                <w:sz w:val="18"/>
                <w:szCs w:val="18"/>
              </w:rPr>
              <w:t>capacities contributing to such product. The reserve prices for corresponding entry and exit capacities</w:t>
            </w:r>
            <w:r w:rsidR="008E0144" w:rsidRPr="00E84D74">
              <w:rPr>
                <w:sz w:val="18"/>
                <w:szCs w:val="18"/>
              </w:rPr>
              <w:t xml:space="preserve"> </w:t>
            </w:r>
            <w:r w:rsidRPr="00E84D74">
              <w:rPr>
                <w:sz w:val="18"/>
                <w:szCs w:val="18"/>
              </w:rPr>
              <w:t>shall be made available when the bundled capacity product is offered and allocated by means of a joint</w:t>
            </w:r>
            <w:r w:rsidR="008E0144" w:rsidRPr="00E84D74">
              <w:rPr>
                <w:sz w:val="18"/>
                <w:szCs w:val="18"/>
              </w:rPr>
              <w:t xml:space="preserve"> </w:t>
            </w:r>
            <w:r w:rsidRPr="00E84D74">
              <w:rPr>
                <w:sz w:val="18"/>
                <w:szCs w:val="18"/>
              </w:rPr>
              <w:t>booking platform referred to in Article 37 of Regulation (EU) 2017/459.</w:t>
            </w:r>
          </w:p>
          <w:p w:rsidR="001177C4" w:rsidRPr="00E84D74" w:rsidRDefault="001177C4" w:rsidP="00FC3840">
            <w:pPr>
              <w:autoSpaceDE w:val="0"/>
              <w:autoSpaceDN w:val="0"/>
              <w:adjustRightInd w:val="0"/>
              <w:jc w:val="both"/>
              <w:rPr>
                <w:sz w:val="18"/>
                <w:szCs w:val="18"/>
              </w:rPr>
            </w:pPr>
            <w:r w:rsidRPr="00E84D74">
              <w:rPr>
                <w:sz w:val="18"/>
                <w:szCs w:val="18"/>
              </w:rPr>
              <w:t>2. The revenue originating from the bundled capacity product sales corresponding to the reserve price</w:t>
            </w:r>
            <w:r w:rsidR="008E0144" w:rsidRPr="00E84D74">
              <w:rPr>
                <w:sz w:val="18"/>
                <w:szCs w:val="18"/>
              </w:rPr>
              <w:t xml:space="preserve"> </w:t>
            </w:r>
            <w:r w:rsidRPr="00E84D74">
              <w:rPr>
                <w:sz w:val="18"/>
                <w:szCs w:val="18"/>
              </w:rPr>
              <w:t>for such product shall be attributed to the respective transmission system operators as follows:</w:t>
            </w:r>
          </w:p>
          <w:p w:rsidR="001177C4" w:rsidRPr="00E84D74" w:rsidRDefault="001177C4" w:rsidP="00FC3840">
            <w:pPr>
              <w:autoSpaceDE w:val="0"/>
              <w:autoSpaceDN w:val="0"/>
              <w:adjustRightInd w:val="0"/>
              <w:jc w:val="both"/>
              <w:rPr>
                <w:sz w:val="18"/>
                <w:szCs w:val="18"/>
              </w:rPr>
            </w:pPr>
            <w:r w:rsidRPr="00E84D74">
              <w:rPr>
                <w:sz w:val="18"/>
                <w:szCs w:val="18"/>
              </w:rPr>
              <w:t>(a) after each transaction for a bundled capacity</w:t>
            </w:r>
            <w:r w:rsidR="00553A3D">
              <w:rPr>
                <w:sz w:val="18"/>
                <w:szCs w:val="18"/>
              </w:rPr>
              <w:t xml:space="preserve"> </w:t>
            </w:r>
            <w:r w:rsidRPr="00E84D74">
              <w:rPr>
                <w:sz w:val="18"/>
                <w:szCs w:val="18"/>
              </w:rPr>
              <w:t>product;</w:t>
            </w:r>
          </w:p>
          <w:p w:rsidR="001177C4" w:rsidRPr="00E84D74" w:rsidRDefault="001177C4" w:rsidP="00FC3840">
            <w:pPr>
              <w:autoSpaceDE w:val="0"/>
              <w:autoSpaceDN w:val="0"/>
              <w:adjustRightInd w:val="0"/>
              <w:jc w:val="both"/>
              <w:rPr>
                <w:sz w:val="18"/>
                <w:szCs w:val="18"/>
              </w:rPr>
            </w:pPr>
            <w:r w:rsidRPr="00E84D74">
              <w:rPr>
                <w:sz w:val="18"/>
                <w:szCs w:val="18"/>
              </w:rPr>
              <w:t>(b) in proportion to the reserve prices for the capacities contributing to such product.</w:t>
            </w:r>
          </w:p>
          <w:p w:rsidR="001177C4" w:rsidRPr="00E84D74" w:rsidRDefault="001177C4" w:rsidP="00FC3840">
            <w:pPr>
              <w:autoSpaceDE w:val="0"/>
              <w:autoSpaceDN w:val="0"/>
              <w:adjustRightInd w:val="0"/>
              <w:jc w:val="both"/>
              <w:rPr>
                <w:sz w:val="18"/>
                <w:szCs w:val="18"/>
              </w:rPr>
            </w:pPr>
            <w:r w:rsidRPr="00E84D74">
              <w:rPr>
                <w:sz w:val="18"/>
                <w:szCs w:val="18"/>
              </w:rPr>
              <w:t>3. The auction premium originating from the bundled capacity product sales shall be attributed in accordance</w:t>
            </w:r>
          </w:p>
          <w:p w:rsidR="001177C4" w:rsidRPr="00E84D74" w:rsidRDefault="001177C4" w:rsidP="00FC3840">
            <w:pPr>
              <w:autoSpaceDE w:val="0"/>
              <w:autoSpaceDN w:val="0"/>
              <w:adjustRightInd w:val="0"/>
              <w:jc w:val="both"/>
              <w:rPr>
                <w:sz w:val="18"/>
                <w:szCs w:val="18"/>
              </w:rPr>
            </w:pPr>
            <w:r w:rsidRPr="00E84D74">
              <w:rPr>
                <w:sz w:val="18"/>
                <w:szCs w:val="18"/>
              </w:rPr>
              <w:t>with the agreement between the respective transmission system operators which is subject</w:t>
            </w:r>
            <w:r w:rsidR="008E0144" w:rsidRPr="00E84D74">
              <w:rPr>
                <w:sz w:val="18"/>
                <w:szCs w:val="18"/>
              </w:rPr>
              <w:t xml:space="preserve"> </w:t>
            </w:r>
            <w:r w:rsidRPr="00E84D74">
              <w:rPr>
                <w:sz w:val="18"/>
                <w:szCs w:val="18"/>
              </w:rPr>
              <w:t>to the approval by the national regulatory authority or authorities to be granted no later than three</w:t>
            </w:r>
            <w:r w:rsidR="008E0144" w:rsidRPr="00E84D74">
              <w:rPr>
                <w:sz w:val="18"/>
                <w:szCs w:val="18"/>
              </w:rPr>
              <w:t xml:space="preserve"> </w:t>
            </w:r>
            <w:r w:rsidRPr="00E84D74">
              <w:rPr>
                <w:sz w:val="18"/>
                <w:szCs w:val="18"/>
              </w:rPr>
              <w:t>months before the start of the annual yearly capacity auctions. In absence of such approval by all national</w:t>
            </w:r>
            <w:r w:rsidR="008E0144" w:rsidRPr="00E84D74">
              <w:rPr>
                <w:sz w:val="18"/>
                <w:szCs w:val="18"/>
              </w:rPr>
              <w:t xml:space="preserve"> </w:t>
            </w:r>
            <w:r w:rsidRPr="00E84D74">
              <w:rPr>
                <w:sz w:val="18"/>
                <w:szCs w:val="18"/>
              </w:rPr>
              <w:t xml:space="preserve">regulatory authorities involved, the auction premium shall be attributed to the </w:t>
            </w:r>
            <w:r w:rsidR="00553A3D">
              <w:rPr>
                <w:sz w:val="18"/>
                <w:szCs w:val="18"/>
              </w:rPr>
              <w:t>r</w:t>
            </w:r>
            <w:r w:rsidRPr="00E84D74">
              <w:rPr>
                <w:sz w:val="18"/>
                <w:szCs w:val="18"/>
              </w:rPr>
              <w:t>espective transmission</w:t>
            </w:r>
            <w:r w:rsidR="000B5876" w:rsidRPr="00E84D74">
              <w:rPr>
                <w:sz w:val="18"/>
                <w:szCs w:val="18"/>
              </w:rPr>
              <w:t xml:space="preserve"> </w:t>
            </w:r>
            <w:r w:rsidRPr="00E84D74">
              <w:rPr>
                <w:sz w:val="18"/>
                <w:szCs w:val="18"/>
              </w:rPr>
              <w:t>system operators equally.</w:t>
            </w:r>
          </w:p>
          <w:p w:rsidR="001177C4" w:rsidRPr="00E84D74" w:rsidRDefault="001177C4" w:rsidP="00FC3840">
            <w:pPr>
              <w:autoSpaceDE w:val="0"/>
              <w:autoSpaceDN w:val="0"/>
              <w:adjustRightInd w:val="0"/>
              <w:jc w:val="both"/>
              <w:rPr>
                <w:b/>
                <w:bCs/>
                <w:sz w:val="18"/>
                <w:szCs w:val="18"/>
              </w:rPr>
            </w:pPr>
            <w:r w:rsidRPr="00E84D74">
              <w:rPr>
                <w:sz w:val="18"/>
                <w:szCs w:val="18"/>
              </w:rPr>
              <w:t xml:space="preserve">4. Where the interconnection point concerned connects adjacent entry-exit systems of two </w:t>
            </w:r>
            <w:r w:rsidRPr="00E84D74">
              <w:rPr>
                <w:b/>
                <w:bCs/>
                <w:sz w:val="18"/>
                <w:szCs w:val="18"/>
              </w:rPr>
              <w:t>Contracting</w:t>
            </w:r>
          </w:p>
          <w:p w:rsidR="001177C4" w:rsidRPr="00E84D74" w:rsidRDefault="001177C4" w:rsidP="00FC3840">
            <w:pPr>
              <w:autoSpaceDE w:val="0"/>
              <w:autoSpaceDN w:val="0"/>
              <w:adjustRightInd w:val="0"/>
              <w:jc w:val="both"/>
              <w:rPr>
                <w:sz w:val="18"/>
                <w:szCs w:val="18"/>
              </w:rPr>
            </w:pPr>
            <w:r w:rsidRPr="00E84D74">
              <w:rPr>
                <w:b/>
                <w:bCs/>
                <w:sz w:val="18"/>
                <w:szCs w:val="18"/>
              </w:rPr>
              <w:t>Parties</w:t>
            </w:r>
            <w:r w:rsidRPr="00E84D74">
              <w:rPr>
                <w:sz w:val="18"/>
                <w:szCs w:val="18"/>
              </w:rPr>
              <w:t>, the respective national regulatory authorities shall submit the agreement referred to in paragraph</w:t>
            </w:r>
          </w:p>
          <w:p w:rsidR="001177C4" w:rsidRPr="00E84D74" w:rsidRDefault="001177C4" w:rsidP="00FC3840">
            <w:pPr>
              <w:jc w:val="both"/>
              <w:rPr>
                <w:b/>
                <w:sz w:val="18"/>
                <w:szCs w:val="18"/>
              </w:rPr>
            </w:pPr>
            <w:r w:rsidRPr="00E84D74">
              <w:rPr>
                <w:sz w:val="18"/>
                <w:szCs w:val="18"/>
              </w:rPr>
              <w:t xml:space="preserve">3 to the </w:t>
            </w:r>
            <w:r w:rsidRPr="00E84D74">
              <w:rPr>
                <w:b/>
                <w:bCs/>
                <w:sz w:val="18"/>
                <w:szCs w:val="18"/>
              </w:rPr>
              <w:t xml:space="preserve">Energy Community Regulatory Board </w:t>
            </w:r>
            <w:r w:rsidRPr="00E84D74">
              <w:rPr>
                <w:sz w:val="18"/>
                <w:szCs w:val="18"/>
              </w:rPr>
              <w:t>for information.</w:t>
            </w:r>
          </w:p>
        </w:tc>
      </w:tr>
      <w:tr w:rsidR="00D146AC" w:rsidRPr="00043955" w:rsidTr="00CD08E3">
        <w:trPr>
          <w:trHeight w:val="6929"/>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22</w:t>
            </w:r>
          </w:p>
          <w:p w:rsidR="00D146AC" w:rsidRPr="00D82EE4" w:rsidRDefault="00D146AC" w:rsidP="00DA725A">
            <w:pPr>
              <w:shd w:val="clear" w:color="auto" w:fill="FFFFFF"/>
              <w:jc w:val="both"/>
              <w:rPr>
                <w:b/>
                <w:bCs/>
                <w:sz w:val="18"/>
                <w:szCs w:val="18"/>
                <w:lang w:val="it-IT"/>
              </w:rPr>
            </w:pPr>
            <w:r w:rsidRPr="00D82EE4">
              <w:rPr>
                <w:b/>
                <w:bCs/>
                <w:sz w:val="18"/>
                <w:szCs w:val="18"/>
                <w:lang w:val="it-IT"/>
              </w:rPr>
              <w:t>Stabilirea prețurilor pentru capacitatea într-un punct de interconectare virtual</w:t>
            </w:r>
          </w:p>
          <w:p w:rsidR="00D146AC" w:rsidRPr="00D82EE4" w:rsidRDefault="00D146AC" w:rsidP="00DA725A">
            <w:pPr>
              <w:shd w:val="clear" w:color="auto" w:fill="FFFFFF"/>
              <w:jc w:val="both"/>
              <w:rPr>
                <w:sz w:val="18"/>
                <w:szCs w:val="18"/>
                <w:lang w:val="it-IT"/>
              </w:rPr>
            </w:pPr>
            <w:r w:rsidRPr="00D82EE4">
              <w:rPr>
                <w:sz w:val="18"/>
                <w:szCs w:val="18"/>
                <w:lang w:val="it-IT"/>
              </w:rPr>
              <w:t>(1)   Prețul de rezervă pentru un produs de capacitate standard neagregată oferit într-un punct de interconectare virtual se calculează în conformitate cu oricare dintre următoarele abordări: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prețul respectiv se calculează pe baza prețului de referință, în cazul în care metodologia de stabilire a prețurilor de referință aplicată permite luarea în considerare a punctului de interconectare virtual stabilit;</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Default="00D146AC" w:rsidP="00DA725A">
                  <w:pPr>
                    <w:jc w:val="both"/>
                    <w:rPr>
                      <w:sz w:val="18"/>
                      <w:szCs w:val="18"/>
                      <w:lang w:val="it-IT"/>
                    </w:rPr>
                  </w:pPr>
                  <w:r w:rsidRPr="00D82EE4">
                    <w:rPr>
                      <w:sz w:val="18"/>
                      <w:szCs w:val="18"/>
                      <w:lang w:val="it-IT"/>
                    </w:rPr>
                    <w:t>prețul respectiv este egal cu media ponderată a prețurilor de rezervă, în cazul în care această medie se calculează pe baza prețurilor de referință pentru fiecare punct de interconectare care contribuie la respectivul punct de interconectare virtual, în cazul în care metodologia de stabilire a prețurilor de referință aplicată nu permite luarea în considerare a punctului de interconectare virtual stabilit, în conformitate cu următoarea formulă:</w:t>
                  </w:r>
                </w:p>
                <w:p w:rsidR="002A05E3" w:rsidRDefault="002A05E3" w:rsidP="00DA725A">
                  <w:pPr>
                    <w:jc w:val="both"/>
                    <w:rPr>
                      <w:sz w:val="18"/>
                      <w:szCs w:val="18"/>
                      <w:lang w:val="it-IT"/>
                    </w:rPr>
                  </w:pPr>
                </w:p>
                <w:p w:rsidR="002A05E3" w:rsidRPr="00D82EE4" w:rsidRDefault="002A05E3" w:rsidP="00DA725A">
                  <w:pPr>
                    <w:jc w:val="both"/>
                    <w:rPr>
                      <w:sz w:val="18"/>
                      <w:szCs w:val="18"/>
                      <w:lang w:val="it-IT"/>
                    </w:rPr>
                  </w:pPr>
                </w:p>
                <w:p w:rsidR="00D146AC" w:rsidRPr="00043955" w:rsidRDefault="00D146AC" w:rsidP="00DA725A">
                  <w:pPr>
                    <w:jc w:val="center"/>
                    <w:rPr>
                      <w:sz w:val="18"/>
                      <w:szCs w:val="18"/>
                    </w:rPr>
                  </w:pPr>
                  <w:r w:rsidRPr="00043955">
                    <w:rPr>
                      <w:noProof/>
                      <w:sz w:val="18"/>
                      <w:szCs w:val="18"/>
                      <w:lang w:eastAsia="en-US"/>
                    </w:rPr>
                    <w:drawing>
                      <wp:inline distT="0" distB="0" distL="0" distR="0" wp14:anchorId="55A31404" wp14:editId="6C43C12E">
                        <wp:extent cx="1171575" cy="266459"/>
                        <wp:effectExtent l="0" t="0" r="0" b="635"/>
                        <wp:docPr id="24"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20294" cy="277539"/>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4"/>
                    <w:gridCol w:w="4953"/>
                  </w:tblGrid>
                  <w:tr w:rsidR="00D146AC" w:rsidRPr="00043955" w:rsidTr="00B92DDC">
                    <w:tc>
                      <w:tcPr>
                        <w:tcW w:w="46"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7" w:type="dxa"/>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st, VIP</w:t>
                        </w:r>
                        <w:r w:rsidRPr="00043955">
                          <w:rPr>
                            <w:sz w:val="18"/>
                            <w:szCs w:val="18"/>
                          </w:rPr>
                          <w:t> este prețul de rezervă pentru un anumit produs de capacitate standard neagregată într-un punct de interconectare virtual;</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6"/>
                    <w:gridCol w:w="4941"/>
                  </w:tblGrid>
                  <w:tr w:rsidR="00D146AC" w:rsidRPr="00C27D66" w:rsidTr="00B92DDC">
                    <w:tc>
                      <w:tcPr>
                        <w:tcW w:w="69"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24" w:type="dxa"/>
                        <w:shd w:val="clear" w:color="auto" w:fill="auto"/>
                        <w:hideMark/>
                      </w:tcPr>
                      <w:p w:rsidR="00D146AC" w:rsidRPr="00D82EE4" w:rsidRDefault="00D146AC" w:rsidP="00DA725A">
                        <w:pPr>
                          <w:jc w:val="both"/>
                          <w:rPr>
                            <w:sz w:val="18"/>
                            <w:szCs w:val="18"/>
                            <w:lang w:val="it-IT"/>
                          </w:rPr>
                        </w:pPr>
                        <w:r w:rsidRPr="00D82EE4">
                          <w:rPr>
                            <w:sz w:val="18"/>
                            <w:szCs w:val="18"/>
                            <w:lang w:val="it-IT"/>
                          </w:rPr>
                          <w:t>i este un punct de interconectare care contribuie la punctul de interconectare virtual;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42"/>
                    <w:gridCol w:w="4945"/>
                  </w:tblGrid>
                  <w:tr w:rsidR="00D146AC" w:rsidRPr="00C27D66" w:rsidTr="00B92DDC">
                    <w:tc>
                      <w:tcPr>
                        <w:tcW w:w="61"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32" w:type="dxa"/>
                        <w:shd w:val="clear" w:color="auto" w:fill="auto"/>
                        <w:hideMark/>
                      </w:tcPr>
                      <w:p w:rsidR="00D146AC" w:rsidRPr="00D82EE4" w:rsidRDefault="00D146AC" w:rsidP="00DA725A">
                        <w:pPr>
                          <w:jc w:val="both"/>
                          <w:rPr>
                            <w:sz w:val="18"/>
                            <w:szCs w:val="18"/>
                            <w:lang w:val="it-IT"/>
                          </w:rPr>
                        </w:pPr>
                        <w:r w:rsidRPr="00D82EE4">
                          <w:rPr>
                            <w:sz w:val="18"/>
                            <w:szCs w:val="18"/>
                            <w:lang w:val="it-IT"/>
                          </w:rPr>
                          <w:t>n este numărul de puncte de interconectare care contribuie la punctul de interconectare virtual;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6"/>
                    <w:gridCol w:w="4951"/>
                  </w:tblGrid>
                  <w:tr w:rsidR="00D146AC" w:rsidRPr="00C27D66" w:rsidTr="00B92DDC">
                    <w:tc>
                      <w:tcPr>
                        <w:tcW w:w="4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4" w:type="dxa"/>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st, i</w:t>
                        </w:r>
                        <w:r w:rsidRPr="00D82EE4">
                          <w:rPr>
                            <w:sz w:val="18"/>
                            <w:szCs w:val="18"/>
                            <w:lang w:val="it-IT"/>
                          </w:rPr>
                          <w:t> este prețul de rezervă pentru un anumit produs de capacitate standard neagregată într-un punct de interconectare i;</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8"/>
                    <w:gridCol w:w="4949"/>
                  </w:tblGrid>
                  <w:tr w:rsidR="00D146AC" w:rsidRPr="00C27D66" w:rsidTr="00B92DDC">
                    <w:tc>
                      <w:tcPr>
                        <w:tcW w:w="5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0"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i</w:t>
                        </w:r>
                        <w:r w:rsidRPr="00D82EE4">
                          <w:rPr>
                            <w:sz w:val="18"/>
                            <w:szCs w:val="18"/>
                            <w:lang w:val="it-IT"/>
                          </w:rPr>
                          <w:t> este capacitatea tehnică sau capacitatea contractată estimată, după caz, într-un punct de interconectare i.</w:t>
                        </w:r>
                      </w:p>
                    </w:tc>
                  </w:tr>
                </w:tbl>
                <w:p w:rsidR="00D146AC" w:rsidRPr="00D82EE4" w:rsidRDefault="00D146AC" w:rsidP="00DA725A">
                  <w:pPr>
                    <w:jc w:val="both"/>
                    <w:rPr>
                      <w:sz w:val="18"/>
                      <w:szCs w:val="18"/>
                      <w:lang w:val="it-IT"/>
                    </w:rPr>
                  </w:pPr>
                </w:p>
              </w:tc>
            </w:tr>
          </w:tbl>
          <w:p w:rsidR="00553A3D" w:rsidRDefault="00553A3D" w:rsidP="00DA725A">
            <w:pPr>
              <w:shd w:val="clear" w:color="auto" w:fill="FFFFFF"/>
              <w:jc w:val="both"/>
              <w:rPr>
                <w:sz w:val="18"/>
                <w:szCs w:val="18"/>
                <w:lang w:val="it-IT"/>
              </w:rPr>
            </w:pPr>
          </w:p>
          <w:p w:rsidR="002A05E3" w:rsidRDefault="002A05E3"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(2)   Prețul de rezervă pentru un produs de capacitate standard agregată oferit într-un punct de interconectare virtual se calculează în conformitate cu articolul 21 alineatul (1).</w:t>
            </w:r>
          </w:p>
        </w:tc>
        <w:tc>
          <w:tcPr>
            <w:tcW w:w="4962" w:type="dxa"/>
          </w:tcPr>
          <w:p w:rsidR="00DB795A" w:rsidRPr="00DB795A" w:rsidRDefault="00DB795A" w:rsidP="00DB795A">
            <w:pPr>
              <w:shd w:val="clear" w:color="auto" w:fill="FFFFFF"/>
              <w:jc w:val="center"/>
              <w:rPr>
                <w:b/>
                <w:bCs/>
                <w:sz w:val="18"/>
                <w:szCs w:val="18"/>
                <w:lang w:val="ro-RO"/>
              </w:rPr>
            </w:pPr>
            <w:r w:rsidRPr="00DB795A">
              <w:rPr>
                <w:b/>
                <w:bCs/>
                <w:sz w:val="18"/>
                <w:szCs w:val="18"/>
                <w:lang w:val="ro-RO"/>
              </w:rPr>
              <w:t>Secţiunea 2</w:t>
            </w:r>
          </w:p>
          <w:p w:rsidR="00DB795A" w:rsidRPr="00DB795A" w:rsidRDefault="00DB795A" w:rsidP="00DB795A">
            <w:pPr>
              <w:shd w:val="clear" w:color="auto" w:fill="FFFFFF"/>
              <w:jc w:val="center"/>
              <w:rPr>
                <w:b/>
                <w:bCs/>
                <w:sz w:val="18"/>
                <w:szCs w:val="18"/>
                <w:lang w:val="ro-RO"/>
              </w:rPr>
            </w:pPr>
            <w:r w:rsidRPr="00DB795A">
              <w:rPr>
                <w:b/>
                <w:bCs/>
                <w:sz w:val="18"/>
                <w:szCs w:val="18"/>
                <w:lang w:val="ro-RO"/>
              </w:rPr>
              <w:t>Calcularea preţurilor pentru capacitatea într-un</w:t>
            </w:r>
          </w:p>
          <w:p w:rsidR="00DB795A" w:rsidRPr="00DB795A" w:rsidRDefault="00DB795A" w:rsidP="00DB795A">
            <w:pPr>
              <w:shd w:val="clear" w:color="auto" w:fill="FFFFFF"/>
              <w:jc w:val="center"/>
              <w:rPr>
                <w:b/>
                <w:bCs/>
                <w:sz w:val="18"/>
                <w:szCs w:val="18"/>
                <w:lang w:val="ro-RO"/>
              </w:rPr>
            </w:pPr>
            <w:r w:rsidRPr="00DB795A">
              <w:rPr>
                <w:b/>
                <w:bCs/>
                <w:sz w:val="18"/>
                <w:szCs w:val="18"/>
                <w:lang w:val="ro-RO"/>
              </w:rPr>
              <w:t>punct de interconectare virtual</w:t>
            </w:r>
          </w:p>
          <w:p w:rsidR="00DB795A" w:rsidRPr="00DB795A" w:rsidRDefault="00DB795A" w:rsidP="00DB795A">
            <w:pPr>
              <w:shd w:val="clear" w:color="auto" w:fill="FFFFFF"/>
              <w:rPr>
                <w:bCs/>
                <w:sz w:val="18"/>
                <w:szCs w:val="18"/>
                <w:lang w:val="ro-RO"/>
              </w:rPr>
            </w:pPr>
            <w:r w:rsidRPr="00DB795A">
              <w:rPr>
                <w:b/>
                <w:bCs/>
                <w:sz w:val="18"/>
                <w:szCs w:val="18"/>
                <w:lang w:val="ro-RO"/>
              </w:rPr>
              <w:t xml:space="preserve">388. </w:t>
            </w:r>
            <w:r w:rsidRPr="00DB795A">
              <w:rPr>
                <w:bCs/>
                <w:sz w:val="18"/>
                <w:szCs w:val="18"/>
                <w:lang w:val="ro-RO"/>
              </w:rPr>
              <w:t>Preţul de rezervă pentru un PCS neagregată oferit într-un punct de interconectare virtual se calculează în conformitate cu una din următoarele abordări:</w:t>
            </w:r>
          </w:p>
          <w:p w:rsidR="00DB795A" w:rsidRPr="00DB795A" w:rsidRDefault="00DB795A" w:rsidP="00DB795A">
            <w:pPr>
              <w:shd w:val="clear" w:color="auto" w:fill="FFFFFF"/>
              <w:rPr>
                <w:bCs/>
                <w:sz w:val="18"/>
                <w:szCs w:val="18"/>
                <w:lang w:val="ro-RO"/>
              </w:rPr>
            </w:pPr>
            <w:r>
              <w:rPr>
                <w:bCs/>
                <w:sz w:val="18"/>
                <w:szCs w:val="18"/>
                <w:lang w:val="ro-RO"/>
              </w:rPr>
              <w:tab/>
            </w:r>
            <w:r w:rsidRPr="00DB795A">
              <w:rPr>
                <w:bCs/>
                <w:sz w:val="18"/>
                <w:szCs w:val="18"/>
                <w:lang w:val="ro-RO"/>
              </w:rPr>
              <w:t>1) preţul respectiv se calculează pe baza preţului de referinţă, în cazul în care metodologia de calculare a preţurilor de referinţă aplicată permite luarea în considerare a punctului de interconectare virtual stabilit;</w:t>
            </w:r>
          </w:p>
          <w:p w:rsidR="00DB795A" w:rsidRDefault="00DB795A" w:rsidP="00DB795A">
            <w:pPr>
              <w:shd w:val="clear" w:color="auto" w:fill="FFFFFF"/>
              <w:rPr>
                <w:bCs/>
                <w:sz w:val="18"/>
                <w:szCs w:val="18"/>
                <w:lang w:val="ro-RO"/>
              </w:rPr>
            </w:pPr>
            <w:r>
              <w:rPr>
                <w:bCs/>
                <w:sz w:val="18"/>
                <w:szCs w:val="18"/>
                <w:lang w:val="ro-RO"/>
              </w:rPr>
              <w:tab/>
            </w:r>
            <w:r w:rsidRPr="00DB795A">
              <w:rPr>
                <w:bCs/>
                <w:sz w:val="18"/>
                <w:szCs w:val="18"/>
                <w:lang w:val="ro-RO"/>
              </w:rPr>
              <w:t>2) preţul respectiv este egal cu media ponderată a preţurilor de rezervă, în cazul în care această medie se calculează pe baza preţurilor de referinţă pentru fiecare punct de interconectare care contribuie la respectivul punct de interconectare virtual, în cazul în care metodologia de calculare a preţurilor de referinţă aplicată nu permite luarea în considerare a punctului de interconectare virtual stabilit, în conformitate cu următoarea formulă:</w:t>
            </w:r>
          </w:p>
          <w:p w:rsidR="00DB795A" w:rsidRPr="00DB795A" w:rsidRDefault="00DB795A" w:rsidP="00DB795A">
            <w:pPr>
              <w:shd w:val="clear" w:color="auto" w:fill="FFFFFF"/>
              <w:rPr>
                <w:bCs/>
                <w:sz w:val="18"/>
                <w:szCs w:val="18"/>
                <w:lang w:val="ro-RO"/>
              </w:rPr>
            </w:pPr>
          </w:p>
          <w:p w:rsidR="00D146AC" w:rsidRPr="00670674" w:rsidRDefault="00486B54" w:rsidP="00DA725A">
            <w:pPr>
              <w:pStyle w:val="NoSpacing"/>
              <w:jc w:val="center"/>
              <w:rPr>
                <w:lang w:val="it-IT"/>
              </w:rPr>
            </w:pPr>
            <w:r>
              <w:object w:dxaOrig="2610" w:dyaOrig="720">
                <v:shape id="_x0000_i1038" type="#_x0000_t75" style="width:111.75pt;height:30.55pt" o:ole="">
                  <v:imagedata r:id="rId82" o:title=""/>
                </v:shape>
                <o:OLEObject Type="Embed" ProgID="PBrush" ShapeID="_x0000_i1038" DrawAspect="Content" ObjectID="_1837326474" r:id="rId83"/>
              </w:object>
            </w:r>
            <w:r w:rsidR="000B25FB" w:rsidRPr="00670674">
              <w:rPr>
                <w:lang w:val="it-IT"/>
              </w:rPr>
              <w:t xml:space="preserve"> </w:t>
            </w:r>
          </w:p>
          <w:p w:rsidR="00D146AC" w:rsidRPr="00517203" w:rsidRDefault="00D146AC" w:rsidP="00DA725A">
            <w:pPr>
              <w:pStyle w:val="NoSpacing"/>
              <w:jc w:val="both"/>
              <w:rPr>
                <w:sz w:val="18"/>
                <w:lang w:val="ro-RO"/>
              </w:rPr>
            </w:pPr>
            <w:r w:rsidRPr="00517203">
              <w:rPr>
                <w:sz w:val="18"/>
                <w:lang w:val="ro-RO"/>
              </w:rPr>
              <w:t>unde:</w:t>
            </w:r>
          </w:p>
          <w:p w:rsidR="00D146AC" w:rsidRPr="00517203" w:rsidRDefault="00D146AC" w:rsidP="00DA725A">
            <w:pPr>
              <w:pStyle w:val="NoSpacing"/>
              <w:jc w:val="both"/>
              <w:rPr>
                <w:sz w:val="18"/>
                <w:lang w:val="ro-RO"/>
              </w:rPr>
            </w:pPr>
            <w:r w:rsidRPr="00517203">
              <w:rPr>
                <w:b/>
                <w:sz w:val="18"/>
                <w:lang w:val="ro-RO"/>
              </w:rPr>
              <w:t>P</w:t>
            </w:r>
            <w:r w:rsidRPr="00517203">
              <w:rPr>
                <w:b/>
                <w:sz w:val="18"/>
                <w:vertAlign w:val="superscript"/>
                <w:lang w:val="ro-RO"/>
              </w:rPr>
              <w:t>st</w:t>
            </w:r>
            <w:r w:rsidRPr="00517203">
              <w:rPr>
                <w:b/>
                <w:sz w:val="18"/>
                <w:lang w:val="ro-RO"/>
              </w:rPr>
              <w:t>, VIP</w:t>
            </w:r>
            <w:r w:rsidR="00486B54" w:rsidRPr="00670674">
              <w:rPr>
                <w:b/>
                <w:sz w:val="18"/>
                <w:lang w:val="it-IT"/>
              </w:rPr>
              <w:t xml:space="preserve"> </w:t>
            </w:r>
            <w:r w:rsidR="00486B54" w:rsidRPr="00670674">
              <w:rPr>
                <w:sz w:val="18"/>
                <w:lang w:val="it-IT"/>
              </w:rPr>
              <w:t>-</w:t>
            </w:r>
            <w:r w:rsidRPr="00517203">
              <w:rPr>
                <w:sz w:val="18"/>
                <w:lang w:val="ro-RO"/>
              </w:rPr>
              <w:t xml:space="preserve"> este prețul de rezervă pentru un anumit PSC neagregată într-un punct de interconectare virtual;</w:t>
            </w:r>
          </w:p>
          <w:p w:rsidR="00D146AC" w:rsidRPr="00517203" w:rsidRDefault="00D146AC" w:rsidP="00DA725A">
            <w:pPr>
              <w:pStyle w:val="NoSpacing"/>
              <w:jc w:val="both"/>
              <w:rPr>
                <w:sz w:val="18"/>
                <w:lang w:val="ro-RO"/>
              </w:rPr>
            </w:pPr>
            <w:r w:rsidRPr="00517203">
              <w:rPr>
                <w:b/>
                <w:sz w:val="18"/>
                <w:lang w:val="ro-RO"/>
              </w:rPr>
              <w:t xml:space="preserve">i </w:t>
            </w:r>
            <w:r w:rsidR="00486B54" w:rsidRPr="00670674">
              <w:rPr>
                <w:sz w:val="18"/>
                <w:lang w:val="it-IT"/>
              </w:rPr>
              <w:t xml:space="preserve"> - </w:t>
            </w:r>
            <w:r w:rsidRPr="00517203">
              <w:rPr>
                <w:sz w:val="18"/>
                <w:lang w:val="ro-RO"/>
              </w:rPr>
              <w:t>este un punct de interconectare care contribuie la punctul de interconectare virtual;</w:t>
            </w:r>
          </w:p>
          <w:p w:rsidR="00D146AC" w:rsidRPr="00517203" w:rsidRDefault="00D146AC" w:rsidP="00DA725A">
            <w:pPr>
              <w:pStyle w:val="NoSpacing"/>
              <w:jc w:val="both"/>
              <w:rPr>
                <w:sz w:val="18"/>
                <w:lang w:val="ro-RO"/>
              </w:rPr>
            </w:pPr>
            <w:r w:rsidRPr="00517203">
              <w:rPr>
                <w:b/>
                <w:sz w:val="18"/>
                <w:lang w:val="ro-RO"/>
              </w:rPr>
              <w:t>n</w:t>
            </w:r>
            <w:r w:rsidRPr="00517203">
              <w:rPr>
                <w:sz w:val="18"/>
                <w:lang w:val="ro-RO"/>
              </w:rPr>
              <w:t xml:space="preserve"> </w:t>
            </w:r>
            <w:r w:rsidR="00486B54" w:rsidRPr="00670674">
              <w:rPr>
                <w:sz w:val="18"/>
                <w:lang w:val="it-IT"/>
              </w:rPr>
              <w:t xml:space="preserve">- </w:t>
            </w:r>
            <w:r w:rsidRPr="00517203">
              <w:rPr>
                <w:sz w:val="18"/>
                <w:lang w:val="ro-RO"/>
              </w:rPr>
              <w:t>este numărul de puncte de interconectare care contribuie la punctul de interconectare virtual;</w:t>
            </w:r>
          </w:p>
          <w:p w:rsidR="00D146AC" w:rsidRPr="00517203" w:rsidRDefault="00D146AC" w:rsidP="00DA725A">
            <w:pPr>
              <w:pStyle w:val="NoSpacing"/>
              <w:jc w:val="both"/>
              <w:rPr>
                <w:sz w:val="18"/>
                <w:lang w:val="ro-RO"/>
              </w:rPr>
            </w:pPr>
            <w:r w:rsidRPr="00517203">
              <w:rPr>
                <w:b/>
                <w:sz w:val="18"/>
                <w:lang w:val="ro-RO"/>
              </w:rPr>
              <w:t>Pst, i</w:t>
            </w:r>
            <w:r w:rsidR="003C3CA2" w:rsidRPr="00670674">
              <w:rPr>
                <w:sz w:val="18"/>
                <w:lang w:val="it-IT"/>
              </w:rPr>
              <w:t xml:space="preserve"> - </w:t>
            </w:r>
            <w:r w:rsidRPr="00517203">
              <w:rPr>
                <w:sz w:val="18"/>
                <w:lang w:val="ro-RO"/>
              </w:rPr>
              <w:t xml:space="preserve"> este prețul de rezervă pentru un anumit PSC neagregată într-un punct de interconectare i;</w:t>
            </w:r>
          </w:p>
          <w:p w:rsidR="00D146AC" w:rsidRPr="00517203" w:rsidRDefault="00D146AC" w:rsidP="00DA725A">
            <w:pPr>
              <w:pStyle w:val="NoSpacing"/>
              <w:jc w:val="both"/>
              <w:rPr>
                <w:sz w:val="18"/>
                <w:lang w:val="ro-RO"/>
              </w:rPr>
            </w:pPr>
            <w:r w:rsidRPr="00517203">
              <w:rPr>
                <w:b/>
                <w:sz w:val="18"/>
                <w:lang w:val="ro-RO"/>
              </w:rPr>
              <w:t>CAPi</w:t>
            </w:r>
            <w:r w:rsidR="003C3CA2" w:rsidRPr="00670674">
              <w:rPr>
                <w:sz w:val="18"/>
                <w:lang w:val="it-IT"/>
              </w:rPr>
              <w:t xml:space="preserve"> -</w:t>
            </w:r>
            <w:r w:rsidRPr="00517203">
              <w:rPr>
                <w:sz w:val="18"/>
                <w:lang w:val="ro-RO"/>
              </w:rPr>
              <w:t xml:space="preserve"> este capacitatea tehnică sau capacitatea contractată estimată, după caz, într-un punct de interconectare i.</w:t>
            </w:r>
          </w:p>
          <w:p w:rsidR="002A05E3" w:rsidRPr="00517203" w:rsidRDefault="002A05E3" w:rsidP="00DA725A">
            <w:pPr>
              <w:pStyle w:val="NoSpacing"/>
              <w:jc w:val="both"/>
              <w:rPr>
                <w:b/>
                <w:sz w:val="18"/>
                <w:lang w:val="ro-RO"/>
              </w:rPr>
            </w:pPr>
          </w:p>
          <w:p w:rsidR="003C3CA2" w:rsidRPr="00517203" w:rsidRDefault="003C3CA2" w:rsidP="003C3CA2">
            <w:pPr>
              <w:pStyle w:val="NoSpacing"/>
              <w:rPr>
                <w:sz w:val="18"/>
                <w:lang w:val="ro-RO"/>
              </w:rPr>
            </w:pPr>
            <w:r w:rsidRPr="00517203">
              <w:rPr>
                <w:b/>
                <w:bCs/>
                <w:sz w:val="18"/>
                <w:lang w:val="ro-RO"/>
              </w:rPr>
              <w:t>389</w:t>
            </w:r>
            <w:r w:rsidRPr="00517203">
              <w:rPr>
                <w:bCs/>
                <w:sz w:val="18"/>
                <w:lang w:val="ro-RO"/>
              </w:rPr>
              <w:t>.</w:t>
            </w:r>
            <w:r w:rsidRPr="00517203">
              <w:rPr>
                <w:sz w:val="18"/>
                <w:lang w:val="ro-RO"/>
              </w:rPr>
              <w:t xml:space="preserve"> Preţul de rezervă pentru un PCS agregată oferit într-un punct de interconectare virtual se calculează în conformitate cu pct.384.</w:t>
            </w:r>
          </w:p>
          <w:p w:rsidR="00D146AC" w:rsidRPr="00043955" w:rsidRDefault="00D146AC" w:rsidP="00DA725A">
            <w:pPr>
              <w:pStyle w:val="NoSpacing"/>
              <w:jc w:val="both"/>
              <w:rPr>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2A05E3" w:rsidRDefault="002A05E3" w:rsidP="00DA725A">
            <w:pPr>
              <w:jc w:val="both"/>
              <w:rPr>
                <w:b/>
                <w:sz w:val="18"/>
                <w:szCs w:val="18"/>
              </w:rPr>
            </w:pPr>
          </w:p>
          <w:p w:rsidR="002A05E3" w:rsidRDefault="002A05E3"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E31717" w:rsidRPr="00E84D74" w:rsidRDefault="00E31717" w:rsidP="00FC3840">
            <w:pPr>
              <w:autoSpaceDE w:val="0"/>
              <w:autoSpaceDN w:val="0"/>
              <w:adjustRightInd w:val="0"/>
              <w:jc w:val="both"/>
              <w:rPr>
                <w:b/>
                <w:bCs/>
                <w:i/>
                <w:iCs/>
                <w:sz w:val="18"/>
                <w:szCs w:val="18"/>
              </w:rPr>
            </w:pPr>
            <w:r w:rsidRPr="00E84D74">
              <w:rPr>
                <w:b/>
                <w:bCs/>
                <w:i/>
                <w:iCs/>
                <w:sz w:val="18"/>
                <w:szCs w:val="18"/>
              </w:rPr>
              <w:t>Article 22</w:t>
            </w:r>
          </w:p>
          <w:p w:rsidR="00D146AC" w:rsidRPr="00E84D74" w:rsidRDefault="00E31717" w:rsidP="00FC3840">
            <w:pPr>
              <w:jc w:val="both"/>
              <w:rPr>
                <w:b/>
                <w:bCs/>
                <w:sz w:val="18"/>
                <w:szCs w:val="18"/>
              </w:rPr>
            </w:pPr>
            <w:r w:rsidRPr="00E84D74">
              <w:rPr>
                <w:b/>
                <w:bCs/>
                <w:sz w:val="18"/>
                <w:szCs w:val="18"/>
              </w:rPr>
              <w:t>Pricing of capacity at a virtual interconnection point</w:t>
            </w:r>
          </w:p>
          <w:p w:rsidR="00E31717" w:rsidRPr="00E84D74" w:rsidRDefault="00E31717" w:rsidP="00FC3840">
            <w:pPr>
              <w:jc w:val="both"/>
              <w:rPr>
                <w:b/>
                <w:bCs/>
                <w:sz w:val="18"/>
                <w:szCs w:val="18"/>
              </w:rPr>
            </w:pPr>
          </w:p>
          <w:p w:rsidR="00E31717" w:rsidRPr="00E84D74" w:rsidRDefault="00825EA0" w:rsidP="00FC3840">
            <w:pPr>
              <w:autoSpaceDE w:val="0"/>
              <w:autoSpaceDN w:val="0"/>
              <w:adjustRightInd w:val="0"/>
              <w:jc w:val="both"/>
              <w:rPr>
                <w:sz w:val="18"/>
                <w:szCs w:val="18"/>
              </w:rPr>
            </w:pPr>
            <w:r w:rsidRPr="00E84D74">
              <w:rPr>
                <w:sz w:val="18"/>
                <w:szCs w:val="18"/>
              </w:rPr>
              <w:t xml:space="preserve">1. The </w:t>
            </w:r>
            <w:r w:rsidR="00E31717" w:rsidRPr="00E84D74">
              <w:rPr>
                <w:sz w:val="18"/>
                <w:szCs w:val="18"/>
              </w:rPr>
              <w:t>reserve price for an unbundled standard capacity product offered at a virtual interconnection point</w:t>
            </w:r>
          </w:p>
          <w:p w:rsidR="00E31717" w:rsidRPr="00E84D74" w:rsidRDefault="00E31717" w:rsidP="00FC3840">
            <w:pPr>
              <w:autoSpaceDE w:val="0"/>
              <w:autoSpaceDN w:val="0"/>
              <w:adjustRightInd w:val="0"/>
              <w:jc w:val="both"/>
              <w:rPr>
                <w:sz w:val="18"/>
                <w:szCs w:val="18"/>
              </w:rPr>
            </w:pPr>
            <w:r w:rsidRPr="00E84D74">
              <w:rPr>
                <w:sz w:val="18"/>
                <w:szCs w:val="18"/>
              </w:rPr>
              <w:t>shall be calculated in accordance with either of the following approaches:</w:t>
            </w:r>
          </w:p>
          <w:p w:rsidR="00E31717" w:rsidRPr="00E84D74" w:rsidRDefault="00E31717" w:rsidP="00FC3840">
            <w:pPr>
              <w:autoSpaceDE w:val="0"/>
              <w:autoSpaceDN w:val="0"/>
              <w:adjustRightInd w:val="0"/>
              <w:jc w:val="both"/>
              <w:rPr>
                <w:sz w:val="18"/>
                <w:szCs w:val="18"/>
              </w:rPr>
            </w:pPr>
            <w:r w:rsidRPr="00E84D74">
              <w:rPr>
                <w:sz w:val="18"/>
                <w:szCs w:val="18"/>
              </w:rPr>
              <w:t>(a) calculated on the basis of the reference price, where the applied reference price methodology allows</w:t>
            </w:r>
          </w:p>
          <w:p w:rsidR="00E31717" w:rsidRPr="00E84D74" w:rsidRDefault="00E31717" w:rsidP="00FC3840">
            <w:pPr>
              <w:autoSpaceDE w:val="0"/>
              <w:autoSpaceDN w:val="0"/>
              <w:adjustRightInd w:val="0"/>
              <w:jc w:val="both"/>
              <w:rPr>
                <w:sz w:val="18"/>
                <w:szCs w:val="18"/>
              </w:rPr>
            </w:pPr>
            <w:r w:rsidRPr="00E84D74">
              <w:rPr>
                <w:sz w:val="18"/>
                <w:szCs w:val="18"/>
              </w:rPr>
              <w:t>for taking into account the established virtual interconnection point;</w:t>
            </w:r>
          </w:p>
          <w:p w:rsidR="00E31717" w:rsidRPr="00E84D74" w:rsidRDefault="00E31717" w:rsidP="00FC3840">
            <w:pPr>
              <w:autoSpaceDE w:val="0"/>
              <w:autoSpaceDN w:val="0"/>
              <w:adjustRightInd w:val="0"/>
              <w:jc w:val="both"/>
              <w:rPr>
                <w:sz w:val="18"/>
                <w:szCs w:val="18"/>
              </w:rPr>
            </w:pPr>
            <w:r w:rsidRPr="00E84D74">
              <w:rPr>
                <w:sz w:val="18"/>
                <w:szCs w:val="18"/>
              </w:rPr>
              <w:t>(b) equal to the weighted average of the reserve prices, where such average is calculated on the basis</w:t>
            </w:r>
          </w:p>
          <w:p w:rsidR="00E31717" w:rsidRPr="00E84D74" w:rsidRDefault="00E31717" w:rsidP="00FC3840">
            <w:pPr>
              <w:autoSpaceDE w:val="0"/>
              <w:autoSpaceDN w:val="0"/>
              <w:adjustRightInd w:val="0"/>
              <w:jc w:val="both"/>
              <w:rPr>
                <w:sz w:val="18"/>
                <w:szCs w:val="18"/>
              </w:rPr>
            </w:pPr>
            <w:r w:rsidRPr="00E84D74">
              <w:rPr>
                <w:sz w:val="18"/>
                <w:szCs w:val="18"/>
              </w:rPr>
              <w:t>of the reference prices for each interconnection point contributing to such virtual interconnection point,</w:t>
            </w:r>
          </w:p>
          <w:p w:rsidR="00E31717" w:rsidRPr="00E84D74" w:rsidRDefault="00E31717" w:rsidP="00FC3840">
            <w:pPr>
              <w:autoSpaceDE w:val="0"/>
              <w:autoSpaceDN w:val="0"/>
              <w:adjustRightInd w:val="0"/>
              <w:jc w:val="both"/>
              <w:rPr>
                <w:sz w:val="18"/>
                <w:szCs w:val="18"/>
              </w:rPr>
            </w:pPr>
            <w:r w:rsidRPr="00E84D74">
              <w:rPr>
                <w:sz w:val="18"/>
                <w:szCs w:val="18"/>
              </w:rPr>
              <w:t>where the applied reference price methodology does not allow for taking into account the established</w:t>
            </w:r>
          </w:p>
          <w:p w:rsidR="00E31717" w:rsidRPr="00E84D74" w:rsidRDefault="00E31717" w:rsidP="00FC3840">
            <w:pPr>
              <w:jc w:val="both"/>
              <w:rPr>
                <w:sz w:val="18"/>
                <w:szCs w:val="18"/>
              </w:rPr>
            </w:pPr>
            <w:r w:rsidRPr="00E84D74">
              <w:rPr>
                <w:sz w:val="18"/>
                <w:szCs w:val="18"/>
              </w:rPr>
              <w:t>virtual interconnection point, in accordance with the following formula:</w:t>
            </w:r>
          </w:p>
          <w:p w:rsidR="00E33CD4" w:rsidRPr="00E84D74" w:rsidRDefault="00E33CD4" w:rsidP="00FC3840">
            <w:pPr>
              <w:jc w:val="both"/>
              <w:rPr>
                <w:sz w:val="18"/>
                <w:szCs w:val="18"/>
              </w:rPr>
            </w:pPr>
          </w:p>
          <w:p w:rsidR="00E31717" w:rsidRPr="001A4AB6" w:rsidRDefault="00E31717" w:rsidP="00FC3840">
            <w:pPr>
              <w:jc w:val="both"/>
              <w:rPr>
                <w:b/>
                <w:sz w:val="18"/>
                <w:szCs w:val="18"/>
              </w:rPr>
            </w:pPr>
            <w:r w:rsidRPr="001A4AB6">
              <w:rPr>
                <w:b/>
                <w:noProof/>
                <w:sz w:val="18"/>
                <w:szCs w:val="18"/>
                <w:lang w:eastAsia="en-US"/>
              </w:rPr>
              <w:drawing>
                <wp:inline distT="0" distB="0" distL="0" distR="0" wp14:anchorId="6A09FB58" wp14:editId="1BFC5A74">
                  <wp:extent cx="1171575" cy="266459"/>
                  <wp:effectExtent l="0" t="0" r="0" b="635"/>
                  <wp:docPr id="68" name="Picture 6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20294" cy="277539"/>
                          </a:xfrm>
                          <a:prstGeom prst="rect">
                            <a:avLst/>
                          </a:prstGeom>
                          <a:noFill/>
                          <a:ln>
                            <a:noFill/>
                          </a:ln>
                        </pic:spPr>
                      </pic:pic>
                    </a:graphicData>
                  </a:graphic>
                </wp:inline>
              </w:drawing>
            </w:r>
          </w:p>
          <w:p w:rsidR="00265BBD" w:rsidRPr="00E84D74" w:rsidRDefault="00265BBD" w:rsidP="00FC3840">
            <w:pPr>
              <w:autoSpaceDE w:val="0"/>
              <w:autoSpaceDN w:val="0"/>
              <w:adjustRightInd w:val="0"/>
              <w:jc w:val="both"/>
              <w:rPr>
                <w:i/>
                <w:iCs/>
                <w:sz w:val="18"/>
                <w:szCs w:val="18"/>
              </w:rPr>
            </w:pPr>
            <w:r w:rsidRPr="00E84D74">
              <w:rPr>
                <w:i/>
                <w:iCs/>
                <w:sz w:val="18"/>
                <w:szCs w:val="18"/>
              </w:rPr>
              <w:t>Where:</w:t>
            </w:r>
          </w:p>
          <w:p w:rsidR="00265BBD" w:rsidRPr="00E84D74" w:rsidRDefault="00265BBD" w:rsidP="00FC3840">
            <w:pPr>
              <w:autoSpaceDE w:val="0"/>
              <w:autoSpaceDN w:val="0"/>
              <w:adjustRightInd w:val="0"/>
              <w:jc w:val="both"/>
              <w:rPr>
                <w:sz w:val="18"/>
                <w:szCs w:val="18"/>
              </w:rPr>
            </w:pPr>
            <w:r w:rsidRPr="00E84D74">
              <w:rPr>
                <w:b/>
                <w:bCs/>
                <w:sz w:val="18"/>
                <w:szCs w:val="18"/>
              </w:rPr>
              <w:t xml:space="preserve">Pst, VIP </w:t>
            </w:r>
            <w:r w:rsidRPr="00E84D74">
              <w:rPr>
                <w:sz w:val="18"/>
                <w:szCs w:val="18"/>
              </w:rPr>
              <w:t>is the reserve price for a given unbundled standard capacity product at the virtual interconnection</w:t>
            </w:r>
          </w:p>
          <w:p w:rsidR="00265BBD" w:rsidRPr="00E84D74" w:rsidRDefault="00265BBD" w:rsidP="00FC3840">
            <w:pPr>
              <w:autoSpaceDE w:val="0"/>
              <w:autoSpaceDN w:val="0"/>
              <w:adjustRightInd w:val="0"/>
              <w:jc w:val="both"/>
              <w:rPr>
                <w:sz w:val="18"/>
                <w:szCs w:val="18"/>
              </w:rPr>
            </w:pPr>
            <w:r w:rsidRPr="00E84D74">
              <w:rPr>
                <w:sz w:val="18"/>
                <w:szCs w:val="18"/>
              </w:rPr>
              <w:t>point;</w:t>
            </w:r>
          </w:p>
          <w:p w:rsidR="00265BBD" w:rsidRPr="00E84D74" w:rsidRDefault="00265BBD" w:rsidP="00FC3840">
            <w:pPr>
              <w:autoSpaceDE w:val="0"/>
              <w:autoSpaceDN w:val="0"/>
              <w:adjustRightInd w:val="0"/>
              <w:jc w:val="both"/>
              <w:rPr>
                <w:sz w:val="18"/>
                <w:szCs w:val="18"/>
              </w:rPr>
            </w:pPr>
            <w:r w:rsidRPr="00E84D74">
              <w:rPr>
                <w:b/>
                <w:bCs/>
                <w:sz w:val="18"/>
                <w:szCs w:val="18"/>
              </w:rPr>
              <w:t xml:space="preserve">i </w:t>
            </w:r>
            <w:r w:rsidRPr="00E84D74">
              <w:rPr>
                <w:sz w:val="18"/>
                <w:szCs w:val="18"/>
              </w:rPr>
              <w:t>is an interconnection point contributing to the virtual interconnection point;</w:t>
            </w:r>
          </w:p>
          <w:p w:rsidR="00265BBD" w:rsidRPr="00E84D74" w:rsidRDefault="00265BBD" w:rsidP="00FC3840">
            <w:pPr>
              <w:autoSpaceDE w:val="0"/>
              <w:autoSpaceDN w:val="0"/>
              <w:adjustRightInd w:val="0"/>
              <w:jc w:val="both"/>
              <w:rPr>
                <w:sz w:val="18"/>
                <w:szCs w:val="18"/>
              </w:rPr>
            </w:pPr>
            <w:r w:rsidRPr="00E84D74">
              <w:rPr>
                <w:b/>
                <w:bCs/>
                <w:sz w:val="18"/>
                <w:szCs w:val="18"/>
              </w:rPr>
              <w:t xml:space="preserve">n </w:t>
            </w:r>
            <w:r w:rsidRPr="00E84D74">
              <w:rPr>
                <w:sz w:val="18"/>
                <w:szCs w:val="18"/>
              </w:rPr>
              <w:t>is the number of interconnection points contributing to the virtual interconnection point;</w:t>
            </w:r>
          </w:p>
          <w:p w:rsidR="00265BBD" w:rsidRPr="00E84D74" w:rsidRDefault="00265BBD" w:rsidP="00FC3840">
            <w:pPr>
              <w:autoSpaceDE w:val="0"/>
              <w:autoSpaceDN w:val="0"/>
              <w:adjustRightInd w:val="0"/>
              <w:jc w:val="both"/>
              <w:rPr>
                <w:sz w:val="18"/>
                <w:szCs w:val="18"/>
              </w:rPr>
            </w:pPr>
            <w:r w:rsidRPr="00E84D74">
              <w:rPr>
                <w:b/>
                <w:bCs/>
                <w:sz w:val="18"/>
                <w:szCs w:val="18"/>
              </w:rPr>
              <w:t xml:space="preserve">Pst, i </w:t>
            </w:r>
            <w:r w:rsidRPr="00E84D74">
              <w:rPr>
                <w:sz w:val="18"/>
                <w:szCs w:val="18"/>
              </w:rPr>
              <w:t>is the reserve price for a given unbundled standard capacity product at interconnection point i;</w:t>
            </w:r>
          </w:p>
          <w:p w:rsidR="00265BBD" w:rsidRPr="00E84D74" w:rsidRDefault="00265BBD" w:rsidP="00FC3840">
            <w:pPr>
              <w:autoSpaceDE w:val="0"/>
              <w:autoSpaceDN w:val="0"/>
              <w:adjustRightInd w:val="0"/>
              <w:jc w:val="both"/>
              <w:rPr>
                <w:sz w:val="18"/>
                <w:szCs w:val="18"/>
              </w:rPr>
            </w:pPr>
            <w:r w:rsidRPr="00E84D74">
              <w:rPr>
                <w:b/>
                <w:bCs/>
                <w:sz w:val="18"/>
                <w:szCs w:val="18"/>
              </w:rPr>
              <w:t xml:space="preserve">CAPi </w:t>
            </w:r>
            <w:r w:rsidRPr="00E84D74">
              <w:rPr>
                <w:sz w:val="18"/>
                <w:szCs w:val="18"/>
              </w:rPr>
              <w:t>is technical capacity or forecasted contracted capacity, as relevant, at interconnection point i.</w:t>
            </w:r>
          </w:p>
          <w:p w:rsidR="00265BBD" w:rsidRPr="00E84D74" w:rsidRDefault="00265BBD" w:rsidP="00FC3840">
            <w:pPr>
              <w:autoSpaceDE w:val="0"/>
              <w:autoSpaceDN w:val="0"/>
              <w:adjustRightInd w:val="0"/>
              <w:jc w:val="both"/>
              <w:rPr>
                <w:sz w:val="18"/>
                <w:szCs w:val="18"/>
              </w:rPr>
            </w:pPr>
            <w:r w:rsidRPr="00E84D74">
              <w:rPr>
                <w:sz w:val="18"/>
                <w:szCs w:val="18"/>
              </w:rPr>
              <w:t>2. The reserve price for a bundled standard capacity product offered at a virtual interconnection point</w:t>
            </w:r>
          </w:p>
          <w:p w:rsidR="00891666" w:rsidRPr="00E84D74" w:rsidRDefault="00265BBD" w:rsidP="00FC3840">
            <w:pPr>
              <w:jc w:val="both"/>
              <w:rPr>
                <w:sz w:val="18"/>
                <w:szCs w:val="18"/>
              </w:rPr>
            </w:pPr>
            <w:r w:rsidRPr="00E84D74">
              <w:rPr>
                <w:sz w:val="18"/>
                <w:szCs w:val="18"/>
              </w:rPr>
              <w:t>shall be calculat</w:t>
            </w:r>
            <w:r w:rsidR="00FF5E89" w:rsidRPr="00E84D74">
              <w:rPr>
                <w:sz w:val="18"/>
                <w:szCs w:val="18"/>
              </w:rPr>
              <w:t>ed as set out in Article 21(1).</w:t>
            </w:r>
          </w:p>
        </w:tc>
      </w:tr>
      <w:tr w:rsidR="002971D2" w:rsidRPr="00043955" w:rsidTr="00CD08E3">
        <w:trPr>
          <w:trHeight w:val="3683"/>
        </w:trPr>
        <w:tc>
          <w:tcPr>
            <w:tcW w:w="5245" w:type="dxa"/>
          </w:tcPr>
          <w:p w:rsidR="002971D2" w:rsidRPr="00D82EE4" w:rsidRDefault="002971D2" w:rsidP="00DA725A">
            <w:pPr>
              <w:shd w:val="clear" w:color="auto" w:fill="FFFFFF"/>
              <w:jc w:val="both"/>
              <w:rPr>
                <w:b/>
                <w:bCs/>
                <w:sz w:val="18"/>
                <w:szCs w:val="18"/>
                <w:lang w:val="it-IT"/>
              </w:rPr>
            </w:pPr>
            <w:r w:rsidRPr="00D82EE4">
              <w:rPr>
                <w:b/>
                <w:bCs/>
                <w:sz w:val="18"/>
                <w:szCs w:val="18"/>
                <w:lang w:val="it-IT"/>
              </w:rPr>
              <w:lastRenderedPageBreak/>
              <w:t>CAPITOLUL VI</w:t>
            </w:r>
          </w:p>
          <w:p w:rsidR="002971D2" w:rsidRPr="00D82EE4" w:rsidRDefault="002971D2" w:rsidP="00DA725A">
            <w:pPr>
              <w:shd w:val="clear" w:color="auto" w:fill="FFFFFF"/>
              <w:jc w:val="both"/>
              <w:rPr>
                <w:b/>
                <w:bCs/>
                <w:sz w:val="18"/>
                <w:szCs w:val="18"/>
                <w:lang w:val="it-IT"/>
              </w:rPr>
            </w:pPr>
            <w:r w:rsidRPr="00D82EE4">
              <w:rPr>
                <w:b/>
                <w:bCs/>
                <w:sz w:val="18"/>
                <w:szCs w:val="18"/>
                <w:lang w:val="it-IT"/>
              </w:rPr>
              <w:t>PREȚUL DE ÎNCHIDERE ȘI PREȚUL DE PLĂTIT</w:t>
            </w:r>
          </w:p>
          <w:p w:rsidR="002971D2" w:rsidRPr="00D82EE4" w:rsidRDefault="002971D2" w:rsidP="00DA725A">
            <w:pPr>
              <w:shd w:val="clear" w:color="auto" w:fill="FFFFFF"/>
              <w:jc w:val="both"/>
              <w:rPr>
                <w:i/>
                <w:iCs/>
                <w:sz w:val="18"/>
                <w:szCs w:val="18"/>
                <w:lang w:val="it-IT"/>
              </w:rPr>
            </w:pPr>
            <w:r w:rsidRPr="00D82EE4">
              <w:rPr>
                <w:i/>
                <w:iCs/>
                <w:sz w:val="18"/>
                <w:szCs w:val="18"/>
                <w:lang w:val="it-IT"/>
              </w:rPr>
              <w:t>Articolul 23</w:t>
            </w:r>
          </w:p>
          <w:p w:rsidR="002971D2" w:rsidRPr="00D82EE4" w:rsidRDefault="002971D2" w:rsidP="00DA725A">
            <w:pPr>
              <w:shd w:val="clear" w:color="auto" w:fill="FFFFFF"/>
              <w:jc w:val="both"/>
              <w:rPr>
                <w:b/>
                <w:bCs/>
                <w:sz w:val="18"/>
                <w:szCs w:val="18"/>
                <w:lang w:val="it-IT"/>
              </w:rPr>
            </w:pPr>
            <w:r w:rsidRPr="00D82EE4">
              <w:rPr>
                <w:b/>
                <w:bCs/>
                <w:sz w:val="18"/>
                <w:szCs w:val="18"/>
                <w:lang w:val="it-IT"/>
              </w:rPr>
              <w:t>Calcularea prețului de închidere în punctele de interconectare</w:t>
            </w:r>
          </w:p>
          <w:p w:rsidR="002971D2" w:rsidRPr="00D82EE4" w:rsidRDefault="002971D2" w:rsidP="00DA725A">
            <w:pPr>
              <w:shd w:val="clear" w:color="auto" w:fill="FFFFFF"/>
              <w:jc w:val="both"/>
              <w:rPr>
                <w:sz w:val="18"/>
                <w:szCs w:val="18"/>
                <w:lang w:val="it-IT"/>
              </w:rPr>
            </w:pPr>
            <w:r w:rsidRPr="00D82EE4">
              <w:rPr>
                <w:sz w:val="18"/>
                <w:szCs w:val="18"/>
                <w:lang w:val="it-IT"/>
              </w:rPr>
              <w:t>Prețul de închidere pentru un anumit produs de capacitate standard într-un punct de interconectare se calculează în conformitate cu următoarea formulă: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2"/>
              <w:gridCol w:w="4827"/>
            </w:tblGrid>
            <w:tr w:rsidR="002971D2" w:rsidRPr="00043955" w:rsidTr="00B92DDC">
              <w:tc>
                <w:tcPr>
                  <w:tcW w:w="360" w:type="dxa"/>
                  <w:shd w:val="clear" w:color="auto" w:fill="FFFFFF"/>
                  <w:hideMark/>
                </w:tcPr>
                <w:p w:rsidR="002971D2" w:rsidRPr="00D82EE4" w:rsidRDefault="002971D2" w:rsidP="00DA725A">
                  <w:pPr>
                    <w:jc w:val="both"/>
                    <w:rPr>
                      <w:sz w:val="18"/>
                      <w:szCs w:val="18"/>
                      <w:lang w:val="it-IT"/>
                    </w:rPr>
                  </w:pPr>
                  <w:r w:rsidRPr="00D82EE4">
                    <w:rPr>
                      <w:sz w:val="18"/>
                      <w:szCs w:val="18"/>
                      <w:lang w:val="it-IT"/>
                    </w:rPr>
                    <w:t> </w:t>
                  </w:r>
                </w:p>
              </w:tc>
              <w:tc>
                <w:tcPr>
                  <w:tcW w:w="8995" w:type="dxa"/>
                  <w:shd w:val="clear" w:color="auto" w:fill="FFFFFF"/>
                  <w:hideMark/>
                </w:tcPr>
                <w:p w:rsidR="002971D2" w:rsidRPr="00553A3D" w:rsidRDefault="002971D2" w:rsidP="00553A3D">
                  <w:pPr>
                    <w:jc w:val="center"/>
                    <w:rPr>
                      <w:b/>
                      <w:sz w:val="18"/>
                      <w:szCs w:val="18"/>
                    </w:rPr>
                  </w:pPr>
                  <w:r w:rsidRPr="00553A3D">
                    <w:rPr>
                      <w:b/>
                      <w:sz w:val="18"/>
                      <w:szCs w:val="18"/>
                    </w:rPr>
                    <w:t>P</w:t>
                  </w:r>
                  <w:r w:rsidRPr="00553A3D">
                    <w:rPr>
                      <w:b/>
                      <w:sz w:val="18"/>
                      <w:szCs w:val="18"/>
                      <w:vertAlign w:val="subscript"/>
                    </w:rPr>
                    <w:t>cl</w:t>
                  </w:r>
                  <w:r w:rsidRPr="00553A3D">
                    <w:rPr>
                      <w:b/>
                      <w:sz w:val="18"/>
                      <w:szCs w:val="18"/>
                    </w:rPr>
                    <w:t> = P</w:t>
                  </w:r>
                  <w:r w:rsidRPr="00553A3D">
                    <w:rPr>
                      <w:b/>
                      <w:sz w:val="18"/>
                      <w:szCs w:val="18"/>
                      <w:vertAlign w:val="subscript"/>
                    </w:rPr>
                    <w:t>R,au</w:t>
                  </w:r>
                  <w:r w:rsidRPr="00553A3D">
                    <w:rPr>
                      <w:b/>
                      <w:sz w:val="18"/>
                      <w:szCs w:val="18"/>
                    </w:rPr>
                    <w:t> + AP</w:t>
                  </w:r>
                </w:p>
              </w:tc>
            </w:tr>
          </w:tbl>
          <w:p w:rsidR="002971D2" w:rsidRDefault="002971D2" w:rsidP="00DA725A">
            <w:pPr>
              <w:shd w:val="clear" w:color="auto" w:fill="FFFFFF"/>
              <w:jc w:val="both"/>
              <w:rPr>
                <w:sz w:val="18"/>
                <w:szCs w:val="18"/>
              </w:rPr>
            </w:pPr>
          </w:p>
          <w:p w:rsidR="002971D2" w:rsidRPr="00043955" w:rsidRDefault="002971D2" w:rsidP="00DA725A">
            <w:pPr>
              <w:shd w:val="clear" w:color="auto" w:fill="FFFFFF"/>
              <w:jc w:val="both"/>
              <w:rPr>
                <w:sz w:val="18"/>
                <w:szCs w:val="18"/>
              </w:rPr>
            </w:pPr>
            <w:r w:rsidRPr="00043955">
              <w:rPr>
                <w:sz w:val="18"/>
                <w:szCs w:val="18"/>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2971D2" w:rsidRPr="00C27D66" w:rsidTr="00B92DDC">
              <w:tc>
                <w:tcPr>
                  <w:tcW w:w="210" w:type="dxa"/>
                  <w:shd w:val="clear" w:color="auto" w:fill="FFFFFF"/>
                  <w:hideMark/>
                </w:tcPr>
                <w:p w:rsidR="002971D2" w:rsidRPr="00043955" w:rsidRDefault="002971D2" w:rsidP="00DA725A">
                  <w:pPr>
                    <w:jc w:val="both"/>
                    <w:rPr>
                      <w:sz w:val="18"/>
                      <w:szCs w:val="18"/>
                    </w:rPr>
                  </w:pPr>
                  <w:r w:rsidRPr="00043955">
                    <w:rPr>
                      <w:sz w:val="18"/>
                      <w:szCs w:val="18"/>
                    </w:rPr>
                    <w:t> </w:t>
                  </w:r>
                </w:p>
              </w:tc>
              <w:tc>
                <w:tcPr>
                  <w:tcW w:w="9145" w:type="dxa"/>
                  <w:shd w:val="clear" w:color="auto" w:fill="FFFFFF"/>
                  <w:hideMark/>
                </w:tcPr>
                <w:p w:rsidR="002971D2" w:rsidRPr="00D82EE4" w:rsidRDefault="002971D2" w:rsidP="00DA725A">
                  <w:pPr>
                    <w:jc w:val="both"/>
                    <w:rPr>
                      <w:sz w:val="18"/>
                      <w:szCs w:val="18"/>
                      <w:lang w:val="it-IT"/>
                    </w:rPr>
                  </w:pPr>
                  <w:r w:rsidRPr="00D82EE4">
                    <w:rPr>
                      <w:sz w:val="18"/>
                      <w:szCs w:val="18"/>
                      <w:lang w:val="it-IT"/>
                    </w:rPr>
                    <w:t>P</w:t>
                  </w:r>
                  <w:r w:rsidRPr="00D82EE4">
                    <w:rPr>
                      <w:sz w:val="18"/>
                      <w:szCs w:val="18"/>
                      <w:vertAlign w:val="subscript"/>
                      <w:lang w:val="it-IT"/>
                    </w:rPr>
                    <w:t>cl</w:t>
                  </w:r>
                  <w:r w:rsidRPr="00D82EE4">
                    <w:rPr>
                      <w:sz w:val="18"/>
                      <w:szCs w:val="18"/>
                      <w:lang w:val="it-IT"/>
                    </w:rPr>
                    <w:t> este prețul de închidere;</w:t>
                  </w:r>
                </w:p>
              </w:tc>
            </w:tr>
          </w:tbl>
          <w:p w:rsidR="002971D2" w:rsidRPr="00D82EE4" w:rsidRDefault="002971D2"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2971D2" w:rsidRPr="00C27D66" w:rsidTr="00B92DDC">
              <w:tc>
                <w:tcPr>
                  <w:tcW w:w="45" w:type="dxa"/>
                  <w:shd w:val="clear" w:color="auto" w:fill="FFFFFF"/>
                  <w:hideMark/>
                </w:tcPr>
                <w:p w:rsidR="002971D2" w:rsidRPr="00D82EE4" w:rsidRDefault="002971D2" w:rsidP="00DA725A">
                  <w:pPr>
                    <w:jc w:val="both"/>
                    <w:rPr>
                      <w:sz w:val="18"/>
                      <w:szCs w:val="18"/>
                      <w:lang w:val="it-IT"/>
                    </w:rPr>
                  </w:pPr>
                  <w:r w:rsidRPr="00D82EE4">
                    <w:rPr>
                      <w:sz w:val="18"/>
                      <w:szCs w:val="18"/>
                      <w:lang w:val="it-IT"/>
                    </w:rPr>
                    <w:t> </w:t>
                  </w:r>
                </w:p>
              </w:tc>
              <w:tc>
                <w:tcPr>
                  <w:tcW w:w="9310" w:type="dxa"/>
                  <w:shd w:val="clear" w:color="auto" w:fill="FFFFFF"/>
                  <w:hideMark/>
                </w:tcPr>
                <w:p w:rsidR="002971D2" w:rsidRPr="00D82EE4" w:rsidRDefault="002971D2" w:rsidP="00DA725A">
                  <w:pPr>
                    <w:jc w:val="both"/>
                    <w:rPr>
                      <w:sz w:val="18"/>
                      <w:szCs w:val="18"/>
                      <w:lang w:val="it-IT"/>
                    </w:rPr>
                  </w:pPr>
                  <w:r w:rsidRPr="00D82EE4">
                    <w:rPr>
                      <w:sz w:val="18"/>
                      <w:szCs w:val="18"/>
                      <w:lang w:val="it-IT"/>
                    </w:rPr>
                    <w:t>P</w:t>
                  </w:r>
                  <w:r w:rsidRPr="00D82EE4">
                    <w:rPr>
                      <w:sz w:val="18"/>
                      <w:szCs w:val="18"/>
                      <w:vertAlign w:val="subscript"/>
                      <w:lang w:val="it-IT"/>
                    </w:rPr>
                    <w:t>R,au</w:t>
                  </w:r>
                  <w:r w:rsidRPr="00D82EE4">
                    <w:rPr>
                      <w:sz w:val="18"/>
                      <w:szCs w:val="18"/>
                      <w:lang w:val="it-IT"/>
                    </w:rPr>
                    <w:t> este prețul de rezervă aplicabil pentru un produs de capacitate standard, care este publicat în momentul în care este licitat produsul respectiv;</w:t>
                  </w:r>
                </w:p>
              </w:tc>
            </w:tr>
          </w:tbl>
          <w:p w:rsidR="002971D2" w:rsidRPr="00D82EE4" w:rsidRDefault="002971D2"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3"/>
              <w:gridCol w:w="4946"/>
            </w:tblGrid>
            <w:tr w:rsidR="002971D2" w:rsidRPr="00C27D66" w:rsidTr="00B92DDC">
              <w:tc>
                <w:tcPr>
                  <w:tcW w:w="137" w:type="dxa"/>
                  <w:shd w:val="clear" w:color="auto" w:fill="FFFFFF"/>
                  <w:hideMark/>
                </w:tcPr>
                <w:p w:rsidR="002971D2" w:rsidRPr="00D82EE4" w:rsidRDefault="002971D2" w:rsidP="00DA725A">
                  <w:pPr>
                    <w:jc w:val="both"/>
                    <w:rPr>
                      <w:sz w:val="18"/>
                      <w:szCs w:val="18"/>
                      <w:lang w:val="it-IT"/>
                    </w:rPr>
                  </w:pPr>
                  <w:r w:rsidRPr="00D82EE4">
                    <w:rPr>
                      <w:sz w:val="18"/>
                      <w:szCs w:val="18"/>
                      <w:lang w:val="it-IT"/>
                    </w:rPr>
                    <w:t> </w:t>
                  </w:r>
                </w:p>
              </w:tc>
              <w:tc>
                <w:tcPr>
                  <w:tcW w:w="9218" w:type="dxa"/>
                  <w:shd w:val="clear" w:color="auto" w:fill="FFFFFF"/>
                  <w:hideMark/>
                </w:tcPr>
                <w:p w:rsidR="002971D2" w:rsidRPr="00D82EE4" w:rsidRDefault="002971D2" w:rsidP="00DA725A">
                  <w:pPr>
                    <w:jc w:val="both"/>
                    <w:rPr>
                      <w:sz w:val="18"/>
                      <w:szCs w:val="18"/>
                      <w:lang w:val="it-IT"/>
                    </w:rPr>
                  </w:pPr>
                  <w:r w:rsidRPr="00D82EE4">
                    <w:rPr>
                      <w:sz w:val="18"/>
                      <w:szCs w:val="18"/>
                      <w:lang w:val="it-IT"/>
                    </w:rPr>
                    <w:t>AP este prima de licitație, dacă este cazul.</w:t>
                  </w:r>
                </w:p>
              </w:tc>
            </w:tr>
          </w:tbl>
          <w:p w:rsidR="002971D2" w:rsidRPr="00D82EE4" w:rsidRDefault="002971D2" w:rsidP="00DA725A">
            <w:pPr>
              <w:shd w:val="clear" w:color="auto" w:fill="FFFFFF"/>
              <w:jc w:val="both"/>
              <w:rPr>
                <w:b/>
                <w:bCs/>
                <w:sz w:val="18"/>
                <w:szCs w:val="18"/>
                <w:lang w:val="it-IT"/>
              </w:rPr>
            </w:pPr>
          </w:p>
        </w:tc>
        <w:tc>
          <w:tcPr>
            <w:tcW w:w="4962" w:type="dxa"/>
          </w:tcPr>
          <w:p w:rsidR="002971D2" w:rsidRPr="00553A3D" w:rsidRDefault="002971D2" w:rsidP="00355F1A">
            <w:pPr>
              <w:jc w:val="center"/>
              <w:rPr>
                <w:sz w:val="18"/>
                <w:szCs w:val="18"/>
                <w:lang w:val="ro-RO"/>
              </w:rPr>
            </w:pPr>
            <w:r w:rsidRPr="00553A3D">
              <w:rPr>
                <w:b/>
                <w:bCs/>
                <w:sz w:val="18"/>
                <w:szCs w:val="18"/>
                <w:lang w:val="ro-RO"/>
              </w:rPr>
              <w:t>Capitolul VI</w:t>
            </w:r>
          </w:p>
          <w:p w:rsidR="002971D2" w:rsidRPr="00553A3D" w:rsidRDefault="002971D2" w:rsidP="00355F1A">
            <w:pPr>
              <w:jc w:val="center"/>
              <w:rPr>
                <w:sz w:val="18"/>
                <w:szCs w:val="18"/>
                <w:lang w:val="ro-RO"/>
              </w:rPr>
            </w:pPr>
            <w:r w:rsidRPr="00553A3D">
              <w:rPr>
                <w:b/>
                <w:bCs/>
                <w:sz w:val="18"/>
                <w:szCs w:val="18"/>
                <w:lang w:val="ro-RO"/>
              </w:rPr>
              <w:t>PREŢUL DE ÎNCHIDERE ŞI PREŢUL DE PLĂTIT</w:t>
            </w:r>
          </w:p>
          <w:p w:rsidR="002971D2" w:rsidRPr="00553A3D" w:rsidRDefault="002971D2" w:rsidP="00355F1A">
            <w:pPr>
              <w:rPr>
                <w:sz w:val="18"/>
                <w:szCs w:val="18"/>
                <w:lang w:val="ro-RO"/>
              </w:rPr>
            </w:pPr>
            <w:r w:rsidRPr="00553A3D">
              <w:rPr>
                <w:sz w:val="18"/>
                <w:szCs w:val="18"/>
                <w:lang w:val="ro-RO"/>
              </w:rPr>
              <w:t> </w:t>
            </w:r>
          </w:p>
          <w:p w:rsidR="002971D2" w:rsidRPr="00553A3D" w:rsidRDefault="002971D2" w:rsidP="00355F1A">
            <w:pPr>
              <w:jc w:val="center"/>
              <w:rPr>
                <w:sz w:val="18"/>
                <w:szCs w:val="18"/>
                <w:lang w:val="ro-RO"/>
              </w:rPr>
            </w:pPr>
            <w:r w:rsidRPr="00553A3D">
              <w:rPr>
                <w:b/>
                <w:bCs/>
                <w:sz w:val="18"/>
                <w:szCs w:val="18"/>
                <w:lang w:val="ro-RO"/>
              </w:rPr>
              <w:t>Secțiunea 1</w:t>
            </w:r>
          </w:p>
          <w:p w:rsidR="002971D2" w:rsidRPr="00553A3D" w:rsidRDefault="002971D2" w:rsidP="00355F1A">
            <w:pPr>
              <w:jc w:val="center"/>
              <w:rPr>
                <w:sz w:val="18"/>
                <w:szCs w:val="18"/>
                <w:lang w:val="ro-RO"/>
              </w:rPr>
            </w:pPr>
            <w:r w:rsidRPr="00553A3D">
              <w:rPr>
                <w:b/>
                <w:bCs/>
                <w:sz w:val="18"/>
                <w:szCs w:val="18"/>
                <w:lang w:val="ro-RO"/>
              </w:rPr>
              <w:t>Calcularea prețului de închidere în punctele de interconectare</w:t>
            </w:r>
          </w:p>
          <w:p w:rsidR="002971D2" w:rsidRPr="00553A3D" w:rsidRDefault="002971D2" w:rsidP="00355F1A">
            <w:pPr>
              <w:pStyle w:val="NoSpacing"/>
              <w:jc w:val="both"/>
              <w:rPr>
                <w:sz w:val="18"/>
                <w:szCs w:val="18"/>
                <w:lang w:val="ro-RO" w:eastAsia="ru-RU"/>
              </w:rPr>
            </w:pPr>
            <w:r w:rsidRPr="00553A3D">
              <w:rPr>
                <w:b/>
                <w:bCs/>
                <w:sz w:val="18"/>
                <w:szCs w:val="18"/>
                <w:lang w:val="ro-RO" w:eastAsia="ru-RU"/>
              </w:rPr>
              <w:t>390.</w:t>
            </w:r>
            <w:r w:rsidRPr="00553A3D">
              <w:rPr>
                <w:sz w:val="18"/>
                <w:szCs w:val="18"/>
                <w:lang w:val="ro-RO" w:eastAsia="ru-RU"/>
              </w:rPr>
              <w:t xml:space="preserve"> Preţul de închidere pentru un anumit PCS într-un punct de interconectare se calculează în conformitate cu următoarea formulă:</w:t>
            </w:r>
          </w:p>
          <w:p w:rsidR="002971D2" w:rsidRPr="00553A3D" w:rsidRDefault="002971D2" w:rsidP="00355F1A">
            <w:pPr>
              <w:pStyle w:val="NoSpacing"/>
              <w:jc w:val="both"/>
              <w:rPr>
                <w:sz w:val="18"/>
                <w:szCs w:val="18"/>
                <w:lang w:val="ro-RO" w:eastAsia="ru-RU"/>
              </w:rPr>
            </w:pPr>
          </w:p>
          <w:p w:rsidR="002971D2" w:rsidRPr="000B25FB" w:rsidRDefault="002971D2" w:rsidP="00355F1A">
            <w:pPr>
              <w:pStyle w:val="NoSpacing"/>
              <w:jc w:val="center"/>
              <w:rPr>
                <w:b/>
                <w:sz w:val="18"/>
                <w:szCs w:val="18"/>
              </w:rPr>
            </w:pPr>
            <w:r w:rsidRPr="00553A3D">
              <w:rPr>
                <w:b/>
                <w:sz w:val="18"/>
                <w:szCs w:val="18"/>
                <w:lang w:val="ro-RO"/>
              </w:rPr>
              <w:t>P</w:t>
            </w:r>
            <w:r w:rsidRPr="00553A3D">
              <w:rPr>
                <w:b/>
                <w:sz w:val="18"/>
                <w:szCs w:val="18"/>
                <w:vertAlign w:val="subscript"/>
                <w:lang w:val="ro-RO"/>
              </w:rPr>
              <w:t>cl</w:t>
            </w:r>
            <w:r w:rsidRPr="00553A3D">
              <w:rPr>
                <w:b/>
                <w:sz w:val="18"/>
                <w:szCs w:val="18"/>
                <w:lang w:val="ro-RO"/>
              </w:rPr>
              <w:t xml:space="preserve"> = P</w:t>
            </w:r>
            <w:r w:rsidRPr="00553A3D">
              <w:rPr>
                <w:b/>
                <w:sz w:val="18"/>
                <w:szCs w:val="18"/>
                <w:vertAlign w:val="subscript"/>
                <w:lang w:val="ro-RO"/>
              </w:rPr>
              <w:t>R</w:t>
            </w:r>
            <w:r w:rsidRPr="00553A3D">
              <w:rPr>
                <w:b/>
                <w:sz w:val="18"/>
                <w:szCs w:val="18"/>
                <w:lang w:val="ro-RO"/>
              </w:rPr>
              <w:t>,</w:t>
            </w:r>
            <w:r w:rsidRPr="00553A3D">
              <w:rPr>
                <w:b/>
                <w:sz w:val="18"/>
                <w:szCs w:val="18"/>
                <w:vertAlign w:val="subscript"/>
                <w:lang w:val="ro-RO"/>
              </w:rPr>
              <w:t>au</w:t>
            </w:r>
            <w:r w:rsidRPr="00553A3D">
              <w:rPr>
                <w:b/>
                <w:sz w:val="18"/>
                <w:szCs w:val="18"/>
                <w:lang w:val="ro-RO"/>
              </w:rPr>
              <w:t xml:space="preserve"> + AP</w:t>
            </w:r>
            <w:r>
              <w:rPr>
                <w:b/>
                <w:sz w:val="18"/>
                <w:szCs w:val="18"/>
              </w:rPr>
              <w:t xml:space="preserve"> </w:t>
            </w:r>
          </w:p>
          <w:p w:rsidR="002971D2" w:rsidRPr="00553A3D" w:rsidRDefault="002971D2" w:rsidP="00DA725A">
            <w:pPr>
              <w:pStyle w:val="NoSpacing"/>
              <w:jc w:val="both"/>
              <w:rPr>
                <w:sz w:val="18"/>
                <w:szCs w:val="18"/>
                <w:lang w:val="ro-RO"/>
              </w:rPr>
            </w:pPr>
            <w:r w:rsidRPr="00553A3D">
              <w:rPr>
                <w:sz w:val="18"/>
                <w:szCs w:val="18"/>
                <w:lang w:val="ro-RO"/>
              </w:rPr>
              <w:t>unde:</w:t>
            </w:r>
          </w:p>
          <w:p w:rsidR="002971D2" w:rsidRPr="00553A3D" w:rsidRDefault="002971D2" w:rsidP="00DA725A">
            <w:pPr>
              <w:pStyle w:val="NoSpacing"/>
              <w:jc w:val="both"/>
              <w:rPr>
                <w:sz w:val="18"/>
                <w:szCs w:val="18"/>
                <w:lang w:val="ro-RO"/>
              </w:rPr>
            </w:pPr>
            <w:r w:rsidRPr="00553A3D">
              <w:rPr>
                <w:b/>
                <w:sz w:val="18"/>
                <w:szCs w:val="18"/>
                <w:lang w:val="ro-RO"/>
              </w:rPr>
              <w:t>P</w:t>
            </w:r>
            <w:r w:rsidRPr="00553A3D">
              <w:rPr>
                <w:b/>
                <w:sz w:val="18"/>
                <w:szCs w:val="18"/>
                <w:vertAlign w:val="subscript"/>
                <w:lang w:val="ro-RO"/>
              </w:rPr>
              <w:t xml:space="preserve">cl </w:t>
            </w:r>
            <w:r w:rsidRPr="00670674">
              <w:rPr>
                <w:sz w:val="18"/>
                <w:szCs w:val="18"/>
                <w:lang w:val="it-IT"/>
              </w:rPr>
              <w:t xml:space="preserve">- </w:t>
            </w:r>
            <w:r w:rsidRPr="00553A3D">
              <w:rPr>
                <w:sz w:val="18"/>
                <w:szCs w:val="18"/>
                <w:lang w:val="ro-RO"/>
              </w:rPr>
              <w:t>este prețul de închidere;</w:t>
            </w:r>
          </w:p>
          <w:p w:rsidR="002971D2" w:rsidRPr="00553A3D" w:rsidRDefault="002971D2" w:rsidP="00DA725A">
            <w:pPr>
              <w:pStyle w:val="NoSpacing"/>
              <w:jc w:val="both"/>
              <w:rPr>
                <w:sz w:val="18"/>
                <w:szCs w:val="18"/>
                <w:lang w:val="ro-RO"/>
              </w:rPr>
            </w:pPr>
            <w:r w:rsidRPr="00553A3D">
              <w:rPr>
                <w:b/>
                <w:sz w:val="18"/>
                <w:szCs w:val="18"/>
                <w:lang w:val="ro-RO"/>
              </w:rPr>
              <w:t>P</w:t>
            </w:r>
            <w:r w:rsidRPr="00553A3D">
              <w:rPr>
                <w:b/>
                <w:sz w:val="18"/>
                <w:szCs w:val="18"/>
                <w:vertAlign w:val="subscript"/>
                <w:lang w:val="ro-RO"/>
              </w:rPr>
              <w:t>R,au</w:t>
            </w:r>
            <w:r w:rsidRPr="00553A3D">
              <w:rPr>
                <w:sz w:val="18"/>
                <w:szCs w:val="18"/>
                <w:lang w:val="ro-RO"/>
              </w:rPr>
              <w:t xml:space="preserve"> </w:t>
            </w:r>
            <w:r w:rsidRPr="00670674">
              <w:rPr>
                <w:sz w:val="18"/>
                <w:szCs w:val="18"/>
                <w:lang w:val="it-IT"/>
              </w:rPr>
              <w:t xml:space="preserve">- </w:t>
            </w:r>
            <w:r w:rsidRPr="00553A3D">
              <w:rPr>
                <w:sz w:val="18"/>
                <w:szCs w:val="18"/>
                <w:lang w:val="ro-RO"/>
              </w:rPr>
              <w:t>este prețul de rezervă aplicabil pentru un PSC, care este publicat în momentul în care este licitat produsul respectiv;</w:t>
            </w:r>
          </w:p>
          <w:p w:rsidR="002971D2" w:rsidRPr="00043955" w:rsidRDefault="002971D2" w:rsidP="002971D2">
            <w:pPr>
              <w:pStyle w:val="NoSpacing"/>
              <w:jc w:val="both"/>
              <w:rPr>
                <w:b/>
                <w:bCs/>
                <w:sz w:val="18"/>
                <w:szCs w:val="18"/>
                <w:lang w:val="ro-RO"/>
              </w:rPr>
            </w:pPr>
            <w:r w:rsidRPr="00553A3D">
              <w:rPr>
                <w:b/>
                <w:sz w:val="18"/>
                <w:szCs w:val="18"/>
                <w:lang w:val="ro-RO"/>
              </w:rPr>
              <w:t>AP</w:t>
            </w:r>
            <w:r w:rsidRPr="00670674">
              <w:rPr>
                <w:sz w:val="18"/>
                <w:szCs w:val="18"/>
                <w:lang w:val="it-IT"/>
              </w:rPr>
              <w:t xml:space="preserve"> -</w:t>
            </w:r>
            <w:r w:rsidRPr="00553A3D">
              <w:rPr>
                <w:sz w:val="18"/>
                <w:szCs w:val="18"/>
                <w:lang w:val="ro-RO"/>
              </w:rPr>
              <w:t xml:space="preserve"> este prima de licitație, dacă este cazul.</w:t>
            </w:r>
          </w:p>
        </w:tc>
        <w:tc>
          <w:tcPr>
            <w:tcW w:w="1275" w:type="dxa"/>
          </w:tcPr>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Default="002971D2" w:rsidP="00DA725A">
            <w:pPr>
              <w:rPr>
                <w:sz w:val="18"/>
                <w:szCs w:val="18"/>
              </w:rPr>
            </w:pPr>
            <w:r>
              <w:rPr>
                <w:sz w:val="18"/>
                <w:szCs w:val="18"/>
              </w:rPr>
              <w:t>Compatibil</w:t>
            </w:r>
          </w:p>
          <w:p w:rsidR="002971D2" w:rsidRPr="00043955" w:rsidRDefault="002971D2" w:rsidP="00DA725A">
            <w:pPr>
              <w:jc w:val="both"/>
              <w:rPr>
                <w:b/>
                <w:sz w:val="18"/>
                <w:szCs w:val="18"/>
              </w:rPr>
            </w:pPr>
          </w:p>
        </w:tc>
        <w:tc>
          <w:tcPr>
            <w:tcW w:w="4253" w:type="dxa"/>
          </w:tcPr>
          <w:p w:rsidR="002971D2" w:rsidRPr="00E84D74" w:rsidRDefault="002971D2" w:rsidP="00DA725A">
            <w:pPr>
              <w:autoSpaceDE w:val="0"/>
              <w:autoSpaceDN w:val="0"/>
              <w:adjustRightInd w:val="0"/>
              <w:jc w:val="center"/>
              <w:rPr>
                <w:b/>
                <w:bCs/>
                <w:sz w:val="18"/>
                <w:szCs w:val="18"/>
              </w:rPr>
            </w:pPr>
            <w:r w:rsidRPr="00E84D74">
              <w:rPr>
                <w:b/>
                <w:bCs/>
                <w:sz w:val="18"/>
                <w:szCs w:val="18"/>
              </w:rPr>
              <w:t>CHAPTER VI</w:t>
            </w:r>
          </w:p>
          <w:p w:rsidR="002971D2" w:rsidRPr="00E84D74" w:rsidRDefault="002971D2" w:rsidP="00DA725A">
            <w:pPr>
              <w:jc w:val="center"/>
              <w:rPr>
                <w:b/>
                <w:bCs/>
                <w:sz w:val="18"/>
                <w:szCs w:val="18"/>
              </w:rPr>
            </w:pPr>
            <w:r w:rsidRPr="00E84D74">
              <w:rPr>
                <w:b/>
                <w:bCs/>
                <w:sz w:val="18"/>
                <w:szCs w:val="18"/>
              </w:rPr>
              <w:t>CLEARING PRICE AND PAYABLE PRICE</w:t>
            </w:r>
          </w:p>
          <w:p w:rsidR="002971D2" w:rsidRPr="00E84D74" w:rsidRDefault="002971D2" w:rsidP="00DA725A">
            <w:pPr>
              <w:autoSpaceDE w:val="0"/>
              <w:autoSpaceDN w:val="0"/>
              <w:adjustRightInd w:val="0"/>
              <w:jc w:val="center"/>
              <w:rPr>
                <w:b/>
                <w:bCs/>
                <w:i/>
                <w:iCs/>
                <w:sz w:val="18"/>
                <w:szCs w:val="18"/>
              </w:rPr>
            </w:pPr>
            <w:r w:rsidRPr="00E84D74">
              <w:rPr>
                <w:b/>
                <w:bCs/>
                <w:i/>
                <w:iCs/>
                <w:sz w:val="18"/>
                <w:szCs w:val="18"/>
              </w:rPr>
              <w:t>Article 23</w:t>
            </w:r>
          </w:p>
          <w:p w:rsidR="002971D2" w:rsidRPr="00E84D74" w:rsidRDefault="002971D2" w:rsidP="00DA725A">
            <w:pPr>
              <w:jc w:val="center"/>
              <w:rPr>
                <w:b/>
                <w:bCs/>
                <w:sz w:val="18"/>
                <w:szCs w:val="18"/>
              </w:rPr>
            </w:pPr>
            <w:r w:rsidRPr="00E84D74">
              <w:rPr>
                <w:b/>
                <w:bCs/>
                <w:sz w:val="18"/>
                <w:szCs w:val="18"/>
              </w:rPr>
              <w:t>Calculation of clearing price at interconnection points</w:t>
            </w:r>
          </w:p>
          <w:p w:rsidR="002971D2" w:rsidRPr="00E84D74" w:rsidRDefault="002971D2" w:rsidP="00DA725A">
            <w:pPr>
              <w:jc w:val="both"/>
              <w:rPr>
                <w:b/>
                <w:bCs/>
                <w:sz w:val="18"/>
                <w:szCs w:val="18"/>
              </w:rPr>
            </w:pPr>
          </w:p>
          <w:p w:rsidR="002971D2" w:rsidRPr="00E84D74" w:rsidRDefault="002971D2" w:rsidP="00DA725A">
            <w:pPr>
              <w:autoSpaceDE w:val="0"/>
              <w:autoSpaceDN w:val="0"/>
              <w:adjustRightInd w:val="0"/>
              <w:rPr>
                <w:sz w:val="18"/>
                <w:szCs w:val="18"/>
              </w:rPr>
            </w:pPr>
            <w:r w:rsidRPr="00E84D74">
              <w:rPr>
                <w:sz w:val="18"/>
                <w:szCs w:val="18"/>
              </w:rPr>
              <w:t>The clearing price for a given standard capacity product at an interconnection point shall be calculated</w:t>
            </w:r>
          </w:p>
          <w:p w:rsidR="002971D2" w:rsidRPr="00E84D74" w:rsidRDefault="002971D2" w:rsidP="00DA725A">
            <w:pPr>
              <w:autoSpaceDE w:val="0"/>
              <w:autoSpaceDN w:val="0"/>
              <w:adjustRightInd w:val="0"/>
              <w:rPr>
                <w:sz w:val="18"/>
                <w:szCs w:val="18"/>
              </w:rPr>
            </w:pPr>
            <w:r w:rsidRPr="00E84D74">
              <w:rPr>
                <w:sz w:val="18"/>
                <w:szCs w:val="18"/>
              </w:rPr>
              <w:t>in accordance with the following formula:</w:t>
            </w:r>
          </w:p>
          <w:p w:rsidR="002971D2" w:rsidRPr="00E84D74" w:rsidRDefault="002971D2" w:rsidP="00DA725A">
            <w:pPr>
              <w:autoSpaceDE w:val="0"/>
              <w:autoSpaceDN w:val="0"/>
              <w:adjustRightInd w:val="0"/>
              <w:jc w:val="center"/>
              <w:rPr>
                <w:b/>
                <w:bCs/>
                <w:sz w:val="18"/>
                <w:szCs w:val="18"/>
              </w:rPr>
            </w:pPr>
          </w:p>
          <w:p w:rsidR="002971D2" w:rsidRPr="00E84D74" w:rsidRDefault="002971D2" w:rsidP="00DA725A">
            <w:pPr>
              <w:autoSpaceDE w:val="0"/>
              <w:autoSpaceDN w:val="0"/>
              <w:adjustRightInd w:val="0"/>
              <w:jc w:val="center"/>
              <w:rPr>
                <w:b/>
                <w:bCs/>
                <w:sz w:val="18"/>
                <w:szCs w:val="18"/>
              </w:rPr>
            </w:pPr>
            <w:r w:rsidRPr="00E84D74">
              <w:rPr>
                <w:b/>
                <w:bCs/>
                <w:sz w:val="18"/>
                <w:szCs w:val="18"/>
              </w:rPr>
              <w:t>Pcl = PR,au + AP</w:t>
            </w:r>
          </w:p>
          <w:p w:rsidR="002971D2" w:rsidRPr="00E84D74" w:rsidRDefault="002971D2" w:rsidP="00DA725A">
            <w:pPr>
              <w:autoSpaceDE w:val="0"/>
              <w:autoSpaceDN w:val="0"/>
              <w:adjustRightInd w:val="0"/>
              <w:rPr>
                <w:i/>
                <w:iCs/>
                <w:sz w:val="18"/>
                <w:szCs w:val="18"/>
              </w:rPr>
            </w:pPr>
            <w:r w:rsidRPr="00E84D74">
              <w:rPr>
                <w:i/>
                <w:iCs/>
                <w:sz w:val="18"/>
                <w:szCs w:val="18"/>
              </w:rPr>
              <w:t>Where:</w:t>
            </w:r>
          </w:p>
          <w:p w:rsidR="002971D2" w:rsidRPr="00E84D74" w:rsidRDefault="002971D2" w:rsidP="00DA725A">
            <w:pPr>
              <w:autoSpaceDE w:val="0"/>
              <w:autoSpaceDN w:val="0"/>
              <w:adjustRightInd w:val="0"/>
              <w:rPr>
                <w:sz w:val="18"/>
                <w:szCs w:val="18"/>
              </w:rPr>
            </w:pPr>
            <w:r w:rsidRPr="00E84D74">
              <w:rPr>
                <w:b/>
                <w:bCs/>
                <w:sz w:val="18"/>
                <w:szCs w:val="18"/>
              </w:rPr>
              <w:t xml:space="preserve">Pcl </w:t>
            </w:r>
            <w:r w:rsidRPr="00E84D74">
              <w:rPr>
                <w:sz w:val="18"/>
                <w:szCs w:val="18"/>
              </w:rPr>
              <w:t>is the clearing price;</w:t>
            </w:r>
          </w:p>
          <w:p w:rsidR="002971D2" w:rsidRPr="00E84D74" w:rsidRDefault="002971D2" w:rsidP="00DA725A">
            <w:pPr>
              <w:autoSpaceDE w:val="0"/>
              <w:autoSpaceDN w:val="0"/>
              <w:adjustRightInd w:val="0"/>
              <w:rPr>
                <w:sz w:val="18"/>
                <w:szCs w:val="18"/>
              </w:rPr>
            </w:pPr>
            <w:r w:rsidRPr="00E84D74">
              <w:rPr>
                <w:b/>
                <w:bCs/>
                <w:sz w:val="18"/>
                <w:szCs w:val="18"/>
              </w:rPr>
              <w:t xml:space="preserve">PR,au </w:t>
            </w:r>
            <w:r w:rsidRPr="00E84D74">
              <w:rPr>
                <w:sz w:val="18"/>
                <w:szCs w:val="18"/>
              </w:rPr>
              <w:t>is the applicable reserve price for a standard capacity product which is published at the time when</w:t>
            </w:r>
          </w:p>
          <w:p w:rsidR="002971D2" w:rsidRPr="00E84D74" w:rsidRDefault="002971D2" w:rsidP="00DA725A">
            <w:pPr>
              <w:autoSpaceDE w:val="0"/>
              <w:autoSpaceDN w:val="0"/>
              <w:adjustRightInd w:val="0"/>
              <w:rPr>
                <w:sz w:val="18"/>
                <w:szCs w:val="18"/>
              </w:rPr>
            </w:pPr>
            <w:r w:rsidRPr="00E84D74">
              <w:rPr>
                <w:sz w:val="18"/>
                <w:szCs w:val="18"/>
              </w:rPr>
              <w:t>this product is auctioned;</w:t>
            </w:r>
          </w:p>
          <w:p w:rsidR="002971D2" w:rsidRPr="00E84D74" w:rsidRDefault="002971D2" w:rsidP="002971D2">
            <w:pPr>
              <w:jc w:val="both"/>
              <w:rPr>
                <w:b/>
                <w:sz w:val="18"/>
                <w:szCs w:val="18"/>
              </w:rPr>
            </w:pPr>
            <w:r w:rsidRPr="00E84D74">
              <w:rPr>
                <w:b/>
                <w:bCs/>
                <w:sz w:val="18"/>
                <w:szCs w:val="18"/>
              </w:rPr>
              <w:t xml:space="preserve">AP </w:t>
            </w:r>
            <w:r w:rsidRPr="00E84D74">
              <w:rPr>
                <w:sz w:val="18"/>
                <w:szCs w:val="18"/>
              </w:rPr>
              <w:t>is the auction premium, if any.</w:t>
            </w:r>
          </w:p>
        </w:tc>
      </w:tr>
      <w:tr w:rsidR="00D146AC" w:rsidRPr="00043955" w:rsidTr="00CD08E3">
        <w:trPr>
          <w:trHeight w:val="1699"/>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24</w:t>
            </w:r>
          </w:p>
          <w:p w:rsidR="00D146AC" w:rsidRDefault="00D146AC" w:rsidP="00DA725A">
            <w:pPr>
              <w:shd w:val="clear" w:color="auto" w:fill="FFFFFF"/>
              <w:jc w:val="both"/>
              <w:rPr>
                <w:b/>
                <w:bCs/>
                <w:sz w:val="18"/>
                <w:szCs w:val="18"/>
                <w:lang w:val="it-IT"/>
              </w:rPr>
            </w:pPr>
            <w:r w:rsidRPr="00D82EE4">
              <w:rPr>
                <w:b/>
                <w:bCs/>
                <w:sz w:val="18"/>
                <w:szCs w:val="18"/>
                <w:lang w:val="it-IT"/>
              </w:rPr>
              <w:t>Calcularea prețului de plătit în punctele de interconectare</w:t>
            </w:r>
          </w:p>
          <w:p w:rsidR="00A25DCC" w:rsidRPr="00D82EE4" w:rsidRDefault="00A25DCC" w:rsidP="00DA725A">
            <w:pPr>
              <w:shd w:val="clear" w:color="auto" w:fill="FFFFFF"/>
              <w:jc w:val="both"/>
              <w:rPr>
                <w:b/>
                <w:bCs/>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Prețul de plătit pentru un anumit produs de capacitate standard într-un punct de interconectare se calculează în conformitate cu oricare dintre următoarele formule: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se aplică abordarea privind prețul de plătit variabil:</w:t>
                  </w:r>
                </w:p>
                <w:p w:rsidR="00D146AC" w:rsidRPr="00043955" w:rsidRDefault="00D146AC" w:rsidP="00DA725A">
                  <w:pPr>
                    <w:jc w:val="both"/>
                    <w:rPr>
                      <w:sz w:val="18"/>
                      <w:szCs w:val="18"/>
                    </w:rPr>
                  </w:pPr>
                  <w:r w:rsidRPr="00043955">
                    <w:rPr>
                      <w:sz w:val="18"/>
                      <w:szCs w:val="18"/>
                    </w:rPr>
                    <w:t>P</w:t>
                  </w:r>
                  <w:r w:rsidRPr="00043955">
                    <w:rPr>
                      <w:sz w:val="18"/>
                      <w:szCs w:val="18"/>
                      <w:vertAlign w:val="subscript"/>
                    </w:rPr>
                    <w:t>flo</w:t>
                  </w:r>
                  <w:r w:rsidRPr="00043955">
                    <w:rPr>
                      <w:sz w:val="18"/>
                      <w:szCs w:val="18"/>
                    </w:rPr>
                    <w:t> = P</w:t>
                  </w:r>
                  <w:r w:rsidRPr="00043955">
                    <w:rPr>
                      <w:sz w:val="18"/>
                      <w:szCs w:val="18"/>
                      <w:vertAlign w:val="subscript"/>
                    </w:rPr>
                    <w:t>R,flo</w:t>
                  </w:r>
                  <w:r w:rsidRPr="00043955">
                    <w:rPr>
                      <w:sz w:val="18"/>
                      <w:szCs w:val="18"/>
                    </w:rPr>
                    <w:t> + AP</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105"/>
                    <w:gridCol w:w="4883"/>
                  </w:tblGrid>
                  <w:tr w:rsidR="00D146AC" w:rsidRPr="00C27D66" w:rsidTr="00B92DDC">
                    <w:tc>
                      <w:tcPr>
                        <w:tcW w:w="179" w:type="dxa"/>
                        <w:shd w:val="clear" w:color="auto" w:fill="auto"/>
                        <w:hideMark/>
                      </w:tcPr>
                      <w:p w:rsidR="00D146AC" w:rsidRPr="00043955" w:rsidRDefault="00D146AC" w:rsidP="00DA725A">
                        <w:pPr>
                          <w:jc w:val="both"/>
                          <w:rPr>
                            <w:sz w:val="18"/>
                            <w:szCs w:val="18"/>
                          </w:rPr>
                        </w:pPr>
                        <w:r w:rsidRPr="00043955">
                          <w:rPr>
                            <w:sz w:val="18"/>
                            <w:szCs w:val="18"/>
                          </w:rPr>
                          <w:t> </w:t>
                        </w:r>
                      </w:p>
                    </w:tc>
                    <w:tc>
                      <w:tcPr>
                        <w:tcW w:w="9117" w:type="dxa"/>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flo</w:t>
                        </w:r>
                        <w:r w:rsidRPr="00D82EE4">
                          <w:rPr>
                            <w:sz w:val="18"/>
                            <w:szCs w:val="18"/>
                            <w:lang w:val="it-IT"/>
                          </w:rPr>
                          <w:t> este prețul de plătit variabil;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51" w:type="dxa"/>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R,flo</w:t>
                        </w:r>
                        <w:r w:rsidRPr="00D82EE4">
                          <w:rPr>
                            <w:sz w:val="18"/>
                            <w:szCs w:val="18"/>
                            <w:lang w:val="it-IT"/>
                          </w:rPr>
                          <w:t> este prețul de rezervă pentru un produs de capacitate standard, aplicabil în momentul în care produsul respectiv poate fi utilizat;</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82"/>
                    <w:gridCol w:w="4906"/>
                  </w:tblGrid>
                  <w:tr w:rsidR="00D146AC" w:rsidRPr="00C27D66" w:rsidTr="00B92DDC">
                    <w:tc>
                      <w:tcPr>
                        <w:tcW w:w="136"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160" w:type="dxa"/>
                        <w:shd w:val="clear" w:color="auto" w:fill="auto"/>
                        <w:hideMark/>
                      </w:tcPr>
                      <w:p w:rsidR="00D146AC" w:rsidRPr="00D82EE4" w:rsidRDefault="00D146AC" w:rsidP="00DA725A">
                        <w:pPr>
                          <w:jc w:val="both"/>
                          <w:rPr>
                            <w:sz w:val="18"/>
                            <w:szCs w:val="18"/>
                            <w:lang w:val="it-IT"/>
                          </w:rPr>
                        </w:pPr>
                        <w:r w:rsidRPr="00D82EE4">
                          <w:rPr>
                            <w:sz w:val="18"/>
                            <w:szCs w:val="18"/>
                            <w:lang w:val="it-IT"/>
                          </w:rPr>
                          <w:t>AP este prima de licitație, dacă este cazul.</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043955" w:rsidRDefault="00D146AC" w:rsidP="00DA725A">
                  <w:pPr>
                    <w:jc w:val="both"/>
                    <w:rPr>
                      <w:sz w:val="18"/>
                      <w:szCs w:val="18"/>
                    </w:rPr>
                  </w:pPr>
                  <w:r w:rsidRPr="00043955">
                    <w:rPr>
                      <w:sz w:val="18"/>
                      <w:szCs w:val="18"/>
                    </w:rPr>
                    <w:t>dacă se aplică abordarea privind prețul de plătit fix:</w:t>
                  </w:r>
                </w:p>
                <w:p w:rsidR="00D146AC" w:rsidRPr="00043955" w:rsidRDefault="00D146AC" w:rsidP="00DA725A">
                  <w:pPr>
                    <w:jc w:val="both"/>
                    <w:rPr>
                      <w:sz w:val="18"/>
                      <w:szCs w:val="18"/>
                    </w:rPr>
                  </w:pPr>
                  <w:r w:rsidRPr="00043955">
                    <w:rPr>
                      <w:sz w:val="18"/>
                      <w:szCs w:val="18"/>
                    </w:rPr>
                    <w:t>P</w:t>
                  </w:r>
                  <w:r w:rsidRPr="00043955">
                    <w:rPr>
                      <w:sz w:val="18"/>
                      <w:szCs w:val="18"/>
                      <w:vertAlign w:val="subscript"/>
                    </w:rPr>
                    <w:t>fix</w:t>
                  </w:r>
                  <w:r w:rsidRPr="00043955">
                    <w:rPr>
                      <w:sz w:val="18"/>
                      <w:szCs w:val="18"/>
                    </w:rPr>
                    <w:t> = (P</w:t>
                  </w:r>
                  <w:r w:rsidRPr="00043955">
                    <w:rPr>
                      <w:sz w:val="18"/>
                      <w:szCs w:val="18"/>
                      <w:vertAlign w:val="subscript"/>
                    </w:rPr>
                    <w:t>R,y</w:t>
                  </w:r>
                  <w:r w:rsidRPr="00043955">
                    <w:rPr>
                      <w:sz w:val="18"/>
                      <w:szCs w:val="18"/>
                    </w:rPr>
                    <w:t> × IND) + RP + AP</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122"/>
                    <w:gridCol w:w="4865"/>
                  </w:tblGrid>
                  <w:tr w:rsidR="00D146AC" w:rsidRPr="00043955" w:rsidTr="00B92DDC">
                    <w:tc>
                      <w:tcPr>
                        <w:tcW w:w="210" w:type="dxa"/>
                        <w:shd w:val="clear" w:color="auto" w:fill="auto"/>
                        <w:hideMark/>
                      </w:tcPr>
                      <w:p w:rsidR="00D146AC" w:rsidRPr="00043955" w:rsidRDefault="00D146AC" w:rsidP="00DA725A">
                        <w:pPr>
                          <w:jc w:val="both"/>
                          <w:rPr>
                            <w:sz w:val="18"/>
                            <w:szCs w:val="18"/>
                          </w:rPr>
                        </w:pPr>
                        <w:r w:rsidRPr="00043955">
                          <w:rPr>
                            <w:sz w:val="18"/>
                            <w:szCs w:val="18"/>
                          </w:rPr>
                          <w:t> </w:t>
                        </w:r>
                      </w:p>
                    </w:tc>
                    <w:tc>
                      <w:tcPr>
                        <w:tcW w:w="9083" w:type="dxa"/>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fix</w:t>
                        </w:r>
                        <w:r w:rsidRPr="00043955">
                          <w:rPr>
                            <w:sz w:val="18"/>
                            <w:szCs w:val="18"/>
                          </w:rPr>
                          <w:t> este prețul de plătit fix;</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043955"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8" w:type="dxa"/>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R,y</w:t>
                        </w:r>
                        <w:r w:rsidRPr="00043955">
                          <w:rPr>
                            <w:sz w:val="18"/>
                            <w:szCs w:val="18"/>
                          </w:rPr>
                          <w:t> este prețul de rezervă aplicabil pentru un produs de capacitate standard anuală, care este publicat în momentul în care este licitat produsul respectiv;</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6"/>
                    <w:gridCol w:w="4951"/>
                  </w:tblGrid>
                  <w:tr w:rsidR="00D146AC" w:rsidRPr="00C27D66" w:rsidTr="00B92DDC">
                    <w:tc>
                      <w:tcPr>
                        <w:tcW w:w="49"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4" w:type="dxa"/>
                        <w:shd w:val="clear" w:color="auto" w:fill="auto"/>
                        <w:hideMark/>
                      </w:tcPr>
                      <w:p w:rsidR="00D146AC" w:rsidRPr="00D82EE4" w:rsidRDefault="00D146AC" w:rsidP="00DA725A">
                        <w:pPr>
                          <w:jc w:val="both"/>
                          <w:rPr>
                            <w:sz w:val="18"/>
                            <w:szCs w:val="18"/>
                            <w:lang w:val="it-IT"/>
                          </w:rPr>
                        </w:pPr>
                        <w:r w:rsidRPr="00D82EE4">
                          <w:rPr>
                            <w:sz w:val="18"/>
                            <w:szCs w:val="18"/>
                            <w:lang w:val="it-IT"/>
                          </w:rPr>
                          <w:t>IND este raportul dintre indicele ales la momentul utilizării și același indice la momentul în care a fost licitat produsul;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8" w:type="dxa"/>
                        <w:shd w:val="clear" w:color="auto" w:fill="auto"/>
                        <w:hideMark/>
                      </w:tcPr>
                      <w:p w:rsidR="00D146AC" w:rsidRPr="00D82EE4" w:rsidRDefault="00D146AC" w:rsidP="00DA725A">
                        <w:pPr>
                          <w:jc w:val="both"/>
                          <w:rPr>
                            <w:sz w:val="18"/>
                            <w:szCs w:val="18"/>
                            <w:lang w:val="it-IT"/>
                          </w:rPr>
                        </w:pPr>
                        <w:r w:rsidRPr="00D82EE4">
                          <w:rPr>
                            <w:sz w:val="18"/>
                            <w:szCs w:val="18"/>
                            <w:lang w:val="it-IT"/>
                          </w:rPr>
                          <w:t>RP este prima de risc ce reflectă beneficiile certitudinii cu privire la nivelul tarifului de transport, în cazul în care această primă este mai mare sau egală cu 0;</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82"/>
                    <w:gridCol w:w="4905"/>
                  </w:tblGrid>
                  <w:tr w:rsidR="00D146AC" w:rsidRPr="00C27D66" w:rsidTr="00B92DDC">
                    <w:tc>
                      <w:tcPr>
                        <w:tcW w:w="136"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157" w:type="dxa"/>
                        <w:shd w:val="clear" w:color="auto" w:fill="auto"/>
                        <w:hideMark/>
                      </w:tcPr>
                      <w:p w:rsidR="00D146AC" w:rsidRPr="00D82EE4" w:rsidRDefault="00D146AC" w:rsidP="00DA725A">
                        <w:pPr>
                          <w:jc w:val="both"/>
                          <w:rPr>
                            <w:sz w:val="18"/>
                            <w:szCs w:val="18"/>
                            <w:lang w:val="it-IT"/>
                          </w:rPr>
                        </w:pPr>
                        <w:r w:rsidRPr="00D82EE4">
                          <w:rPr>
                            <w:sz w:val="18"/>
                            <w:szCs w:val="18"/>
                            <w:lang w:val="it-IT"/>
                          </w:rPr>
                          <w:t>AP este prima de licitație, dacă este cazul.</w:t>
                        </w: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9A4E3E" w:rsidRPr="009A4E3E" w:rsidRDefault="009F2FF8" w:rsidP="009A4E3E">
            <w:pPr>
              <w:pStyle w:val="NoSpacing"/>
              <w:jc w:val="both"/>
              <w:rPr>
                <w:bCs/>
                <w:sz w:val="18"/>
                <w:szCs w:val="18"/>
                <w:lang w:val="ro-RO"/>
              </w:rPr>
            </w:pPr>
            <w:r w:rsidRPr="00043955">
              <w:rPr>
                <w:bCs/>
                <w:sz w:val="18"/>
                <w:szCs w:val="18"/>
                <w:lang w:val="ro-RO"/>
              </w:rPr>
              <w:t xml:space="preserve"> </w:t>
            </w:r>
            <w:r w:rsidR="009A4E3E" w:rsidRPr="009A4E3E">
              <w:rPr>
                <w:b/>
                <w:bCs/>
                <w:sz w:val="18"/>
                <w:szCs w:val="18"/>
                <w:lang w:val="ro-RO"/>
              </w:rPr>
              <w:t>Secţiunea 2</w:t>
            </w:r>
          </w:p>
          <w:p w:rsidR="009A4E3E" w:rsidRDefault="009A4E3E" w:rsidP="009A4E3E">
            <w:pPr>
              <w:pStyle w:val="NoSpacing"/>
              <w:jc w:val="both"/>
              <w:rPr>
                <w:b/>
                <w:bCs/>
                <w:sz w:val="18"/>
                <w:szCs w:val="18"/>
                <w:lang w:val="ro-RO"/>
              </w:rPr>
            </w:pPr>
            <w:r w:rsidRPr="009A4E3E">
              <w:rPr>
                <w:b/>
                <w:bCs/>
                <w:sz w:val="18"/>
                <w:szCs w:val="18"/>
                <w:lang w:val="ro-RO"/>
              </w:rPr>
              <w:t>Calcularea preţului de plătit în punctele de interconectare</w:t>
            </w:r>
          </w:p>
          <w:p w:rsidR="00A25DCC" w:rsidRPr="009A4E3E" w:rsidRDefault="00A25DCC" w:rsidP="009A4E3E">
            <w:pPr>
              <w:pStyle w:val="NoSpacing"/>
              <w:jc w:val="both"/>
              <w:rPr>
                <w:bCs/>
                <w:sz w:val="18"/>
                <w:szCs w:val="18"/>
                <w:lang w:val="ro-RO"/>
              </w:rPr>
            </w:pPr>
          </w:p>
          <w:p w:rsidR="009A4E3E" w:rsidRPr="009A4E3E" w:rsidRDefault="009A4E3E" w:rsidP="009A4E3E">
            <w:pPr>
              <w:pStyle w:val="NoSpacing"/>
              <w:rPr>
                <w:bCs/>
                <w:sz w:val="18"/>
                <w:szCs w:val="18"/>
                <w:lang w:val="ro-RO"/>
              </w:rPr>
            </w:pPr>
            <w:r w:rsidRPr="009A4E3E">
              <w:rPr>
                <w:b/>
                <w:bCs/>
                <w:sz w:val="18"/>
                <w:szCs w:val="18"/>
                <w:lang w:val="ro-RO"/>
              </w:rPr>
              <w:t>391.</w:t>
            </w:r>
            <w:r w:rsidRPr="009A4E3E">
              <w:rPr>
                <w:bCs/>
                <w:sz w:val="18"/>
                <w:szCs w:val="18"/>
                <w:lang w:val="ro-RO"/>
              </w:rPr>
              <w:t xml:space="preserve"> Preţul de plătit pentru un anumit PCS într-un punct de interconectare se calculează în conformitate cu oricare dintre următoarele formule:</w:t>
            </w:r>
          </w:p>
          <w:p w:rsidR="009A4E3E" w:rsidRPr="009A4E3E" w:rsidRDefault="009A4E3E" w:rsidP="009A4E3E">
            <w:pPr>
              <w:pStyle w:val="NoSpacing"/>
              <w:rPr>
                <w:bCs/>
                <w:sz w:val="18"/>
                <w:szCs w:val="18"/>
                <w:lang w:val="ro-RO"/>
              </w:rPr>
            </w:pPr>
            <w:r w:rsidRPr="009A4E3E">
              <w:rPr>
                <w:bCs/>
                <w:sz w:val="18"/>
                <w:szCs w:val="18"/>
                <w:lang w:val="ro-RO"/>
              </w:rPr>
              <w:t>1) dacă se aplică abordarea privind preţul variabil:</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jc w:val="center"/>
              <w:rPr>
                <w:bCs/>
                <w:sz w:val="18"/>
                <w:szCs w:val="18"/>
                <w:lang w:val="ro-RO"/>
              </w:rPr>
            </w:pPr>
            <w:r w:rsidRPr="009A4E3E">
              <w:rPr>
                <w:b/>
                <w:bCs/>
                <w:sz w:val="18"/>
                <w:szCs w:val="18"/>
                <w:lang w:val="ro-RO"/>
              </w:rPr>
              <w:t>P</w:t>
            </w:r>
            <w:r w:rsidRPr="009A4E3E">
              <w:rPr>
                <w:b/>
                <w:bCs/>
                <w:sz w:val="18"/>
                <w:szCs w:val="18"/>
                <w:vertAlign w:val="subscript"/>
                <w:lang w:val="ro-RO"/>
              </w:rPr>
              <w:t>flo</w:t>
            </w:r>
            <w:r w:rsidRPr="009A4E3E">
              <w:rPr>
                <w:b/>
                <w:bCs/>
                <w:sz w:val="18"/>
                <w:szCs w:val="18"/>
                <w:lang w:val="ro-RO"/>
              </w:rPr>
              <w:t xml:space="preserve"> = P</w:t>
            </w:r>
            <w:r w:rsidRPr="009A4E3E">
              <w:rPr>
                <w:b/>
                <w:bCs/>
                <w:sz w:val="18"/>
                <w:szCs w:val="18"/>
                <w:vertAlign w:val="subscript"/>
                <w:lang w:val="ro-RO"/>
              </w:rPr>
              <w:t xml:space="preserve">R,flo </w:t>
            </w:r>
            <w:r w:rsidR="000B25FB">
              <w:rPr>
                <w:b/>
                <w:bCs/>
                <w:sz w:val="18"/>
                <w:szCs w:val="18"/>
                <w:lang w:val="ro-RO"/>
              </w:rPr>
              <w:t>+ AP</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rPr>
                <w:bCs/>
                <w:sz w:val="18"/>
                <w:szCs w:val="18"/>
                <w:lang w:val="ro-RO"/>
              </w:rPr>
            </w:pPr>
            <w:r w:rsidRPr="009A4E3E">
              <w:rPr>
                <w:bCs/>
                <w:sz w:val="18"/>
                <w:szCs w:val="18"/>
                <w:lang w:val="ro-RO"/>
              </w:rPr>
              <w:t>unde:</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flo</w:t>
            </w:r>
            <w:r w:rsidRPr="009A4E3E">
              <w:rPr>
                <w:bCs/>
                <w:sz w:val="18"/>
                <w:szCs w:val="18"/>
                <w:lang w:val="ro-RO"/>
              </w:rPr>
              <w:t xml:space="preserve"> – este preţul de plătit variabil;</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 xml:space="preserve">R,flo </w:t>
            </w:r>
            <w:r w:rsidRPr="009A4E3E">
              <w:rPr>
                <w:bCs/>
                <w:sz w:val="18"/>
                <w:szCs w:val="18"/>
                <w:lang w:val="ro-RO"/>
              </w:rPr>
              <w:t>–</w:t>
            </w:r>
            <w:r w:rsidRPr="009A4E3E">
              <w:rPr>
                <w:bCs/>
                <w:sz w:val="18"/>
                <w:szCs w:val="18"/>
                <w:vertAlign w:val="subscript"/>
                <w:lang w:val="ro-RO"/>
              </w:rPr>
              <w:t xml:space="preserve"> </w:t>
            </w:r>
            <w:r w:rsidRPr="009A4E3E">
              <w:rPr>
                <w:bCs/>
                <w:sz w:val="18"/>
                <w:szCs w:val="18"/>
                <w:lang w:val="ro-RO"/>
              </w:rPr>
              <w:t>este preţul de rezervă pentru un PCS, aplicabil în momentul în care produsul respectiv poate fi utilizat;</w:t>
            </w:r>
          </w:p>
          <w:p w:rsidR="009A4E3E" w:rsidRPr="009A4E3E" w:rsidRDefault="009A4E3E" w:rsidP="009A4E3E">
            <w:pPr>
              <w:pStyle w:val="NoSpacing"/>
              <w:rPr>
                <w:bCs/>
                <w:sz w:val="18"/>
                <w:szCs w:val="18"/>
                <w:lang w:val="ro-RO"/>
              </w:rPr>
            </w:pPr>
            <w:r w:rsidRPr="009A4E3E">
              <w:rPr>
                <w:b/>
                <w:bCs/>
                <w:sz w:val="18"/>
                <w:szCs w:val="18"/>
                <w:lang w:val="ro-RO"/>
              </w:rPr>
              <w:t>AP</w:t>
            </w:r>
            <w:r w:rsidRPr="009A4E3E">
              <w:rPr>
                <w:bCs/>
                <w:sz w:val="18"/>
                <w:szCs w:val="18"/>
                <w:lang w:val="ro-RO"/>
              </w:rPr>
              <w:t xml:space="preserve"> – este prima de licitaţie, dacă este cazul.</w:t>
            </w:r>
          </w:p>
          <w:p w:rsidR="009A4E3E" w:rsidRPr="009A4E3E" w:rsidRDefault="009A4E3E" w:rsidP="009A4E3E">
            <w:pPr>
              <w:pStyle w:val="NoSpacing"/>
              <w:rPr>
                <w:bCs/>
                <w:sz w:val="18"/>
                <w:szCs w:val="18"/>
                <w:lang w:val="ro-RO"/>
              </w:rPr>
            </w:pPr>
            <w:r w:rsidRPr="009A4E3E">
              <w:rPr>
                <w:bCs/>
                <w:sz w:val="18"/>
                <w:szCs w:val="18"/>
                <w:lang w:val="ro-RO"/>
              </w:rPr>
              <w:t>2) dacă se aplică abordarea privind preţul de plătit fix:</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jc w:val="center"/>
              <w:rPr>
                <w:bCs/>
                <w:sz w:val="18"/>
                <w:szCs w:val="18"/>
                <w:lang w:val="ro-RO"/>
              </w:rPr>
            </w:pPr>
            <w:r w:rsidRPr="009A4E3E">
              <w:rPr>
                <w:b/>
                <w:bCs/>
                <w:sz w:val="18"/>
                <w:szCs w:val="18"/>
                <w:lang w:val="ro-RO"/>
              </w:rPr>
              <w:t>P</w:t>
            </w:r>
            <w:r w:rsidRPr="009A4E3E">
              <w:rPr>
                <w:b/>
                <w:bCs/>
                <w:sz w:val="18"/>
                <w:szCs w:val="18"/>
                <w:vertAlign w:val="subscript"/>
                <w:lang w:val="ro-RO"/>
              </w:rPr>
              <w:t>fix</w:t>
            </w:r>
            <w:r w:rsidRPr="009A4E3E">
              <w:rPr>
                <w:b/>
                <w:bCs/>
                <w:sz w:val="18"/>
                <w:szCs w:val="18"/>
                <w:lang w:val="ro-RO"/>
              </w:rPr>
              <w:t xml:space="preserve"> = (P</w:t>
            </w:r>
            <w:r w:rsidRPr="009A4E3E">
              <w:rPr>
                <w:b/>
                <w:bCs/>
                <w:sz w:val="18"/>
                <w:szCs w:val="18"/>
                <w:vertAlign w:val="subscript"/>
                <w:lang w:val="ro-RO"/>
              </w:rPr>
              <w:t xml:space="preserve">R,y </w:t>
            </w:r>
            <w:r w:rsidR="000B25FB">
              <w:rPr>
                <w:b/>
                <w:bCs/>
                <w:sz w:val="18"/>
                <w:szCs w:val="18"/>
                <w:lang w:val="ro-RO"/>
              </w:rPr>
              <w:t>× IND) + RP + AP</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rPr>
                <w:bCs/>
                <w:sz w:val="18"/>
                <w:szCs w:val="18"/>
                <w:lang w:val="ro-RO"/>
              </w:rPr>
            </w:pPr>
            <w:r w:rsidRPr="009A4E3E">
              <w:rPr>
                <w:bCs/>
                <w:sz w:val="18"/>
                <w:szCs w:val="18"/>
                <w:lang w:val="ro-RO"/>
              </w:rPr>
              <w:t>unde:</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fix</w:t>
            </w:r>
            <w:r w:rsidRPr="009A4E3E">
              <w:rPr>
                <w:bCs/>
                <w:sz w:val="18"/>
                <w:szCs w:val="18"/>
                <w:lang w:val="ro-RO"/>
              </w:rPr>
              <w:t xml:space="preserve"> – este preţul de plătit fix;</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R,y</w:t>
            </w:r>
            <w:r w:rsidRPr="009A4E3E">
              <w:rPr>
                <w:bCs/>
                <w:sz w:val="18"/>
                <w:szCs w:val="18"/>
                <w:vertAlign w:val="subscript"/>
                <w:lang w:val="ro-RO"/>
              </w:rPr>
              <w:t xml:space="preserve"> </w:t>
            </w:r>
            <w:r w:rsidRPr="009A4E3E">
              <w:rPr>
                <w:bCs/>
                <w:sz w:val="18"/>
                <w:szCs w:val="18"/>
                <w:lang w:val="ro-RO"/>
              </w:rPr>
              <w:t>– este preţul de rezervă aplicabil pentru un PCS anuală, care este publicat în momentul în care este licitat produsul respectiv;</w:t>
            </w:r>
          </w:p>
          <w:p w:rsidR="009A4E3E" w:rsidRPr="009A4E3E" w:rsidRDefault="009A4E3E" w:rsidP="009A4E3E">
            <w:pPr>
              <w:pStyle w:val="NoSpacing"/>
              <w:rPr>
                <w:bCs/>
                <w:sz w:val="18"/>
                <w:szCs w:val="18"/>
                <w:lang w:val="ro-RO"/>
              </w:rPr>
            </w:pPr>
            <w:r w:rsidRPr="009A4E3E">
              <w:rPr>
                <w:b/>
                <w:bCs/>
                <w:sz w:val="18"/>
                <w:szCs w:val="18"/>
                <w:lang w:val="ro-RO"/>
              </w:rPr>
              <w:t>IND</w:t>
            </w:r>
            <w:r w:rsidRPr="009A4E3E">
              <w:rPr>
                <w:bCs/>
                <w:sz w:val="18"/>
                <w:szCs w:val="18"/>
                <w:lang w:val="ro-RO"/>
              </w:rPr>
              <w:t xml:space="preserve"> – este raportul dintre indicele ales la momentul utilizării şi acelaşi indice la momentul în care a fost licitat produsul;</w:t>
            </w:r>
          </w:p>
          <w:p w:rsidR="009A4E3E" w:rsidRPr="009A4E3E" w:rsidRDefault="009A4E3E" w:rsidP="009A4E3E">
            <w:pPr>
              <w:pStyle w:val="NoSpacing"/>
              <w:rPr>
                <w:bCs/>
                <w:sz w:val="18"/>
                <w:szCs w:val="18"/>
                <w:lang w:val="ro-RO"/>
              </w:rPr>
            </w:pPr>
            <w:r w:rsidRPr="009A4E3E">
              <w:rPr>
                <w:b/>
                <w:bCs/>
                <w:sz w:val="18"/>
                <w:szCs w:val="18"/>
                <w:lang w:val="ro-RO"/>
              </w:rPr>
              <w:t>RP</w:t>
            </w:r>
            <w:r w:rsidRPr="009A4E3E">
              <w:rPr>
                <w:bCs/>
                <w:sz w:val="18"/>
                <w:szCs w:val="18"/>
                <w:lang w:val="ro-RO"/>
              </w:rPr>
              <w:t xml:space="preserve"> – este prima de risc ce reflectă beneficiile certitudinii cu privire la nivelul tarifului pentru prestarea serviciului de transport, în cazul în care această primă este mai mare sau egală cu 0;</w:t>
            </w:r>
          </w:p>
          <w:p w:rsidR="00D146AC" w:rsidRPr="00043955" w:rsidRDefault="009A4E3E" w:rsidP="009A4E3E">
            <w:pPr>
              <w:pStyle w:val="NoSpacing"/>
              <w:rPr>
                <w:bCs/>
                <w:sz w:val="18"/>
                <w:szCs w:val="18"/>
                <w:lang w:val="ro-RO"/>
              </w:rPr>
            </w:pPr>
            <w:r w:rsidRPr="009A4E3E">
              <w:rPr>
                <w:b/>
                <w:bCs/>
                <w:sz w:val="18"/>
                <w:szCs w:val="18"/>
                <w:lang w:val="ro-RO"/>
              </w:rPr>
              <w:lastRenderedPageBreak/>
              <w:t>AP</w:t>
            </w:r>
            <w:r w:rsidRPr="009A4E3E">
              <w:rPr>
                <w:bCs/>
                <w:sz w:val="18"/>
                <w:szCs w:val="18"/>
                <w:lang w:val="ro-RO"/>
              </w:rPr>
              <w:t xml:space="preserve"> – este prima de licitaţie, dacă este cazul.</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B810DF" w:rsidRPr="00E84D74" w:rsidRDefault="00B810DF" w:rsidP="00DA725A">
            <w:pPr>
              <w:autoSpaceDE w:val="0"/>
              <w:autoSpaceDN w:val="0"/>
              <w:adjustRightInd w:val="0"/>
              <w:jc w:val="center"/>
              <w:rPr>
                <w:b/>
                <w:bCs/>
                <w:i/>
                <w:iCs/>
                <w:sz w:val="18"/>
                <w:szCs w:val="18"/>
              </w:rPr>
            </w:pPr>
            <w:r w:rsidRPr="00E84D74">
              <w:rPr>
                <w:b/>
                <w:bCs/>
                <w:i/>
                <w:iCs/>
                <w:sz w:val="18"/>
                <w:szCs w:val="18"/>
              </w:rPr>
              <w:t>Article 24</w:t>
            </w:r>
          </w:p>
          <w:p w:rsidR="00D146AC" w:rsidRPr="00E84D74" w:rsidRDefault="00B810DF" w:rsidP="00A25DCC">
            <w:pPr>
              <w:jc w:val="both"/>
              <w:rPr>
                <w:b/>
                <w:bCs/>
                <w:sz w:val="18"/>
                <w:szCs w:val="18"/>
              </w:rPr>
            </w:pPr>
            <w:r w:rsidRPr="00E84D74">
              <w:rPr>
                <w:b/>
                <w:bCs/>
                <w:sz w:val="18"/>
                <w:szCs w:val="18"/>
              </w:rPr>
              <w:t>Calculation of payable price at interconnection points</w:t>
            </w:r>
          </w:p>
          <w:p w:rsidR="00B810DF" w:rsidRPr="00E84D74" w:rsidRDefault="00B810DF" w:rsidP="00DA725A">
            <w:pPr>
              <w:autoSpaceDE w:val="0"/>
              <w:autoSpaceDN w:val="0"/>
              <w:adjustRightInd w:val="0"/>
              <w:rPr>
                <w:sz w:val="18"/>
                <w:szCs w:val="18"/>
              </w:rPr>
            </w:pPr>
            <w:r w:rsidRPr="00E84D74">
              <w:rPr>
                <w:sz w:val="18"/>
                <w:szCs w:val="18"/>
              </w:rPr>
              <w:t>The payable price for a given standard capacity product at an interconnection point shall be calculated</w:t>
            </w:r>
            <w:r w:rsidR="003868E8" w:rsidRPr="00E84D74">
              <w:rPr>
                <w:sz w:val="18"/>
                <w:szCs w:val="18"/>
              </w:rPr>
              <w:t xml:space="preserve"> </w:t>
            </w:r>
            <w:r w:rsidRPr="00E84D74">
              <w:rPr>
                <w:sz w:val="18"/>
                <w:szCs w:val="18"/>
              </w:rPr>
              <w:t>in accordance with either of the following formulas:</w:t>
            </w:r>
          </w:p>
          <w:p w:rsidR="00B810DF" w:rsidRPr="00E84D74" w:rsidRDefault="00B810DF" w:rsidP="00DA725A">
            <w:pPr>
              <w:autoSpaceDE w:val="0"/>
              <w:autoSpaceDN w:val="0"/>
              <w:adjustRightInd w:val="0"/>
              <w:rPr>
                <w:sz w:val="18"/>
                <w:szCs w:val="18"/>
              </w:rPr>
            </w:pPr>
            <w:r w:rsidRPr="00E84D74">
              <w:rPr>
                <w:sz w:val="18"/>
                <w:szCs w:val="18"/>
              </w:rPr>
              <w:t>(a) where the floating payable price approach is applied:</w:t>
            </w:r>
          </w:p>
          <w:p w:rsidR="003868E8" w:rsidRPr="00E84D74" w:rsidRDefault="003868E8" w:rsidP="00DA725A">
            <w:pPr>
              <w:autoSpaceDE w:val="0"/>
              <w:autoSpaceDN w:val="0"/>
              <w:adjustRightInd w:val="0"/>
              <w:rPr>
                <w:b/>
                <w:bCs/>
                <w:sz w:val="18"/>
                <w:szCs w:val="18"/>
              </w:rPr>
            </w:pPr>
          </w:p>
          <w:p w:rsidR="00B810DF" w:rsidRPr="00E84D74" w:rsidRDefault="00B810DF" w:rsidP="00DA725A">
            <w:pPr>
              <w:autoSpaceDE w:val="0"/>
              <w:autoSpaceDN w:val="0"/>
              <w:adjustRightInd w:val="0"/>
              <w:jc w:val="center"/>
              <w:rPr>
                <w:b/>
                <w:bCs/>
                <w:sz w:val="18"/>
                <w:szCs w:val="18"/>
              </w:rPr>
            </w:pPr>
            <w:r w:rsidRPr="00E84D74">
              <w:rPr>
                <w:b/>
                <w:bCs/>
                <w:sz w:val="18"/>
                <w:szCs w:val="18"/>
              </w:rPr>
              <w:t>Pflo = PR,flo + AP</w:t>
            </w:r>
          </w:p>
          <w:p w:rsidR="003868E8" w:rsidRPr="00E84D74" w:rsidRDefault="003868E8" w:rsidP="00DA725A">
            <w:pPr>
              <w:autoSpaceDE w:val="0"/>
              <w:autoSpaceDN w:val="0"/>
              <w:adjustRightInd w:val="0"/>
              <w:rPr>
                <w:i/>
                <w:iCs/>
                <w:sz w:val="18"/>
                <w:szCs w:val="18"/>
              </w:rPr>
            </w:pPr>
          </w:p>
          <w:p w:rsidR="00B810DF" w:rsidRPr="00E84D74" w:rsidRDefault="00B810DF" w:rsidP="00DA725A">
            <w:pPr>
              <w:autoSpaceDE w:val="0"/>
              <w:autoSpaceDN w:val="0"/>
              <w:adjustRightInd w:val="0"/>
              <w:rPr>
                <w:i/>
                <w:iCs/>
                <w:sz w:val="18"/>
                <w:szCs w:val="18"/>
              </w:rPr>
            </w:pPr>
            <w:r w:rsidRPr="00E84D74">
              <w:rPr>
                <w:i/>
                <w:iCs/>
                <w:sz w:val="18"/>
                <w:szCs w:val="18"/>
              </w:rPr>
              <w:t>Where:</w:t>
            </w:r>
          </w:p>
          <w:p w:rsidR="00B810DF" w:rsidRPr="00E84D74" w:rsidRDefault="00B810DF" w:rsidP="00DA725A">
            <w:pPr>
              <w:autoSpaceDE w:val="0"/>
              <w:autoSpaceDN w:val="0"/>
              <w:adjustRightInd w:val="0"/>
              <w:rPr>
                <w:sz w:val="18"/>
                <w:szCs w:val="18"/>
              </w:rPr>
            </w:pPr>
            <w:r w:rsidRPr="00E84D74">
              <w:rPr>
                <w:b/>
                <w:bCs/>
                <w:sz w:val="18"/>
                <w:szCs w:val="18"/>
              </w:rPr>
              <w:t xml:space="preserve">Pflo </w:t>
            </w:r>
            <w:r w:rsidRPr="00E84D74">
              <w:rPr>
                <w:sz w:val="18"/>
                <w:szCs w:val="18"/>
              </w:rPr>
              <w:t>is the floating payable price;</w:t>
            </w:r>
          </w:p>
          <w:p w:rsidR="00B810DF" w:rsidRPr="00E84D74" w:rsidRDefault="00B810DF" w:rsidP="00DA725A">
            <w:pPr>
              <w:autoSpaceDE w:val="0"/>
              <w:autoSpaceDN w:val="0"/>
              <w:adjustRightInd w:val="0"/>
              <w:rPr>
                <w:sz w:val="18"/>
                <w:szCs w:val="18"/>
              </w:rPr>
            </w:pPr>
            <w:r w:rsidRPr="00E84D74">
              <w:rPr>
                <w:b/>
                <w:bCs/>
                <w:sz w:val="18"/>
                <w:szCs w:val="18"/>
              </w:rPr>
              <w:t xml:space="preserve">PR,flo </w:t>
            </w:r>
            <w:r w:rsidRPr="00E84D74">
              <w:rPr>
                <w:sz w:val="18"/>
                <w:szCs w:val="18"/>
              </w:rPr>
              <w:t>is the reserve price for a standard capacity product applicable at</w:t>
            </w:r>
            <w:r w:rsidR="003868E8" w:rsidRPr="00E84D74">
              <w:rPr>
                <w:sz w:val="18"/>
                <w:szCs w:val="18"/>
              </w:rPr>
              <w:t xml:space="preserve"> the time when this product may </w:t>
            </w:r>
            <w:r w:rsidRPr="00E84D74">
              <w:rPr>
                <w:sz w:val="18"/>
                <w:szCs w:val="18"/>
              </w:rPr>
              <w:t>be used;</w:t>
            </w:r>
          </w:p>
          <w:p w:rsidR="00B810DF" w:rsidRPr="00E84D74" w:rsidRDefault="00B810DF" w:rsidP="00DA725A">
            <w:pPr>
              <w:jc w:val="both"/>
              <w:rPr>
                <w:sz w:val="18"/>
                <w:szCs w:val="18"/>
              </w:rPr>
            </w:pPr>
            <w:r w:rsidRPr="00E84D74">
              <w:rPr>
                <w:b/>
                <w:bCs/>
                <w:sz w:val="18"/>
                <w:szCs w:val="18"/>
              </w:rPr>
              <w:t xml:space="preserve">AP </w:t>
            </w:r>
            <w:r w:rsidRPr="00E84D74">
              <w:rPr>
                <w:sz w:val="18"/>
                <w:szCs w:val="18"/>
              </w:rPr>
              <w:t>is the auction premium, if any.</w:t>
            </w:r>
          </w:p>
          <w:p w:rsidR="003868E8" w:rsidRPr="00E84D74" w:rsidRDefault="003868E8" w:rsidP="00DA725A">
            <w:pPr>
              <w:autoSpaceDE w:val="0"/>
              <w:autoSpaceDN w:val="0"/>
              <w:adjustRightInd w:val="0"/>
              <w:rPr>
                <w:sz w:val="18"/>
                <w:szCs w:val="18"/>
              </w:rPr>
            </w:pPr>
          </w:p>
          <w:p w:rsidR="003868E8" w:rsidRPr="00E84D74" w:rsidRDefault="003868E8" w:rsidP="00DA725A">
            <w:pPr>
              <w:autoSpaceDE w:val="0"/>
              <w:autoSpaceDN w:val="0"/>
              <w:adjustRightInd w:val="0"/>
              <w:rPr>
                <w:sz w:val="18"/>
                <w:szCs w:val="18"/>
              </w:rPr>
            </w:pPr>
          </w:p>
          <w:p w:rsidR="00B810DF" w:rsidRPr="00E84D74" w:rsidRDefault="00B810DF" w:rsidP="00DA725A">
            <w:pPr>
              <w:autoSpaceDE w:val="0"/>
              <w:autoSpaceDN w:val="0"/>
              <w:adjustRightInd w:val="0"/>
              <w:rPr>
                <w:sz w:val="18"/>
                <w:szCs w:val="18"/>
              </w:rPr>
            </w:pPr>
            <w:r w:rsidRPr="00E84D74">
              <w:rPr>
                <w:sz w:val="18"/>
                <w:szCs w:val="18"/>
              </w:rPr>
              <w:t>(b) where the fixed payable price approach is applied:</w:t>
            </w:r>
          </w:p>
          <w:p w:rsidR="003868E8" w:rsidRPr="00E84D74" w:rsidRDefault="003868E8" w:rsidP="00DA725A">
            <w:pPr>
              <w:autoSpaceDE w:val="0"/>
              <w:autoSpaceDN w:val="0"/>
              <w:adjustRightInd w:val="0"/>
              <w:jc w:val="center"/>
              <w:rPr>
                <w:b/>
                <w:bCs/>
                <w:sz w:val="18"/>
                <w:szCs w:val="18"/>
              </w:rPr>
            </w:pPr>
          </w:p>
          <w:p w:rsidR="00B810DF" w:rsidRPr="00E84D74" w:rsidRDefault="00B810DF" w:rsidP="00DA725A">
            <w:pPr>
              <w:autoSpaceDE w:val="0"/>
              <w:autoSpaceDN w:val="0"/>
              <w:adjustRightInd w:val="0"/>
              <w:jc w:val="center"/>
              <w:rPr>
                <w:b/>
                <w:bCs/>
                <w:sz w:val="18"/>
                <w:szCs w:val="18"/>
              </w:rPr>
            </w:pPr>
            <w:r w:rsidRPr="00E84D74">
              <w:rPr>
                <w:b/>
                <w:bCs/>
                <w:sz w:val="18"/>
                <w:szCs w:val="18"/>
              </w:rPr>
              <w:t>Pfix = (PR,y × IND) + RP + AP</w:t>
            </w:r>
          </w:p>
          <w:p w:rsidR="003868E8" w:rsidRPr="00E84D74" w:rsidRDefault="003868E8" w:rsidP="00DA725A">
            <w:pPr>
              <w:autoSpaceDE w:val="0"/>
              <w:autoSpaceDN w:val="0"/>
              <w:adjustRightInd w:val="0"/>
              <w:rPr>
                <w:i/>
                <w:iCs/>
                <w:sz w:val="18"/>
                <w:szCs w:val="18"/>
              </w:rPr>
            </w:pPr>
          </w:p>
          <w:p w:rsidR="00B810DF" w:rsidRPr="00E84D74" w:rsidRDefault="00B810DF" w:rsidP="00DA725A">
            <w:pPr>
              <w:autoSpaceDE w:val="0"/>
              <w:autoSpaceDN w:val="0"/>
              <w:adjustRightInd w:val="0"/>
              <w:rPr>
                <w:i/>
                <w:iCs/>
                <w:sz w:val="18"/>
                <w:szCs w:val="18"/>
              </w:rPr>
            </w:pPr>
            <w:r w:rsidRPr="00E84D74">
              <w:rPr>
                <w:i/>
                <w:iCs/>
                <w:sz w:val="18"/>
                <w:szCs w:val="18"/>
              </w:rPr>
              <w:t>Where:</w:t>
            </w:r>
          </w:p>
          <w:p w:rsidR="00B810DF" w:rsidRPr="00E84D74" w:rsidRDefault="00B810DF" w:rsidP="00DA725A">
            <w:pPr>
              <w:autoSpaceDE w:val="0"/>
              <w:autoSpaceDN w:val="0"/>
              <w:adjustRightInd w:val="0"/>
              <w:rPr>
                <w:sz w:val="18"/>
                <w:szCs w:val="18"/>
              </w:rPr>
            </w:pPr>
            <w:r w:rsidRPr="00E84D74">
              <w:rPr>
                <w:b/>
                <w:bCs/>
                <w:sz w:val="18"/>
                <w:szCs w:val="18"/>
              </w:rPr>
              <w:t xml:space="preserve">Pfix </w:t>
            </w:r>
            <w:r w:rsidRPr="00E84D74">
              <w:rPr>
                <w:sz w:val="18"/>
                <w:szCs w:val="18"/>
              </w:rPr>
              <w:t>is the fixed payable price;</w:t>
            </w:r>
          </w:p>
          <w:p w:rsidR="00B810DF" w:rsidRPr="00E84D74" w:rsidRDefault="00B810DF" w:rsidP="00DA725A">
            <w:pPr>
              <w:autoSpaceDE w:val="0"/>
              <w:autoSpaceDN w:val="0"/>
              <w:adjustRightInd w:val="0"/>
              <w:rPr>
                <w:sz w:val="18"/>
                <w:szCs w:val="18"/>
              </w:rPr>
            </w:pPr>
            <w:r w:rsidRPr="00E84D74">
              <w:rPr>
                <w:b/>
                <w:bCs/>
                <w:sz w:val="18"/>
                <w:szCs w:val="18"/>
              </w:rPr>
              <w:t xml:space="preserve">PR,y </w:t>
            </w:r>
            <w:r w:rsidRPr="00E84D74">
              <w:rPr>
                <w:sz w:val="18"/>
                <w:szCs w:val="18"/>
              </w:rPr>
              <w:t>is the applicable reserve price for a yearly standard capacity product which is published at the time</w:t>
            </w:r>
          </w:p>
          <w:p w:rsidR="00B810DF" w:rsidRPr="00E84D74" w:rsidRDefault="00B810DF" w:rsidP="00DA725A">
            <w:pPr>
              <w:autoSpaceDE w:val="0"/>
              <w:autoSpaceDN w:val="0"/>
              <w:adjustRightInd w:val="0"/>
              <w:rPr>
                <w:sz w:val="18"/>
                <w:szCs w:val="18"/>
              </w:rPr>
            </w:pPr>
            <w:r w:rsidRPr="00E84D74">
              <w:rPr>
                <w:sz w:val="18"/>
                <w:szCs w:val="18"/>
              </w:rPr>
              <w:t>when this product is auctioned;</w:t>
            </w:r>
          </w:p>
          <w:p w:rsidR="00B810DF" w:rsidRPr="00E84D74" w:rsidRDefault="00B810DF" w:rsidP="00DA725A">
            <w:pPr>
              <w:autoSpaceDE w:val="0"/>
              <w:autoSpaceDN w:val="0"/>
              <w:adjustRightInd w:val="0"/>
              <w:rPr>
                <w:sz w:val="18"/>
                <w:szCs w:val="18"/>
              </w:rPr>
            </w:pPr>
            <w:r w:rsidRPr="00E84D74">
              <w:rPr>
                <w:b/>
                <w:bCs/>
                <w:sz w:val="18"/>
                <w:szCs w:val="18"/>
              </w:rPr>
              <w:lastRenderedPageBreak/>
              <w:t xml:space="preserve">IND </w:t>
            </w:r>
            <w:r w:rsidRPr="00E84D74">
              <w:rPr>
                <w:sz w:val="18"/>
                <w:szCs w:val="18"/>
              </w:rPr>
              <w:t>is the ratio between the chosen index at the time of use and the same index at the time the product</w:t>
            </w:r>
          </w:p>
          <w:p w:rsidR="00B810DF" w:rsidRPr="00E84D74" w:rsidRDefault="00B810DF" w:rsidP="00DA725A">
            <w:pPr>
              <w:autoSpaceDE w:val="0"/>
              <w:autoSpaceDN w:val="0"/>
              <w:adjustRightInd w:val="0"/>
              <w:rPr>
                <w:sz w:val="18"/>
                <w:szCs w:val="18"/>
              </w:rPr>
            </w:pPr>
            <w:r w:rsidRPr="00E84D74">
              <w:rPr>
                <w:sz w:val="18"/>
                <w:szCs w:val="18"/>
              </w:rPr>
              <w:t>was auctioned;</w:t>
            </w:r>
          </w:p>
          <w:p w:rsidR="00B810DF" w:rsidRPr="00E84D74" w:rsidRDefault="00B810DF" w:rsidP="00DA725A">
            <w:pPr>
              <w:autoSpaceDE w:val="0"/>
              <w:autoSpaceDN w:val="0"/>
              <w:adjustRightInd w:val="0"/>
              <w:rPr>
                <w:sz w:val="18"/>
                <w:szCs w:val="18"/>
              </w:rPr>
            </w:pPr>
            <w:r w:rsidRPr="00E84D74">
              <w:rPr>
                <w:b/>
                <w:bCs/>
                <w:sz w:val="18"/>
                <w:szCs w:val="18"/>
              </w:rPr>
              <w:t xml:space="preserve">RP </w:t>
            </w:r>
            <w:r w:rsidRPr="00E84D74">
              <w:rPr>
                <w:sz w:val="18"/>
                <w:szCs w:val="18"/>
              </w:rPr>
              <w:t>is the risk premium reflecting the benefits of certainty regarding the level of transmission tariff, where</w:t>
            </w:r>
          </w:p>
          <w:p w:rsidR="00B810DF" w:rsidRPr="00E84D74" w:rsidRDefault="00B810DF" w:rsidP="00DA725A">
            <w:pPr>
              <w:autoSpaceDE w:val="0"/>
              <w:autoSpaceDN w:val="0"/>
              <w:adjustRightInd w:val="0"/>
              <w:rPr>
                <w:sz w:val="18"/>
                <w:szCs w:val="18"/>
              </w:rPr>
            </w:pPr>
            <w:r w:rsidRPr="00E84D74">
              <w:rPr>
                <w:sz w:val="18"/>
                <w:szCs w:val="18"/>
              </w:rPr>
              <w:t>such premium shall be no less than 0;</w:t>
            </w:r>
          </w:p>
          <w:p w:rsidR="00B810DF" w:rsidRDefault="00B810DF" w:rsidP="00DA725A">
            <w:pPr>
              <w:jc w:val="both"/>
              <w:rPr>
                <w:sz w:val="18"/>
                <w:szCs w:val="18"/>
              </w:rPr>
            </w:pPr>
            <w:r w:rsidRPr="00E84D74">
              <w:rPr>
                <w:b/>
                <w:bCs/>
                <w:sz w:val="18"/>
                <w:szCs w:val="18"/>
              </w:rPr>
              <w:t xml:space="preserve">AP </w:t>
            </w:r>
            <w:r w:rsidRPr="00E84D74">
              <w:rPr>
                <w:sz w:val="18"/>
                <w:szCs w:val="18"/>
              </w:rPr>
              <w:t>is the auction premium, if any.</w:t>
            </w:r>
          </w:p>
          <w:p w:rsidR="002971D2" w:rsidRPr="00E84D74" w:rsidRDefault="002971D2" w:rsidP="00DA725A">
            <w:pPr>
              <w:jc w:val="both"/>
              <w:rPr>
                <w:b/>
                <w:sz w:val="18"/>
                <w:szCs w:val="18"/>
              </w:rPr>
            </w:pPr>
          </w:p>
        </w:tc>
      </w:tr>
      <w:tr w:rsidR="00D146AC" w:rsidRPr="00043955" w:rsidTr="00FC3840">
        <w:trPr>
          <w:trHeight w:val="6929"/>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25</w:t>
            </w:r>
          </w:p>
          <w:p w:rsidR="00D146AC" w:rsidRDefault="00D146AC" w:rsidP="00DA725A">
            <w:pPr>
              <w:shd w:val="clear" w:color="auto" w:fill="FFFFFF"/>
              <w:jc w:val="both"/>
              <w:rPr>
                <w:b/>
                <w:bCs/>
                <w:sz w:val="18"/>
                <w:szCs w:val="18"/>
                <w:lang w:val="it-IT"/>
              </w:rPr>
            </w:pPr>
            <w:r w:rsidRPr="00D82EE4">
              <w:rPr>
                <w:b/>
                <w:bCs/>
                <w:sz w:val="18"/>
                <w:szCs w:val="18"/>
                <w:lang w:val="it-IT"/>
              </w:rPr>
              <w:t>Condiții pentru oferirea de abordări privind prețul de plătit</w:t>
            </w:r>
          </w:p>
          <w:p w:rsidR="00DE15C6" w:rsidRPr="00D82EE4" w:rsidRDefault="00DE15C6" w:rsidP="00DA725A">
            <w:pPr>
              <w:shd w:val="clear" w:color="auto" w:fill="FFFFFF"/>
              <w:jc w:val="both"/>
              <w:rPr>
                <w:b/>
                <w:bCs/>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(1)   În cazul și în măsura în care operatorul de transport și de sistem funcționează în cadrul unui regim de tarifare fără plafonarea prețului, condițiile pentru oferirea de abordări privind prețul de plătit sunt următoarele: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43955"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cazurile în care este oferită numai capacitatea existentă:</w:t>
                  </w:r>
                </w:p>
                <w:tbl>
                  <w:tblPr>
                    <w:tblW w:w="5000" w:type="pct"/>
                    <w:tblLayout w:type="fixed"/>
                    <w:tblCellMar>
                      <w:left w:w="0" w:type="dxa"/>
                      <w:right w:w="0" w:type="dxa"/>
                    </w:tblCellMar>
                    <w:tblLook w:val="04A0" w:firstRow="1" w:lastRow="0" w:firstColumn="1" w:lastColumn="0" w:noHBand="0" w:noVBand="1"/>
                  </w:tblPr>
                  <w:tblGrid>
                    <w:gridCol w:w="219"/>
                    <w:gridCol w:w="4769"/>
                  </w:tblGrid>
                  <w:tr w:rsidR="00D146AC" w:rsidRPr="00C27D66" w:rsidTr="00B92DDC">
                    <w:tc>
                      <w:tcPr>
                        <w:tcW w:w="393" w:type="dxa"/>
                        <w:shd w:val="clear" w:color="auto" w:fill="auto"/>
                        <w:hideMark/>
                      </w:tcPr>
                      <w:p w:rsidR="00D146AC" w:rsidRPr="00043955" w:rsidRDefault="00D146AC" w:rsidP="00DA725A">
                        <w:pPr>
                          <w:jc w:val="both"/>
                          <w:rPr>
                            <w:sz w:val="18"/>
                            <w:szCs w:val="18"/>
                          </w:rPr>
                        </w:pPr>
                        <w:r w:rsidRPr="00043955">
                          <w:rPr>
                            <w:sz w:val="18"/>
                            <w:szCs w:val="18"/>
                          </w:rPr>
                          <w:t>(i)</w:t>
                        </w:r>
                      </w:p>
                    </w:tc>
                    <w:tc>
                      <w:tcPr>
                        <w:tcW w:w="8903"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oferită abordarea privind prețul de plătit variabil;</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80"/>
                    <w:gridCol w:w="4708"/>
                  </w:tblGrid>
                  <w:tr w:rsidR="00D146AC" w:rsidRPr="00043955" w:rsidTr="00B92DDC">
                    <w:tc>
                      <w:tcPr>
                        <w:tcW w:w="506"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790" w:type="dxa"/>
                        <w:shd w:val="clear" w:color="auto" w:fill="auto"/>
                        <w:hideMark/>
                      </w:tcPr>
                      <w:p w:rsidR="00D146AC" w:rsidRPr="00043955" w:rsidRDefault="00D146AC" w:rsidP="00DA725A">
                        <w:pPr>
                          <w:jc w:val="both"/>
                          <w:rPr>
                            <w:sz w:val="18"/>
                            <w:szCs w:val="18"/>
                          </w:rPr>
                        </w:pPr>
                        <w:r w:rsidRPr="00043955">
                          <w:rPr>
                            <w:sz w:val="18"/>
                            <w:szCs w:val="18"/>
                          </w:rPr>
                          <w:t>nu este permisă abordarea privind prețul de plătit fix.</w:t>
                        </w: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capacitatea incrementală și capacitatea existentă oferite în cadrul aceleiași licitații sau al aceluiași mecanism alternativ de alocare:</w:t>
                  </w:r>
                </w:p>
                <w:tbl>
                  <w:tblPr>
                    <w:tblW w:w="5000" w:type="pct"/>
                    <w:tblLayout w:type="fixed"/>
                    <w:tblCellMar>
                      <w:left w:w="0" w:type="dxa"/>
                      <w:right w:w="0" w:type="dxa"/>
                    </w:tblCellMar>
                    <w:tblLook w:val="04A0" w:firstRow="1" w:lastRow="0" w:firstColumn="1" w:lastColumn="0" w:noHBand="0" w:noVBand="1"/>
                  </w:tblPr>
                  <w:tblGrid>
                    <w:gridCol w:w="206"/>
                    <w:gridCol w:w="4781"/>
                  </w:tblGrid>
                  <w:tr w:rsidR="00D146AC" w:rsidRPr="00C27D66" w:rsidTr="00B92DDC">
                    <w:tc>
                      <w:tcPr>
                        <w:tcW w:w="368" w:type="dxa"/>
                        <w:shd w:val="clear" w:color="auto" w:fill="auto"/>
                        <w:hideMark/>
                      </w:tcPr>
                      <w:p w:rsidR="00D146AC" w:rsidRPr="00043955" w:rsidRDefault="00D146AC" w:rsidP="00DA725A">
                        <w:pPr>
                          <w:jc w:val="both"/>
                          <w:rPr>
                            <w:sz w:val="18"/>
                            <w:szCs w:val="18"/>
                          </w:rPr>
                        </w:pPr>
                        <w:r w:rsidRPr="00043955">
                          <w:rPr>
                            <w:sz w:val="18"/>
                            <w:szCs w:val="18"/>
                          </w:rPr>
                          <w:t>(i)</w:t>
                        </w:r>
                      </w:p>
                    </w:tc>
                    <w:tc>
                      <w:tcPr>
                        <w:tcW w:w="8925" w:type="dxa"/>
                        <w:shd w:val="clear" w:color="auto" w:fill="auto"/>
                        <w:hideMark/>
                      </w:tcPr>
                      <w:p w:rsidR="00D146AC" w:rsidRPr="00D82EE4" w:rsidRDefault="00D146AC" w:rsidP="00DA725A">
                        <w:pPr>
                          <w:jc w:val="both"/>
                          <w:rPr>
                            <w:sz w:val="18"/>
                            <w:szCs w:val="18"/>
                            <w:lang w:val="it-IT"/>
                          </w:rPr>
                        </w:pPr>
                        <w:r w:rsidRPr="00D82EE4">
                          <w:rPr>
                            <w:sz w:val="18"/>
                            <w:szCs w:val="18"/>
                            <w:lang w:val="it-IT"/>
                          </w:rPr>
                          <w:t>poate fi oferită abordarea privind prețul de plătit variabil;</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4"/>
                    <w:gridCol w:w="4943"/>
                  </w:tblGrid>
                  <w:tr w:rsidR="00D146AC" w:rsidRPr="00C27D66" w:rsidTr="00B92DDC">
                    <w:tc>
                      <w:tcPr>
                        <w:tcW w:w="64"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229" w:type="dxa"/>
                        <w:shd w:val="clear" w:color="auto" w:fill="auto"/>
                        <w:hideMark/>
                      </w:tcPr>
                      <w:p w:rsidR="00D146AC" w:rsidRPr="00D82EE4" w:rsidRDefault="00D146AC" w:rsidP="00DA725A">
                        <w:pPr>
                          <w:jc w:val="both"/>
                          <w:rPr>
                            <w:sz w:val="18"/>
                            <w:szCs w:val="18"/>
                            <w:lang w:val="it-IT"/>
                          </w:rPr>
                        </w:pPr>
                        <w:r w:rsidRPr="00D82EE4">
                          <w:rPr>
                            <w:sz w:val="18"/>
                            <w:szCs w:val="18"/>
                            <w:lang w:val="it-IT"/>
                          </w:rPr>
                          <w:t>abordarea privind prețul de plătit fix poate fi oferită dacă este îndeplinită una dintre următoarele condiții:</w:t>
                        </w:r>
                      </w:p>
                      <w:tbl>
                        <w:tblPr>
                          <w:tblW w:w="5000" w:type="pct"/>
                          <w:tblLayout w:type="fixed"/>
                          <w:tblCellMar>
                            <w:left w:w="0" w:type="dxa"/>
                            <w:right w:w="0" w:type="dxa"/>
                          </w:tblCellMar>
                          <w:tblLook w:val="04A0" w:firstRow="1" w:lastRow="0" w:firstColumn="1" w:lastColumn="0" w:noHBand="0" w:noVBand="1"/>
                        </w:tblPr>
                        <w:tblGrid>
                          <w:gridCol w:w="95"/>
                          <w:gridCol w:w="4848"/>
                        </w:tblGrid>
                        <w:tr w:rsidR="00D146AC" w:rsidRPr="00C27D66" w:rsidTr="00B92DDC">
                          <w:tc>
                            <w:tcPr>
                              <w:tcW w:w="161" w:type="dxa"/>
                              <w:shd w:val="clear" w:color="auto" w:fill="auto"/>
                              <w:hideMark/>
                            </w:tcPr>
                            <w:p w:rsidR="00D146AC" w:rsidRPr="00043955" w:rsidRDefault="00D146AC" w:rsidP="00DA725A">
                              <w:pPr>
                                <w:jc w:val="both"/>
                                <w:rPr>
                                  <w:sz w:val="18"/>
                                  <w:szCs w:val="18"/>
                                </w:rPr>
                              </w:pPr>
                              <w:r w:rsidRPr="00043955">
                                <w:rPr>
                                  <w:sz w:val="18"/>
                                  <w:szCs w:val="18"/>
                                </w:rPr>
                                <w:t>1.</w:t>
                              </w:r>
                            </w:p>
                          </w:tc>
                          <w:tc>
                            <w:tcPr>
                              <w:tcW w:w="9068" w:type="dxa"/>
                              <w:shd w:val="clear" w:color="auto" w:fill="auto"/>
                              <w:hideMark/>
                            </w:tcPr>
                            <w:p w:rsidR="00D146AC" w:rsidRDefault="00D146AC" w:rsidP="00DA725A">
                              <w:pPr>
                                <w:jc w:val="both"/>
                                <w:rPr>
                                  <w:sz w:val="18"/>
                                  <w:szCs w:val="18"/>
                                  <w:lang w:val="it-IT"/>
                                </w:rPr>
                              </w:pPr>
                              <w:r w:rsidRPr="00D82EE4">
                                <w:rPr>
                                  <w:sz w:val="18"/>
                                  <w:szCs w:val="18"/>
                                  <w:lang w:val="it-IT"/>
                                </w:rPr>
                                <w:t>este utilizat un mecanism alternativ de alocare, prevăzut la articolul 30 din Regulamentul (UE) 2017/459;</w:t>
                              </w:r>
                            </w:p>
                            <w:p w:rsidR="00F35FD9" w:rsidRPr="00D82EE4" w:rsidRDefault="00F35FD9"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2"/>
                        </w:tblGrid>
                        <w:tr w:rsidR="00D146AC" w:rsidRPr="00C27D66"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2.</w:t>
                              </w:r>
                            </w:p>
                          </w:tc>
                          <w:tc>
                            <w:tcPr>
                              <w:tcW w:w="9094" w:type="dxa"/>
                              <w:shd w:val="clear" w:color="auto" w:fill="auto"/>
                              <w:hideMark/>
                            </w:tcPr>
                            <w:p w:rsidR="00D146AC" w:rsidRDefault="00D146AC" w:rsidP="00DA725A">
                              <w:pPr>
                                <w:jc w:val="both"/>
                                <w:rPr>
                                  <w:sz w:val="18"/>
                                  <w:szCs w:val="18"/>
                                  <w:lang w:val="it-IT"/>
                                </w:rPr>
                              </w:pPr>
                              <w:r w:rsidRPr="00D82EE4">
                                <w:rPr>
                                  <w:sz w:val="18"/>
                                  <w:szCs w:val="18"/>
                                  <w:lang w:val="it-IT"/>
                                </w:rPr>
                                <w:t>un proiect este inclus în lista proiectelor de interes comun a Uniunii, în conformitate cu articolul 3 din Regulamentul (UE) nr. 347/2013 al Parlamentului European și al Consiliului</w:t>
                              </w:r>
                              <w:hyperlink r:id="rId84" w:anchor="ntr7-L_2017072RO.01002901-E0007" w:history="1">
                                <w:r w:rsidRPr="00D82EE4">
                                  <w:rPr>
                                    <w:sz w:val="18"/>
                                    <w:szCs w:val="18"/>
                                    <w:lang w:val="it-IT"/>
                                  </w:rPr>
                                  <w:t> (</w:t>
                                </w:r>
                                <w:r w:rsidRPr="00D82EE4">
                                  <w:rPr>
                                    <w:sz w:val="18"/>
                                    <w:szCs w:val="18"/>
                                    <w:vertAlign w:val="superscript"/>
                                    <w:lang w:val="it-IT"/>
                                  </w:rPr>
                                  <w:t>7</w:t>
                                </w:r>
                                <w:r w:rsidRPr="00D82EE4">
                                  <w:rPr>
                                    <w:sz w:val="18"/>
                                    <w:szCs w:val="18"/>
                                    <w:lang w:val="it-IT"/>
                                  </w:rPr>
                                  <w:t>)</w:t>
                                </w:r>
                              </w:hyperlink>
                              <w:r w:rsidRPr="00D82EE4">
                                <w:rPr>
                                  <w:sz w:val="18"/>
                                  <w:szCs w:val="18"/>
                                  <w:lang w:val="it-IT"/>
                                </w:rPr>
                                <w:t>.</w:t>
                              </w:r>
                            </w:p>
                            <w:p w:rsidR="00F35FD9" w:rsidRDefault="00F35FD9" w:rsidP="00DA725A">
                              <w:pPr>
                                <w:jc w:val="both"/>
                                <w:rPr>
                                  <w:sz w:val="18"/>
                                  <w:szCs w:val="18"/>
                                  <w:lang w:val="it-IT"/>
                                </w:rPr>
                              </w:pPr>
                            </w:p>
                            <w:p w:rsidR="00F35FD9" w:rsidRPr="00D82EE4" w:rsidRDefault="00F35FD9"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(2)   În cazul și în măsura în care operatorul de transport și de sistem funcționează în cadrul unui regim de tarifare cu plafonarea prețului, poate fi oferită fie abordarea privind prețul de plătit variabil, fie abordarea privind prețul de plătit fix, fie ambele.</w:t>
            </w:r>
          </w:p>
          <w:p w:rsidR="00D146AC" w:rsidRPr="00D82EE4" w:rsidRDefault="00D146AC" w:rsidP="00DA725A">
            <w:pPr>
              <w:shd w:val="clear" w:color="auto" w:fill="FFFFFF"/>
              <w:jc w:val="both"/>
              <w:rPr>
                <w:b/>
                <w:bCs/>
                <w:sz w:val="18"/>
                <w:szCs w:val="18"/>
                <w:lang w:val="it-IT"/>
              </w:rPr>
            </w:pPr>
          </w:p>
        </w:tc>
        <w:tc>
          <w:tcPr>
            <w:tcW w:w="4962" w:type="dxa"/>
          </w:tcPr>
          <w:p w:rsidR="009A4E3E" w:rsidRPr="009A4E3E" w:rsidRDefault="009A4E3E" w:rsidP="009A3CF9">
            <w:pPr>
              <w:shd w:val="clear" w:color="auto" w:fill="FFFFFF"/>
              <w:jc w:val="center"/>
              <w:rPr>
                <w:b/>
                <w:bCs/>
                <w:sz w:val="18"/>
                <w:szCs w:val="18"/>
                <w:lang w:val="ro-RO"/>
              </w:rPr>
            </w:pPr>
            <w:r w:rsidRPr="009A4E3E">
              <w:rPr>
                <w:b/>
                <w:bCs/>
                <w:sz w:val="18"/>
                <w:szCs w:val="18"/>
                <w:lang w:val="ro-RO"/>
              </w:rPr>
              <w:t>Secţiunea 3</w:t>
            </w:r>
          </w:p>
          <w:p w:rsidR="009A4E3E" w:rsidRDefault="009A4E3E" w:rsidP="009A3CF9">
            <w:pPr>
              <w:shd w:val="clear" w:color="auto" w:fill="FFFFFF"/>
              <w:jc w:val="center"/>
              <w:rPr>
                <w:b/>
                <w:bCs/>
                <w:sz w:val="18"/>
                <w:szCs w:val="18"/>
                <w:lang w:val="ro-RO"/>
              </w:rPr>
            </w:pPr>
            <w:r w:rsidRPr="009A4E3E">
              <w:rPr>
                <w:b/>
                <w:bCs/>
                <w:sz w:val="18"/>
                <w:szCs w:val="18"/>
                <w:lang w:val="ro-RO"/>
              </w:rPr>
              <w:t>Condiţii pentru determinarea tipului de preţ de plătit</w:t>
            </w:r>
          </w:p>
          <w:p w:rsidR="00DE15C6" w:rsidRPr="009A4E3E" w:rsidRDefault="00DE15C6" w:rsidP="009A3CF9">
            <w:pPr>
              <w:shd w:val="clear" w:color="auto" w:fill="FFFFFF"/>
              <w:jc w:val="center"/>
              <w:rPr>
                <w:b/>
                <w:bCs/>
                <w:sz w:val="18"/>
                <w:szCs w:val="18"/>
                <w:lang w:val="ro-RO"/>
              </w:rPr>
            </w:pPr>
          </w:p>
          <w:p w:rsidR="009A4E3E" w:rsidRPr="009A4E3E" w:rsidRDefault="009A4E3E" w:rsidP="009A4E3E">
            <w:pPr>
              <w:shd w:val="clear" w:color="auto" w:fill="FFFFFF"/>
              <w:jc w:val="both"/>
              <w:rPr>
                <w:bCs/>
                <w:sz w:val="18"/>
                <w:szCs w:val="18"/>
                <w:lang w:val="ro-RO"/>
              </w:rPr>
            </w:pPr>
            <w:r w:rsidRPr="009A4E3E">
              <w:rPr>
                <w:b/>
                <w:bCs/>
                <w:sz w:val="18"/>
                <w:szCs w:val="18"/>
                <w:lang w:val="ro-RO"/>
              </w:rPr>
              <w:t>392.</w:t>
            </w:r>
            <w:r w:rsidRPr="009A4E3E">
              <w:rPr>
                <w:bCs/>
                <w:sz w:val="18"/>
                <w:szCs w:val="18"/>
                <w:lang w:val="ro-RO"/>
              </w:rPr>
              <w:t xml:space="preserve"> În cazul şi în măsura în care OST funcţionează în cadrul unui regim tarifar fără plafonarea preţului, condiţiile pentru oferirea de abordări privind preţul de plătit sunt următoarele:</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1) pentru cazurile în care este oferită doar capacitatea existentă:</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a) este oferită abordarea privind preţul de plătit variabil;</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b) nu este permisă abordarea privind preţul de plătit fix.</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2) pentru capacitatea incrementală şi capacitatea existentă oferite în cadrul aceleiaşi licitaţii sau al aceluiaşi mecanism alternativ de alocare:</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a) poate fi oferită abordarea privind preţul de plătit variabil;</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b) abordarea privind preţul de plătit fix poate fi oferită dacă este îndeplinită una dintre următoarele condiţii:</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(1) este utilizat un mecanism alternativ de alocare, prevăzut la pct.291-296;</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(2) un proiect este inclus în lista proiectelor de interes pentru Comunitatea Energetică sau un Proiect de interes comun, astfel cum este prevăzut la articolul 3 din Regulamentul (UE) nr.2013/347, după cum a fost adoptat şi adaptat prin Decizia Consiliului Ministerial 2015/09/MC-EnC.</w:t>
            </w:r>
          </w:p>
          <w:p w:rsidR="00B740A0" w:rsidRDefault="00B740A0" w:rsidP="009A4E3E">
            <w:pPr>
              <w:shd w:val="clear" w:color="auto" w:fill="FFFFFF"/>
              <w:jc w:val="both"/>
              <w:rPr>
                <w:b/>
                <w:bCs/>
                <w:sz w:val="18"/>
                <w:szCs w:val="18"/>
                <w:lang w:val="ro-RO"/>
              </w:rPr>
            </w:pPr>
          </w:p>
          <w:p w:rsidR="00D146AC" w:rsidRPr="00043955" w:rsidRDefault="009A4E3E" w:rsidP="00DA725A">
            <w:pPr>
              <w:shd w:val="clear" w:color="auto" w:fill="FFFFFF"/>
              <w:jc w:val="both"/>
              <w:rPr>
                <w:bCs/>
                <w:sz w:val="18"/>
                <w:szCs w:val="18"/>
                <w:lang w:val="ro-RO"/>
              </w:rPr>
            </w:pPr>
            <w:r w:rsidRPr="00B740A0">
              <w:rPr>
                <w:b/>
                <w:bCs/>
                <w:sz w:val="18"/>
                <w:szCs w:val="18"/>
                <w:lang w:val="ro-RO"/>
              </w:rPr>
              <w:t>393.</w:t>
            </w:r>
            <w:r w:rsidRPr="009A4E3E">
              <w:rPr>
                <w:bCs/>
                <w:sz w:val="18"/>
                <w:szCs w:val="18"/>
                <w:lang w:val="ro-RO"/>
              </w:rPr>
              <w:t xml:space="preserve"> În cazul şi în măsura în care OST funcţionează în cadrul unui regim tarifar cu plafonarea preţului, poate fi oferită fie abordarea privind preţul de plătit variabil sau abordarea privind pr</w:t>
            </w:r>
            <w:r w:rsidR="0008169B">
              <w:rPr>
                <w:bCs/>
                <w:sz w:val="18"/>
                <w:szCs w:val="18"/>
                <w:lang w:val="ro-RO"/>
              </w:rPr>
              <w:t>eţul de plătit fix, sau ambele.</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F35FD9" w:rsidRDefault="00F35FD9"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376DD1" w:rsidRPr="00E84D74" w:rsidRDefault="00376DD1" w:rsidP="00DA725A">
            <w:pPr>
              <w:autoSpaceDE w:val="0"/>
              <w:autoSpaceDN w:val="0"/>
              <w:adjustRightInd w:val="0"/>
              <w:jc w:val="center"/>
              <w:rPr>
                <w:b/>
                <w:bCs/>
                <w:i/>
                <w:iCs/>
                <w:sz w:val="18"/>
                <w:szCs w:val="18"/>
              </w:rPr>
            </w:pPr>
            <w:r w:rsidRPr="00E84D74">
              <w:rPr>
                <w:b/>
                <w:bCs/>
                <w:i/>
                <w:iCs/>
                <w:sz w:val="18"/>
                <w:szCs w:val="18"/>
              </w:rPr>
              <w:t>Article 25</w:t>
            </w:r>
          </w:p>
          <w:p w:rsidR="00376DD1" w:rsidRPr="00E84D74" w:rsidRDefault="00376DD1" w:rsidP="00DA725A">
            <w:pPr>
              <w:autoSpaceDE w:val="0"/>
              <w:autoSpaceDN w:val="0"/>
              <w:adjustRightInd w:val="0"/>
              <w:jc w:val="center"/>
              <w:rPr>
                <w:b/>
                <w:bCs/>
                <w:sz w:val="18"/>
                <w:szCs w:val="18"/>
              </w:rPr>
            </w:pPr>
            <w:r w:rsidRPr="00E84D74">
              <w:rPr>
                <w:b/>
                <w:bCs/>
                <w:sz w:val="18"/>
                <w:szCs w:val="18"/>
              </w:rPr>
              <w:t>Conditions for offering payable price approaches</w:t>
            </w:r>
          </w:p>
          <w:p w:rsidR="00B807DC" w:rsidRPr="00E84D74" w:rsidRDefault="00B807DC" w:rsidP="00DA725A">
            <w:pPr>
              <w:autoSpaceDE w:val="0"/>
              <w:autoSpaceDN w:val="0"/>
              <w:adjustRightInd w:val="0"/>
              <w:rPr>
                <w:sz w:val="18"/>
                <w:szCs w:val="18"/>
              </w:rPr>
            </w:pPr>
          </w:p>
          <w:p w:rsidR="00376DD1" w:rsidRPr="00E84D74" w:rsidRDefault="00376DD1" w:rsidP="00DA725A">
            <w:pPr>
              <w:autoSpaceDE w:val="0"/>
              <w:autoSpaceDN w:val="0"/>
              <w:adjustRightInd w:val="0"/>
              <w:rPr>
                <w:sz w:val="18"/>
                <w:szCs w:val="18"/>
              </w:rPr>
            </w:pPr>
            <w:r w:rsidRPr="00E84D74">
              <w:rPr>
                <w:sz w:val="18"/>
                <w:szCs w:val="18"/>
              </w:rPr>
              <w:t>1. Where and to the extent that the transmission system operator functions under a non-price cap regime,</w:t>
            </w:r>
          </w:p>
          <w:p w:rsidR="00376DD1" w:rsidRPr="00E84D74" w:rsidRDefault="00376DD1" w:rsidP="00DA725A">
            <w:pPr>
              <w:autoSpaceDE w:val="0"/>
              <w:autoSpaceDN w:val="0"/>
              <w:adjustRightInd w:val="0"/>
              <w:rPr>
                <w:sz w:val="18"/>
                <w:szCs w:val="18"/>
              </w:rPr>
            </w:pPr>
            <w:r w:rsidRPr="00E84D74">
              <w:rPr>
                <w:sz w:val="18"/>
                <w:szCs w:val="18"/>
              </w:rPr>
              <w:t>the conditions for offering payable price approaches shall be as follows:</w:t>
            </w:r>
          </w:p>
          <w:p w:rsidR="00376DD1" w:rsidRPr="00E84D74" w:rsidRDefault="00376DD1" w:rsidP="00DA725A">
            <w:pPr>
              <w:autoSpaceDE w:val="0"/>
              <w:autoSpaceDN w:val="0"/>
              <w:adjustRightInd w:val="0"/>
              <w:rPr>
                <w:sz w:val="18"/>
                <w:szCs w:val="18"/>
              </w:rPr>
            </w:pPr>
            <w:r w:rsidRPr="00E84D74">
              <w:rPr>
                <w:sz w:val="18"/>
                <w:szCs w:val="18"/>
              </w:rPr>
              <w:t>(a) for cases where only existing capacity is offered:</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 the floating payable price approach shall be offered;</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(ii) the fixed payable price approach shall not be allowed.</w:t>
            </w:r>
          </w:p>
          <w:p w:rsidR="00376DD1" w:rsidRPr="00E84D74" w:rsidRDefault="00376DD1" w:rsidP="00DA725A">
            <w:pPr>
              <w:autoSpaceDE w:val="0"/>
              <w:autoSpaceDN w:val="0"/>
              <w:adjustRightInd w:val="0"/>
              <w:rPr>
                <w:sz w:val="18"/>
                <w:szCs w:val="18"/>
              </w:rPr>
            </w:pPr>
            <w:r w:rsidRPr="00E84D74">
              <w:rPr>
                <w:sz w:val="18"/>
                <w:szCs w:val="18"/>
              </w:rPr>
              <w:t>(b) for incremental capacity and existing capacity offered in the same auction or same alternative allocation</w:t>
            </w:r>
          </w:p>
          <w:p w:rsidR="00376DD1" w:rsidRPr="00E84D74" w:rsidRDefault="00376DD1" w:rsidP="00DA725A">
            <w:pPr>
              <w:autoSpaceDE w:val="0"/>
              <w:autoSpaceDN w:val="0"/>
              <w:adjustRightInd w:val="0"/>
              <w:rPr>
                <w:sz w:val="18"/>
                <w:szCs w:val="18"/>
              </w:rPr>
            </w:pPr>
            <w:r w:rsidRPr="00E84D74">
              <w:rPr>
                <w:sz w:val="18"/>
                <w:szCs w:val="18"/>
              </w:rPr>
              <w:t>mechanism:</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 the floating payable price approach may be offered;</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(ii) the fixed payable price approach may be offered where one of the following conditions is met:</w:t>
            </w:r>
          </w:p>
          <w:p w:rsidR="00376DD1" w:rsidRPr="00E84D74" w:rsidRDefault="00376DD1" w:rsidP="00DA725A">
            <w:pPr>
              <w:autoSpaceDE w:val="0"/>
              <w:autoSpaceDN w:val="0"/>
              <w:adjustRightInd w:val="0"/>
              <w:rPr>
                <w:sz w:val="18"/>
                <w:szCs w:val="18"/>
              </w:rPr>
            </w:pPr>
            <w:r w:rsidRPr="00E84D74">
              <w:rPr>
                <w:sz w:val="18"/>
                <w:szCs w:val="18"/>
              </w:rPr>
              <w:t>(1) an alternative allocation mechanism set out in Article 30 of Regulation (EU) 2017/459</w:t>
            </w:r>
          </w:p>
          <w:p w:rsidR="00376DD1" w:rsidRPr="00E84D74" w:rsidRDefault="00376DD1" w:rsidP="00DA725A">
            <w:pPr>
              <w:autoSpaceDE w:val="0"/>
              <w:autoSpaceDN w:val="0"/>
              <w:adjustRightInd w:val="0"/>
              <w:rPr>
                <w:sz w:val="18"/>
                <w:szCs w:val="18"/>
              </w:rPr>
            </w:pPr>
            <w:r w:rsidRPr="00E84D74">
              <w:rPr>
                <w:sz w:val="18"/>
                <w:szCs w:val="18"/>
              </w:rPr>
              <w:t>is used;</w:t>
            </w:r>
          </w:p>
          <w:p w:rsidR="00376DD1" w:rsidRPr="00E84D74" w:rsidRDefault="00376DD1" w:rsidP="00DA725A">
            <w:pPr>
              <w:autoSpaceDE w:val="0"/>
              <w:autoSpaceDN w:val="0"/>
              <w:adjustRightInd w:val="0"/>
              <w:rPr>
                <w:b/>
                <w:bCs/>
                <w:sz w:val="18"/>
                <w:szCs w:val="18"/>
              </w:rPr>
            </w:pPr>
            <w:r w:rsidRPr="00E84D74">
              <w:rPr>
                <w:sz w:val="18"/>
                <w:szCs w:val="18"/>
              </w:rPr>
              <w:t xml:space="preserve">(2) a project is included in the </w:t>
            </w:r>
            <w:r w:rsidRPr="00E84D74">
              <w:rPr>
                <w:b/>
                <w:bCs/>
                <w:sz w:val="18"/>
                <w:szCs w:val="18"/>
              </w:rPr>
              <w:t>list of Projects of Energy Community Interest or Projects</w:t>
            </w:r>
          </w:p>
          <w:p w:rsidR="00376DD1" w:rsidRPr="00E84D74" w:rsidRDefault="00376DD1" w:rsidP="00DA725A">
            <w:pPr>
              <w:autoSpaceDE w:val="0"/>
              <w:autoSpaceDN w:val="0"/>
              <w:adjustRightInd w:val="0"/>
              <w:rPr>
                <w:sz w:val="18"/>
                <w:szCs w:val="18"/>
              </w:rPr>
            </w:pPr>
            <w:r w:rsidRPr="00E84D74">
              <w:rPr>
                <w:b/>
                <w:bCs/>
                <w:sz w:val="18"/>
                <w:szCs w:val="18"/>
              </w:rPr>
              <w:t xml:space="preserve">of Mutual Interest </w:t>
            </w:r>
            <w:r w:rsidRPr="00E84D74">
              <w:rPr>
                <w:sz w:val="18"/>
                <w:szCs w:val="18"/>
              </w:rPr>
              <w:t xml:space="preserve">as set out in Article 3 of Regulation (EU) No 347/2013 </w:t>
            </w:r>
            <w:r w:rsidRPr="00E84D74">
              <w:rPr>
                <w:b/>
                <w:bCs/>
                <w:sz w:val="18"/>
                <w:szCs w:val="18"/>
              </w:rPr>
              <w:t>as adopted</w:t>
            </w:r>
            <w:r w:rsidR="00553A3D">
              <w:rPr>
                <w:b/>
                <w:bCs/>
                <w:sz w:val="18"/>
                <w:szCs w:val="18"/>
              </w:rPr>
              <w:t xml:space="preserve"> </w:t>
            </w:r>
            <w:r w:rsidRPr="00E84D74">
              <w:rPr>
                <w:b/>
                <w:bCs/>
                <w:sz w:val="18"/>
                <w:szCs w:val="18"/>
              </w:rPr>
              <w:t>and adapted by Ministerial Council Decision 2015/09/MC-EnC</w:t>
            </w:r>
            <w:r w:rsidRPr="00E84D74">
              <w:rPr>
                <w:sz w:val="18"/>
                <w:szCs w:val="18"/>
              </w:rPr>
              <w:t>.</w:t>
            </w:r>
          </w:p>
          <w:p w:rsidR="00D146AC" w:rsidRPr="00E84D74" w:rsidRDefault="00376DD1" w:rsidP="00DA725A">
            <w:pPr>
              <w:autoSpaceDE w:val="0"/>
              <w:autoSpaceDN w:val="0"/>
              <w:adjustRightInd w:val="0"/>
              <w:rPr>
                <w:b/>
                <w:sz w:val="18"/>
                <w:szCs w:val="18"/>
              </w:rPr>
            </w:pPr>
            <w:r w:rsidRPr="00E84D74">
              <w:rPr>
                <w:sz w:val="18"/>
                <w:szCs w:val="18"/>
              </w:rPr>
              <w:t>2. Where and to the extent that the transmission system operator functions under a price cap regime,</w:t>
            </w:r>
            <w:r w:rsidR="00801C9A" w:rsidRPr="00E84D74">
              <w:rPr>
                <w:sz w:val="18"/>
                <w:szCs w:val="18"/>
              </w:rPr>
              <w:t xml:space="preserve"> </w:t>
            </w:r>
            <w:r w:rsidRPr="00E84D74">
              <w:rPr>
                <w:sz w:val="18"/>
                <w:szCs w:val="18"/>
              </w:rPr>
              <w:t xml:space="preserve">the floating payable price approach or the fixed payable price </w:t>
            </w:r>
            <w:r w:rsidR="00801C9A" w:rsidRPr="00E84D74">
              <w:rPr>
                <w:sz w:val="18"/>
                <w:szCs w:val="18"/>
              </w:rPr>
              <w:t xml:space="preserve"> a</w:t>
            </w:r>
            <w:r w:rsidRPr="00E84D74">
              <w:rPr>
                <w:sz w:val="18"/>
                <w:szCs w:val="18"/>
              </w:rPr>
              <w:t>pproach, or both, may be offered.</w:t>
            </w:r>
          </w:p>
        </w:tc>
      </w:tr>
      <w:tr w:rsidR="00D146AC" w:rsidRPr="00043955" w:rsidTr="00FC3840">
        <w:trPr>
          <w:trHeight w:val="1240"/>
        </w:trPr>
        <w:tc>
          <w:tcPr>
            <w:tcW w:w="5245" w:type="dxa"/>
          </w:tcPr>
          <w:p w:rsidR="00D146AC" w:rsidRPr="004739CB" w:rsidRDefault="00D146AC" w:rsidP="00DA725A">
            <w:pPr>
              <w:shd w:val="clear" w:color="auto" w:fill="FFFFFF"/>
              <w:jc w:val="both"/>
              <w:rPr>
                <w:b/>
                <w:bCs/>
                <w:sz w:val="18"/>
                <w:szCs w:val="18"/>
                <w:lang w:val="it-IT"/>
              </w:rPr>
            </w:pPr>
            <w:r w:rsidRPr="004739CB">
              <w:rPr>
                <w:b/>
                <w:bCs/>
                <w:sz w:val="18"/>
                <w:szCs w:val="18"/>
                <w:lang w:val="it-IT"/>
              </w:rPr>
              <w:lastRenderedPageBreak/>
              <w:t>CAPITOLUL VII</w:t>
            </w:r>
          </w:p>
          <w:p w:rsidR="00D146AC" w:rsidRPr="004739CB" w:rsidRDefault="00D146AC" w:rsidP="00DA725A">
            <w:pPr>
              <w:shd w:val="clear" w:color="auto" w:fill="FFFFFF"/>
              <w:jc w:val="both"/>
              <w:rPr>
                <w:b/>
                <w:bCs/>
                <w:sz w:val="18"/>
                <w:szCs w:val="18"/>
                <w:lang w:val="it-IT"/>
              </w:rPr>
            </w:pPr>
            <w:r w:rsidRPr="004739CB">
              <w:rPr>
                <w:b/>
                <w:bCs/>
                <w:sz w:val="18"/>
                <w:szCs w:val="18"/>
                <w:lang w:val="it-IT"/>
              </w:rPr>
              <w:t>CERINȚE PRIVIND CONSULTAREA</w:t>
            </w:r>
          </w:p>
          <w:p w:rsidR="00D146AC" w:rsidRPr="004739CB" w:rsidRDefault="00D146AC" w:rsidP="00DA725A">
            <w:pPr>
              <w:shd w:val="clear" w:color="auto" w:fill="FFFFFF"/>
              <w:jc w:val="both"/>
              <w:rPr>
                <w:i/>
                <w:iCs/>
                <w:sz w:val="18"/>
                <w:szCs w:val="18"/>
                <w:lang w:val="it-IT"/>
              </w:rPr>
            </w:pPr>
            <w:r w:rsidRPr="004739CB">
              <w:rPr>
                <w:i/>
                <w:iCs/>
                <w:sz w:val="18"/>
                <w:szCs w:val="18"/>
                <w:lang w:val="it-IT"/>
              </w:rPr>
              <w:t>Articolul 26</w:t>
            </w:r>
          </w:p>
          <w:p w:rsidR="00D146AC" w:rsidRPr="004739CB" w:rsidRDefault="00D146AC" w:rsidP="00DA725A">
            <w:pPr>
              <w:shd w:val="clear" w:color="auto" w:fill="FFFFFF"/>
              <w:jc w:val="both"/>
              <w:rPr>
                <w:b/>
                <w:bCs/>
                <w:sz w:val="18"/>
                <w:szCs w:val="18"/>
                <w:lang w:val="it-IT"/>
              </w:rPr>
            </w:pPr>
            <w:r w:rsidRPr="004739CB">
              <w:rPr>
                <w:b/>
                <w:bCs/>
                <w:sz w:val="18"/>
                <w:szCs w:val="18"/>
                <w:lang w:val="it-IT"/>
              </w:rPr>
              <w:t>Consultarea periodică</w:t>
            </w:r>
          </w:p>
          <w:p w:rsidR="00D146AC" w:rsidRPr="004739CB" w:rsidRDefault="00D146AC" w:rsidP="00DA725A">
            <w:pPr>
              <w:shd w:val="clear" w:color="auto" w:fill="FFFFFF"/>
              <w:jc w:val="both"/>
              <w:rPr>
                <w:sz w:val="18"/>
                <w:szCs w:val="18"/>
                <w:lang w:val="it-IT"/>
              </w:rPr>
            </w:pPr>
            <w:r w:rsidRPr="004739CB">
              <w:rPr>
                <w:sz w:val="18"/>
                <w:szCs w:val="18"/>
                <w:lang w:val="it-IT"/>
              </w:rPr>
              <w:t>(1)   Autoritatea națională de reglementare sau operatorul (operatorii) de transport și de sistem efectuează una sau mai multe consultări, conform deciziei autorității naționale de reglementare. În măsura posibilităților și pentru a spori eficacitatea procesului de consultare, documentul de consultare ar trebui publicat în limba engleză. Consultarea finală înainte de decizia menționată la articolul 27 alineatul (4) respectă cerințele stabilite în prezentul articol și la articolul 27 și include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4739CB" w:rsidRDefault="00D146AC" w:rsidP="00DA725A">
                  <w:pPr>
                    <w:jc w:val="both"/>
                    <w:rPr>
                      <w:sz w:val="18"/>
                      <w:szCs w:val="18"/>
                    </w:rPr>
                  </w:pPr>
                  <w:r w:rsidRPr="004739CB">
                    <w:rPr>
                      <w:sz w:val="18"/>
                      <w:szCs w:val="18"/>
                    </w:rPr>
                    <w:t>(a)</w:t>
                  </w:r>
                </w:p>
              </w:tc>
              <w:tc>
                <w:tcPr>
                  <w:tcW w:w="9296" w:type="dxa"/>
                  <w:shd w:val="clear" w:color="auto" w:fill="FFFFFF"/>
                  <w:hideMark/>
                </w:tcPr>
                <w:p w:rsidR="00D146AC" w:rsidRPr="004739CB" w:rsidRDefault="00D146AC" w:rsidP="00DA725A">
                  <w:pPr>
                    <w:jc w:val="both"/>
                    <w:rPr>
                      <w:sz w:val="18"/>
                      <w:szCs w:val="18"/>
                      <w:lang w:val="it-IT"/>
                    </w:rPr>
                  </w:pPr>
                  <w:r w:rsidRPr="004739CB">
                    <w:rPr>
                      <w:sz w:val="18"/>
                      <w:szCs w:val="18"/>
                      <w:lang w:val="it-IT"/>
                    </w:rPr>
                    <w:t>descrierea metodologiei propuse de stabilire a prețurilor de referință, precum și a următoarelor elemente:</w:t>
                  </w:r>
                </w:p>
                <w:tbl>
                  <w:tblPr>
                    <w:tblW w:w="5000" w:type="pct"/>
                    <w:tblLayout w:type="fixed"/>
                    <w:tblCellMar>
                      <w:left w:w="0" w:type="dxa"/>
                      <w:right w:w="0" w:type="dxa"/>
                    </w:tblCellMar>
                    <w:tblLook w:val="04A0" w:firstRow="1" w:lastRow="0" w:firstColumn="1" w:lastColumn="0" w:noHBand="0" w:noVBand="1"/>
                  </w:tblPr>
                  <w:tblGrid>
                    <w:gridCol w:w="36"/>
                    <w:gridCol w:w="4952"/>
                  </w:tblGrid>
                  <w:tr w:rsidR="00D146AC" w:rsidRPr="00C27D66" w:rsidTr="00B92DDC">
                    <w:tc>
                      <w:tcPr>
                        <w:tcW w:w="50" w:type="dxa"/>
                        <w:shd w:val="clear" w:color="auto" w:fill="auto"/>
                        <w:hideMark/>
                      </w:tcPr>
                      <w:p w:rsidR="00D146AC" w:rsidRPr="004739CB" w:rsidRDefault="00D146AC" w:rsidP="00DA725A">
                        <w:pPr>
                          <w:jc w:val="both"/>
                          <w:rPr>
                            <w:sz w:val="18"/>
                            <w:szCs w:val="18"/>
                          </w:rPr>
                        </w:pPr>
                        <w:r w:rsidRPr="004739CB">
                          <w:rPr>
                            <w:sz w:val="18"/>
                            <w:szCs w:val="18"/>
                          </w:rPr>
                          <w:t>(i)</w:t>
                        </w:r>
                      </w:p>
                    </w:tc>
                    <w:tc>
                      <w:tcPr>
                        <w:tcW w:w="9246" w:type="dxa"/>
                        <w:shd w:val="clear" w:color="auto" w:fill="auto"/>
                        <w:hideMark/>
                      </w:tcPr>
                      <w:p w:rsidR="00D146AC" w:rsidRPr="004739CB" w:rsidRDefault="00D146AC" w:rsidP="00DA725A">
                        <w:pPr>
                          <w:jc w:val="both"/>
                          <w:rPr>
                            <w:sz w:val="18"/>
                            <w:szCs w:val="18"/>
                            <w:lang w:val="it-IT"/>
                          </w:rPr>
                        </w:pPr>
                        <w:r w:rsidRPr="004739CB">
                          <w:rPr>
                            <w:sz w:val="18"/>
                            <w:szCs w:val="18"/>
                            <w:lang w:val="it-IT"/>
                          </w:rPr>
                          <w:t>informațiile orientative prevăzute la articolul 30 alineatul (1) litera (a), inclusiv:</w:t>
                        </w:r>
                      </w:p>
                      <w:tbl>
                        <w:tblPr>
                          <w:tblW w:w="5000" w:type="pct"/>
                          <w:tblLayout w:type="fixed"/>
                          <w:tblCellMar>
                            <w:left w:w="0" w:type="dxa"/>
                            <w:right w:w="0" w:type="dxa"/>
                          </w:tblCellMar>
                          <w:tblLook w:val="04A0" w:firstRow="1" w:lastRow="0" w:firstColumn="1" w:lastColumn="0" w:noHBand="0" w:noVBand="1"/>
                        </w:tblPr>
                        <w:tblGrid>
                          <w:gridCol w:w="111"/>
                          <w:gridCol w:w="4841"/>
                        </w:tblGrid>
                        <w:tr w:rsidR="00D146AC" w:rsidRPr="00C27D66" w:rsidTr="00B92DDC">
                          <w:tc>
                            <w:tcPr>
                              <w:tcW w:w="190" w:type="dxa"/>
                              <w:shd w:val="clear" w:color="auto" w:fill="auto"/>
                              <w:hideMark/>
                            </w:tcPr>
                            <w:p w:rsidR="00D146AC" w:rsidRPr="004739CB" w:rsidRDefault="00D146AC" w:rsidP="00DA725A">
                              <w:pPr>
                                <w:jc w:val="both"/>
                                <w:rPr>
                                  <w:sz w:val="18"/>
                                  <w:szCs w:val="18"/>
                                </w:rPr>
                              </w:pPr>
                              <w:r w:rsidRPr="004739CB">
                                <w:rPr>
                                  <w:sz w:val="18"/>
                                  <w:szCs w:val="18"/>
                                </w:rPr>
                                <w:t>1.</w:t>
                              </w:r>
                            </w:p>
                          </w:tc>
                          <w:tc>
                            <w:tcPr>
                              <w:tcW w:w="9056" w:type="dxa"/>
                              <w:shd w:val="clear" w:color="auto" w:fill="auto"/>
                              <w:hideMark/>
                            </w:tcPr>
                            <w:p w:rsidR="00D146AC" w:rsidRPr="004739CB" w:rsidRDefault="00D146AC" w:rsidP="00DA725A">
                              <w:pPr>
                                <w:jc w:val="both"/>
                                <w:rPr>
                                  <w:sz w:val="18"/>
                                  <w:szCs w:val="18"/>
                                  <w:lang w:val="it-IT"/>
                                </w:rPr>
                              </w:pPr>
                              <w:r w:rsidRPr="004739CB">
                                <w:rPr>
                                  <w:sz w:val="18"/>
                                  <w:szCs w:val="18"/>
                                  <w:lang w:val="it-IT"/>
                                </w:rPr>
                                <w:t>justificarea parametrilor utilizați care sunt legați de caracteristicile tehnice ale sistemului;</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98"/>
                          <w:gridCol w:w="4854"/>
                        </w:tblGrid>
                        <w:tr w:rsidR="00D146AC" w:rsidRPr="00C27D66" w:rsidTr="00B92DDC">
                          <w:tc>
                            <w:tcPr>
                              <w:tcW w:w="166" w:type="dxa"/>
                              <w:shd w:val="clear" w:color="auto" w:fill="auto"/>
                              <w:hideMark/>
                            </w:tcPr>
                            <w:p w:rsidR="00D146AC" w:rsidRPr="004739CB" w:rsidRDefault="00D146AC" w:rsidP="00DA725A">
                              <w:pPr>
                                <w:jc w:val="both"/>
                                <w:rPr>
                                  <w:sz w:val="18"/>
                                  <w:szCs w:val="18"/>
                                </w:rPr>
                              </w:pPr>
                              <w:r w:rsidRPr="004739CB">
                                <w:rPr>
                                  <w:sz w:val="18"/>
                                  <w:szCs w:val="18"/>
                                </w:rPr>
                                <w:t>2.</w:t>
                              </w:r>
                            </w:p>
                          </w:tc>
                          <w:tc>
                            <w:tcPr>
                              <w:tcW w:w="9080" w:type="dxa"/>
                              <w:shd w:val="clear" w:color="auto" w:fill="auto"/>
                              <w:hideMark/>
                            </w:tcPr>
                            <w:p w:rsidR="00D146AC" w:rsidRPr="004739CB" w:rsidRDefault="00D146AC" w:rsidP="00DA725A">
                              <w:pPr>
                                <w:jc w:val="both"/>
                                <w:rPr>
                                  <w:sz w:val="18"/>
                                  <w:szCs w:val="18"/>
                                  <w:lang w:val="it-IT"/>
                                </w:rPr>
                              </w:pPr>
                              <w:r w:rsidRPr="004739CB">
                                <w:rPr>
                                  <w:sz w:val="18"/>
                                  <w:szCs w:val="18"/>
                                  <w:lang w:val="it-IT"/>
                                </w:rPr>
                                <w:t>informațiile corespunzătoare cu privire la valorile respective ale acestor parametri și ipotezele aplicate;</w:t>
                              </w:r>
                            </w:p>
                          </w:tc>
                        </w:tr>
                      </w:tbl>
                      <w:p w:rsidR="00D146AC" w:rsidRPr="004739CB" w:rsidRDefault="00D146AC" w:rsidP="00DA725A">
                        <w:pPr>
                          <w:jc w:val="both"/>
                          <w:rPr>
                            <w:sz w:val="18"/>
                            <w:szCs w:val="18"/>
                            <w:lang w:val="it-IT"/>
                          </w:rPr>
                        </w:pP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7"/>
                    <w:gridCol w:w="4831"/>
                  </w:tblGrid>
                  <w:tr w:rsidR="00D146AC" w:rsidRPr="004739CB" w:rsidTr="00B92DDC">
                    <w:tc>
                      <w:tcPr>
                        <w:tcW w:w="276" w:type="dxa"/>
                        <w:shd w:val="clear" w:color="auto" w:fill="auto"/>
                        <w:hideMark/>
                      </w:tcPr>
                      <w:p w:rsidR="00D146AC" w:rsidRPr="004739CB" w:rsidRDefault="00D146AC" w:rsidP="00DA725A">
                        <w:pPr>
                          <w:jc w:val="both"/>
                          <w:rPr>
                            <w:sz w:val="18"/>
                            <w:szCs w:val="18"/>
                          </w:rPr>
                        </w:pPr>
                        <w:r w:rsidRPr="004739CB">
                          <w:rPr>
                            <w:sz w:val="18"/>
                            <w:szCs w:val="18"/>
                          </w:rPr>
                          <w:t>(ii)</w:t>
                        </w:r>
                      </w:p>
                    </w:tc>
                    <w:tc>
                      <w:tcPr>
                        <w:tcW w:w="9020" w:type="dxa"/>
                        <w:shd w:val="clear" w:color="auto" w:fill="auto"/>
                        <w:hideMark/>
                      </w:tcPr>
                      <w:p w:rsidR="00D146AC" w:rsidRPr="004739CB" w:rsidRDefault="00D146AC" w:rsidP="00DA725A">
                        <w:pPr>
                          <w:jc w:val="both"/>
                          <w:rPr>
                            <w:sz w:val="18"/>
                            <w:szCs w:val="18"/>
                          </w:rPr>
                        </w:pPr>
                        <w:r w:rsidRPr="004739CB">
                          <w:rPr>
                            <w:sz w:val="18"/>
                            <w:szCs w:val="18"/>
                          </w:rPr>
                          <w:t>valoarea ajustărilor propuse pentru tarifele de transport bazate pe capacitate în temeiul articolului 9;</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97"/>
                    <w:gridCol w:w="4691"/>
                  </w:tblGrid>
                  <w:tr w:rsidR="00D146AC" w:rsidRPr="004739CB" w:rsidTr="00B92DDC">
                    <w:tc>
                      <w:tcPr>
                        <w:tcW w:w="539" w:type="dxa"/>
                        <w:shd w:val="clear" w:color="auto" w:fill="auto"/>
                        <w:hideMark/>
                      </w:tcPr>
                      <w:p w:rsidR="00D146AC" w:rsidRPr="004739CB" w:rsidRDefault="00D146AC" w:rsidP="00DA725A">
                        <w:pPr>
                          <w:jc w:val="both"/>
                          <w:rPr>
                            <w:sz w:val="18"/>
                            <w:szCs w:val="18"/>
                          </w:rPr>
                        </w:pPr>
                        <w:r w:rsidRPr="004739CB">
                          <w:rPr>
                            <w:sz w:val="18"/>
                            <w:szCs w:val="18"/>
                          </w:rPr>
                          <w:t>(iii)</w:t>
                        </w:r>
                      </w:p>
                    </w:tc>
                    <w:tc>
                      <w:tcPr>
                        <w:tcW w:w="8757" w:type="dxa"/>
                        <w:shd w:val="clear" w:color="auto" w:fill="auto"/>
                        <w:hideMark/>
                      </w:tcPr>
                      <w:p w:rsidR="00D146AC" w:rsidRPr="004739CB" w:rsidRDefault="00D146AC" w:rsidP="00DA725A">
                        <w:pPr>
                          <w:jc w:val="both"/>
                          <w:rPr>
                            <w:sz w:val="18"/>
                            <w:szCs w:val="18"/>
                          </w:rPr>
                        </w:pPr>
                        <w:r w:rsidRPr="004739CB">
                          <w:rPr>
                            <w:sz w:val="18"/>
                            <w:szCs w:val="18"/>
                          </w:rPr>
                          <w:t>prețurile de referință orientative care fac obiectul consultării;</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62"/>
                    <w:gridCol w:w="4826"/>
                  </w:tblGrid>
                  <w:tr w:rsidR="00D146AC" w:rsidRPr="00C27D66" w:rsidTr="00B92DDC">
                    <w:tc>
                      <w:tcPr>
                        <w:tcW w:w="285" w:type="dxa"/>
                        <w:shd w:val="clear" w:color="auto" w:fill="auto"/>
                        <w:hideMark/>
                      </w:tcPr>
                      <w:p w:rsidR="00D146AC" w:rsidRPr="004739CB" w:rsidRDefault="00D146AC" w:rsidP="00DA725A">
                        <w:pPr>
                          <w:jc w:val="both"/>
                          <w:rPr>
                            <w:sz w:val="18"/>
                            <w:szCs w:val="18"/>
                          </w:rPr>
                        </w:pPr>
                        <w:r w:rsidRPr="004739CB">
                          <w:rPr>
                            <w:sz w:val="18"/>
                            <w:szCs w:val="18"/>
                          </w:rPr>
                          <w:t>(iv)</w:t>
                        </w:r>
                      </w:p>
                    </w:tc>
                    <w:tc>
                      <w:tcPr>
                        <w:tcW w:w="9011" w:type="dxa"/>
                        <w:shd w:val="clear" w:color="auto" w:fill="auto"/>
                        <w:hideMark/>
                      </w:tcPr>
                      <w:p w:rsidR="00D146AC" w:rsidRPr="004739CB" w:rsidRDefault="00D146AC" w:rsidP="00DA725A">
                        <w:pPr>
                          <w:jc w:val="both"/>
                          <w:rPr>
                            <w:sz w:val="18"/>
                            <w:szCs w:val="18"/>
                            <w:lang w:val="it-IT"/>
                          </w:rPr>
                        </w:pPr>
                        <w:r w:rsidRPr="004739CB">
                          <w:rPr>
                            <w:sz w:val="18"/>
                            <w:szCs w:val="18"/>
                            <w:lang w:val="it-IT"/>
                          </w:rPr>
                          <w:t>rezultatele, componentele și detaliile acestor elemente pentru evaluările alocării costurilor prevăzute la articolul 5;</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3"/>
                    <w:gridCol w:w="4835"/>
                  </w:tblGrid>
                  <w:tr w:rsidR="00D146AC" w:rsidRPr="00C27D66" w:rsidTr="00B92DDC">
                    <w:tc>
                      <w:tcPr>
                        <w:tcW w:w="269" w:type="dxa"/>
                        <w:shd w:val="clear" w:color="auto" w:fill="auto"/>
                        <w:hideMark/>
                      </w:tcPr>
                      <w:p w:rsidR="00D146AC" w:rsidRPr="004739CB" w:rsidRDefault="00D146AC" w:rsidP="00DA725A">
                        <w:pPr>
                          <w:jc w:val="both"/>
                          <w:rPr>
                            <w:sz w:val="18"/>
                            <w:szCs w:val="18"/>
                          </w:rPr>
                        </w:pPr>
                        <w:r w:rsidRPr="004739CB">
                          <w:rPr>
                            <w:sz w:val="18"/>
                            <w:szCs w:val="18"/>
                          </w:rPr>
                          <w:t>(v)</w:t>
                        </w:r>
                      </w:p>
                    </w:tc>
                    <w:tc>
                      <w:tcPr>
                        <w:tcW w:w="9027" w:type="dxa"/>
                        <w:shd w:val="clear" w:color="auto" w:fill="auto"/>
                        <w:hideMark/>
                      </w:tcPr>
                      <w:p w:rsidR="00D146AC" w:rsidRPr="004739CB" w:rsidRDefault="00D146AC" w:rsidP="00DA725A">
                        <w:pPr>
                          <w:jc w:val="both"/>
                          <w:rPr>
                            <w:sz w:val="18"/>
                            <w:szCs w:val="18"/>
                            <w:lang w:val="it-IT"/>
                          </w:rPr>
                        </w:pPr>
                        <w:r w:rsidRPr="004739CB">
                          <w:rPr>
                            <w:sz w:val="18"/>
                            <w:szCs w:val="18"/>
                            <w:lang w:val="it-IT"/>
                          </w:rPr>
                          <w:t>evaluarea metodologiei propuse de stabilire a prețurilor de referință în conformitate cu articolul 7;</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8"/>
                    <w:gridCol w:w="4840"/>
                  </w:tblGrid>
                  <w:tr w:rsidR="00D146AC" w:rsidRPr="00C27D66" w:rsidTr="00B92DDC">
                    <w:tc>
                      <w:tcPr>
                        <w:tcW w:w="260" w:type="dxa"/>
                        <w:shd w:val="clear" w:color="auto" w:fill="auto"/>
                        <w:hideMark/>
                      </w:tcPr>
                      <w:p w:rsidR="00D146AC" w:rsidRPr="004739CB" w:rsidRDefault="00D146AC" w:rsidP="00DA725A">
                        <w:pPr>
                          <w:jc w:val="both"/>
                          <w:rPr>
                            <w:sz w:val="18"/>
                            <w:szCs w:val="18"/>
                          </w:rPr>
                        </w:pPr>
                        <w:r w:rsidRPr="004739CB">
                          <w:rPr>
                            <w:sz w:val="18"/>
                            <w:szCs w:val="18"/>
                          </w:rPr>
                          <w:t>(vi)</w:t>
                        </w:r>
                      </w:p>
                    </w:tc>
                    <w:tc>
                      <w:tcPr>
                        <w:tcW w:w="9036" w:type="dxa"/>
                        <w:shd w:val="clear" w:color="auto" w:fill="auto"/>
                        <w:hideMark/>
                      </w:tcPr>
                      <w:p w:rsidR="00D146AC" w:rsidRPr="004739CB" w:rsidRDefault="00D146AC" w:rsidP="00DA725A">
                        <w:pPr>
                          <w:jc w:val="both"/>
                          <w:rPr>
                            <w:sz w:val="18"/>
                            <w:szCs w:val="18"/>
                            <w:lang w:val="it-IT"/>
                          </w:rPr>
                        </w:pPr>
                        <w:r w:rsidRPr="004739CB">
                          <w:rPr>
                            <w:sz w:val="18"/>
                            <w:szCs w:val="18"/>
                            <w:lang w:val="it-IT"/>
                          </w:rPr>
                          <w:t>dacă metodologia de stabilire a prețurilor de referință propusă este alta decât metodologia de stabilire a prețurilor în funcție de capacitate ponderată cu distanța, prezentată în mod detaliat la articolul 8, comparația între cele două metodologii, împreună cu informațiile prevăzute la punctul (iii);</w:t>
                        </w:r>
                      </w:p>
                    </w:tc>
                  </w:tr>
                </w:tbl>
                <w:p w:rsidR="00D146AC" w:rsidRPr="004739CB" w:rsidRDefault="00D146AC" w:rsidP="00DA725A">
                  <w:pPr>
                    <w:jc w:val="both"/>
                    <w:rPr>
                      <w:sz w:val="18"/>
                      <w:szCs w:val="18"/>
                      <w:lang w:val="it-IT"/>
                    </w:rPr>
                  </w:pP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4"/>
              <w:gridCol w:w="4865"/>
            </w:tblGrid>
            <w:tr w:rsidR="00D146AC" w:rsidRPr="00C27D66" w:rsidTr="00B92DDC">
              <w:tc>
                <w:tcPr>
                  <w:tcW w:w="288" w:type="dxa"/>
                  <w:shd w:val="clear" w:color="auto" w:fill="FFFFFF"/>
                  <w:hideMark/>
                </w:tcPr>
                <w:p w:rsidR="00D146AC" w:rsidRPr="004739CB" w:rsidRDefault="00D146AC" w:rsidP="00DA725A">
                  <w:pPr>
                    <w:jc w:val="both"/>
                    <w:rPr>
                      <w:sz w:val="18"/>
                      <w:szCs w:val="18"/>
                    </w:rPr>
                  </w:pPr>
                  <w:r w:rsidRPr="004739CB">
                    <w:rPr>
                      <w:sz w:val="18"/>
                      <w:szCs w:val="18"/>
                    </w:rPr>
                    <w:t>(b)</w:t>
                  </w:r>
                </w:p>
              </w:tc>
              <w:tc>
                <w:tcPr>
                  <w:tcW w:w="9067" w:type="dxa"/>
                  <w:shd w:val="clear" w:color="auto" w:fill="FFFFFF"/>
                  <w:hideMark/>
                </w:tcPr>
                <w:p w:rsidR="00D146AC" w:rsidRPr="004739CB" w:rsidRDefault="00D146AC" w:rsidP="00DA725A">
                  <w:pPr>
                    <w:jc w:val="both"/>
                    <w:rPr>
                      <w:sz w:val="18"/>
                      <w:szCs w:val="18"/>
                      <w:lang w:val="it-IT"/>
                    </w:rPr>
                  </w:pPr>
                  <w:r w:rsidRPr="004739CB">
                    <w:rPr>
                      <w:sz w:val="18"/>
                      <w:szCs w:val="18"/>
                      <w:lang w:val="it-IT"/>
                    </w:rPr>
                    <w:t>informațiile orientative prevăzute la articolul 30 alineatul (1) litera (b) punctele (i), (iv), (v);</w:t>
                  </w: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4739CB" w:rsidRDefault="00D146AC" w:rsidP="00DA725A">
                  <w:pPr>
                    <w:jc w:val="both"/>
                    <w:rPr>
                      <w:sz w:val="18"/>
                      <w:szCs w:val="18"/>
                    </w:rPr>
                  </w:pPr>
                  <w:r w:rsidRPr="004739CB">
                    <w:rPr>
                      <w:sz w:val="18"/>
                      <w:szCs w:val="18"/>
                    </w:rPr>
                    <w:t>(c)</w:t>
                  </w:r>
                </w:p>
              </w:tc>
              <w:tc>
                <w:tcPr>
                  <w:tcW w:w="9296" w:type="dxa"/>
                  <w:shd w:val="clear" w:color="auto" w:fill="FFFFFF"/>
                  <w:hideMark/>
                </w:tcPr>
                <w:p w:rsidR="00D146AC" w:rsidRPr="004739CB" w:rsidRDefault="00D146AC" w:rsidP="00DA725A">
                  <w:pPr>
                    <w:jc w:val="both"/>
                    <w:rPr>
                      <w:sz w:val="18"/>
                      <w:szCs w:val="18"/>
                      <w:lang w:val="it-IT"/>
                    </w:rPr>
                  </w:pPr>
                  <w:r w:rsidRPr="004739CB">
                    <w:rPr>
                      <w:sz w:val="18"/>
                      <w:szCs w:val="18"/>
                      <w:lang w:val="it-IT"/>
                    </w:rPr>
                    <w:t>următoarele informații cu privire la tarifele de transport și la alte tarife decât cele de transport:</w:t>
                  </w:r>
                </w:p>
                <w:tbl>
                  <w:tblPr>
                    <w:tblW w:w="5000" w:type="pct"/>
                    <w:tblLayout w:type="fixed"/>
                    <w:tblCellMar>
                      <w:left w:w="0" w:type="dxa"/>
                      <w:right w:w="0" w:type="dxa"/>
                    </w:tblCellMar>
                    <w:tblLook w:val="04A0" w:firstRow="1" w:lastRow="0" w:firstColumn="1" w:lastColumn="0" w:noHBand="0" w:noVBand="1"/>
                  </w:tblPr>
                  <w:tblGrid>
                    <w:gridCol w:w="36"/>
                    <w:gridCol w:w="4952"/>
                  </w:tblGrid>
                  <w:tr w:rsidR="00D146AC" w:rsidRPr="004739CB" w:rsidTr="00B92DDC">
                    <w:tc>
                      <w:tcPr>
                        <w:tcW w:w="50" w:type="dxa"/>
                        <w:shd w:val="clear" w:color="auto" w:fill="auto"/>
                        <w:hideMark/>
                      </w:tcPr>
                      <w:p w:rsidR="00D146AC" w:rsidRPr="004739CB" w:rsidRDefault="00D146AC" w:rsidP="00DA725A">
                        <w:pPr>
                          <w:jc w:val="both"/>
                          <w:rPr>
                            <w:sz w:val="18"/>
                            <w:szCs w:val="18"/>
                          </w:rPr>
                        </w:pPr>
                        <w:r w:rsidRPr="004739CB">
                          <w:rPr>
                            <w:sz w:val="18"/>
                            <w:szCs w:val="18"/>
                          </w:rPr>
                          <w:t>(i)</w:t>
                        </w:r>
                      </w:p>
                    </w:tc>
                    <w:tc>
                      <w:tcPr>
                        <w:tcW w:w="9246" w:type="dxa"/>
                        <w:shd w:val="clear" w:color="auto" w:fill="auto"/>
                        <w:hideMark/>
                      </w:tcPr>
                      <w:p w:rsidR="00D146AC" w:rsidRPr="004739CB" w:rsidRDefault="00D146AC" w:rsidP="00DA725A">
                        <w:pPr>
                          <w:jc w:val="both"/>
                          <w:rPr>
                            <w:sz w:val="18"/>
                            <w:szCs w:val="18"/>
                            <w:lang w:val="it-IT"/>
                          </w:rPr>
                        </w:pPr>
                        <w:r w:rsidRPr="004739CB">
                          <w:rPr>
                            <w:sz w:val="18"/>
                            <w:szCs w:val="18"/>
                            <w:lang w:val="it-IT"/>
                          </w:rPr>
                          <w:t>dacă sunt propuse tarifele de transport volumetrice menționate la articolul 4 alineatul (3):</w:t>
                        </w:r>
                      </w:p>
                      <w:tbl>
                        <w:tblPr>
                          <w:tblW w:w="5000" w:type="pct"/>
                          <w:tblLayout w:type="fixed"/>
                          <w:tblCellMar>
                            <w:left w:w="0" w:type="dxa"/>
                            <w:right w:w="0" w:type="dxa"/>
                          </w:tblCellMar>
                          <w:tblLook w:val="04A0" w:firstRow="1" w:lastRow="0" w:firstColumn="1" w:lastColumn="0" w:noHBand="0" w:noVBand="1"/>
                        </w:tblPr>
                        <w:tblGrid>
                          <w:gridCol w:w="257"/>
                          <w:gridCol w:w="4695"/>
                        </w:tblGrid>
                        <w:tr w:rsidR="00D146AC" w:rsidRPr="004739CB" w:rsidTr="00B92DDC">
                          <w:tc>
                            <w:tcPr>
                              <w:tcW w:w="464" w:type="dxa"/>
                              <w:shd w:val="clear" w:color="auto" w:fill="auto"/>
                              <w:hideMark/>
                            </w:tcPr>
                            <w:p w:rsidR="00D146AC" w:rsidRPr="004739CB" w:rsidRDefault="00D146AC" w:rsidP="00DA725A">
                              <w:pPr>
                                <w:jc w:val="both"/>
                                <w:rPr>
                                  <w:sz w:val="18"/>
                                  <w:szCs w:val="18"/>
                                </w:rPr>
                              </w:pPr>
                              <w:r w:rsidRPr="004739CB">
                                <w:rPr>
                                  <w:sz w:val="18"/>
                                  <w:szCs w:val="18"/>
                                </w:rPr>
                                <w:t>1.</w:t>
                              </w:r>
                            </w:p>
                          </w:tc>
                          <w:tc>
                            <w:tcPr>
                              <w:tcW w:w="8782" w:type="dxa"/>
                              <w:shd w:val="clear" w:color="auto" w:fill="auto"/>
                              <w:hideMark/>
                            </w:tcPr>
                            <w:p w:rsidR="00D146AC" w:rsidRPr="004739CB" w:rsidRDefault="00D146AC" w:rsidP="00DA725A">
                              <w:pPr>
                                <w:jc w:val="both"/>
                                <w:rPr>
                                  <w:sz w:val="18"/>
                                  <w:szCs w:val="18"/>
                                </w:rPr>
                              </w:pPr>
                              <w:r w:rsidRPr="004739CB">
                                <w:rPr>
                                  <w:sz w:val="18"/>
                                  <w:szCs w:val="18"/>
                                </w:rPr>
                                <w:t>modul în care sunt stabilite tarifele;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94"/>
                          <w:gridCol w:w="4858"/>
                        </w:tblGrid>
                        <w:tr w:rsidR="00D146AC" w:rsidRPr="00C27D66" w:rsidTr="00B92DDC">
                          <w:tc>
                            <w:tcPr>
                              <w:tcW w:w="158" w:type="dxa"/>
                              <w:shd w:val="clear" w:color="auto" w:fill="auto"/>
                              <w:hideMark/>
                            </w:tcPr>
                            <w:p w:rsidR="00D146AC" w:rsidRPr="004739CB" w:rsidRDefault="00D146AC" w:rsidP="00DA725A">
                              <w:pPr>
                                <w:jc w:val="both"/>
                                <w:rPr>
                                  <w:sz w:val="18"/>
                                  <w:szCs w:val="18"/>
                                </w:rPr>
                              </w:pPr>
                              <w:r w:rsidRPr="004739CB">
                                <w:rPr>
                                  <w:sz w:val="18"/>
                                  <w:szCs w:val="18"/>
                                </w:rPr>
                                <w:t>2.</w:t>
                              </w:r>
                            </w:p>
                          </w:tc>
                          <w:tc>
                            <w:tcPr>
                              <w:tcW w:w="9088" w:type="dxa"/>
                              <w:shd w:val="clear" w:color="auto" w:fill="auto"/>
                              <w:hideMark/>
                            </w:tcPr>
                            <w:p w:rsidR="00D146AC" w:rsidRPr="004739CB" w:rsidRDefault="00D146AC" w:rsidP="00DA725A">
                              <w:pPr>
                                <w:jc w:val="both"/>
                                <w:rPr>
                                  <w:sz w:val="18"/>
                                  <w:szCs w:val="18"/>
                                  <w:lang w:val="it-IT"/>
                                </w:rPr>
                              </w:pPr>
                              <w:r w:rsidRPr="004739CB">
                                <w:rPr>
                                  <w:sz w:val="18"/>
                                  <w:szCs w:val="18"/>
                                  <w:lang w:val="it-IT"/>
                                </w:rPr>
                                <w:t>proporția din venitul autorizat sau din venitul-țintă care se preconizează că va fi recuperată din aceste tarife;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10"/>
                          <w:gridCol w:w="4742"/>
                        </w:tblGrid>
                        <w:tr w:rsidR="00D146AC" w:rsidRPr="004739CB" w:rsidTr="00B92DDC">
                          <w:tc>
                            <w:tcPr>
                              <w:tcW w:w="377" w:type="dxa"/>
                              <w:shd w:val="clear" w:color="auto" w:fill="auto"/>
                              <w:hideMark/>
                            </w:tcPr>
                            <w:p w:rsidR="00D146AC" w:rsidRPr="004739CB" w:rsidRDefault="00D146AC" w:rsidP="00DA725A">
                              <w:pPr>
                                <w:jc w:val="both"/>
                                <w:rPr>
                                  <w:sz w:val="18"/>
                                  <w:szCs w:val="18"/>
                                </w:rPr>
                              </w:pPr>
                              <w:r w:rsidRPr="004739CB">
                                <w:rPr>
                                  <w:sz w:val="18"/>
                                  <w:szCs w:val="18"/>
                                </w:rPr>
                                <w:t>3.</w:t>
                              </w:r>
                            </w:p>
                          </w:tc>
                          <w:tc>
                            <w:tcPr>
                              <w:tcW w:w="8869" w:type="dxa"/>
                              <w:shd w:val="clear" w:color="auto" w:fill="auto"/>
                              <w:hideMark/>
                            </w:tcPr>
                            <w:p w:rsidR="00D146AC" w:rsidRPr="004739CB" w:rsidRDefault="00D146AC" w:rsidP="00DA725A">
                              <w:pPr>
                                <w:jc w:val="both"/>
                                <w:rPr>
                                  <w:sz w:val="18"/>
                                  <w:szCs w:val="18"/>
                                </w:rPr>
                              </w:pPr>
                              <w:r w:rsidRPr="004739CB">
                                <w:rPr>
                                  <w:sz w:val="18"/>
                                  <w:szCs w:val="18"/>
                                </w:rPr>
                                <w:t>tarifele de transport volumetrice orientative;</w:t>
                              </w:r>
                            </w:p>
                          </w:tc>
                        </w:tr>
                      </w:tbl>
                      <w:p w:rsidR="00D146AC" w:rsidRPr="004739CB" w:rsidRDefault="00D146AC" w:rsidP="00DA725A">
                        <w:pPr>
                          <w:jc w:val="both"/>
                          <w:rPr>
                            <w:sz w:val="18"/>
                            <w:szCs w:val="18"/>
                          </w:rPr>
                        </w:pP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4"/>
                    <w:gridCol w:w="4944"/>
                  </w:tblGrid>
                  <w:tr w:rsidR="00D146AC" w:rsidRPr="00C27D66" w:rsidTr="00B92DDC">
                    <w:tc>
                      <w:tcPr>
                        <w:tcW w:w="64" w:type="dxa"/>
                        <w:shd w:val="clear" w:color="auto" w:fill="auto"/>
                        <w:hideMark/>
                      </w:tcPr>
                      <w:p w:rsidR="00D146AC" w:rsidRPr="004739CB" w:rsidRDefault="00D146AC" w:rsidP="00DA725A">
                        <w:pPr>
                          <w:jc w:val="both"/>
                          <w:rPr>
                            <w:sz w:val="18"/>
                            <w:szCs w:val="18"/>
                          </w:rPr>
                        </w:pPr>
                        <w:r w:rsidRPr="004739CB">
                          <w:rPr>
                            <w:sz w:val="18"/>
                            <w:szCs w:val="18"/>
                          </w:rPr>
                          <w:t>(ii)</w:t>
                        </w:r>
                      </w:p>
                    </w:tc>
                    <w:tc>
                      <w:tcPr>
                        <w:tcW w:w="9232" w:type="dxa"/>
                        <w:shd w:val="clear" w:color="auto" w:fill="auto"/>
                        <w:hideMark/>
                      </w:tcPr>
                      <w:p w:rsidR="00D146AC" w:rsidRPr="004739CB" w:rsidRDefault="00D146AC" w:rsidP="00DA725A">
                        <w:pPr>
                          <w:jc w:val="both"/>
                          <w:rPr>
                            <w:sz w:val="18"/>
                            <w:szCs w:val="18"/>
                            <w:lang w:val="it-IT"/>
                          </w:rPr>
                        </w:pPr>
                        <w:r w:rsidRPr="004739CB">
                          <w:rPr>
                            <w:sz w:val="18"/>
                            <w:szCs w:val="18"/>
                            <w:lang w:val="it-IT"/>
                          </w:rPr>
                          <w:t>dacă utilizatorilor rețelei le sunt propuse alte servicii decât cele de transport:</w:t>
                        </w:r>
                      </w:p>
                      <w:tbl>
                        <w:tblPr>
                          <w:tblW w:w="5000" w:type="pct"/>
                          <w:tblLayout w:type="fixed"/>
                          <w:tblCellMar>
                            <w:left w:w="0" w:type="dxa"/>
                            <w:right w:w="0" w:type="dxa"/>
                          </w:tblCellMar>
                          <w:tblLook w:val="04A0" w:firstRow="1" w:lastRow="0" w:firstColumn="1" w:lastColumn="0" w:noHBand="0" w:noVBand="1"/>
                        </w:tblPr>
                        <w:tblGrid>
                          <w:gridCol w:w="126"/>
                          <w:gridCol w:w="4818"/>
                        </w:tblGrid>
                        <w:tr w:rsidR="00D146AC" w:rsidRPr="00C27D66" w:rsidTr="00B92DDC">
                          <w:tc>
                            <w:tcPr>
                              <w:tcW w:w="218" w:type="dxa"/>
                              <w:shd w:val="clear" w:color="auto" w:fill="auto"/>
                              <w:hideMark/>
                            </w:tcPr>
                            <w:p w:rsidR="00D146AC" w:rsidRPr="004739CB" w:rsidRDefault="00D146AC" w:rsidP="00DA725A">
                              <w:pPr>
                                <w:jc w:val="both"/>
                                <w:rPr>
                                  <w:sz w:val="18"/>
                                  <w:szCs w:val="18"/>
                                </w:rPr>
                              </w:pPr>
                              <w:r w:rsidRPr="004739CB">
                                <w:rPr>
                                  <w:sz w:val="18"/>
                                  <w:szCs w:val="18"/>
                                </w:rPr>
                                <w:t>1.</w:t>
                              </w:r>
                            </w:p>
                          </w:tc>
                          <w:tc>
                            <w:tcPr>
                              <w:tcW w:w="9014" w:type="dxa"/>
                              <w:shd w:val="clear" w:color="auto" w:fill="auto"/>
                              <w:hideMark/>
                            </w:tcPr>
                            <w:p w:rsidR="00D146AC" w:rsidRPr="004739CB" w:rsidRDefault="00D146AC" w:rsidP="00DA725A">
                              <w:pPr>
                                <w:jc w:val="both"/>
                                <w:rPr>
                                  <w:sz w:val="18"/>
                                  <w:szCs w:val="18"/>
                                  <w:lang w:val="it-IT"/>
                                </w:rPr>
                              </w:pPr>
                              <w:r w:rsidRPr="004739CB">
                                <w:rPr>
                                  <w:sz w:val="18"/>
                                  <w:szCs w:val="18"/>
                                  <w:lang w:val="it-IT"/>
                                </w:rPr>
                                <w:t>metodologia de stabilire a tarifelor pentru alte servicii decât cele de transport;</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94"/>
                          <w:gridCol w:w="4850"/>
                        </w:tblGrid>
                        <w:tr w:rsidR="00D146AC" w:rsidRPr="00C27D66" w:rsidTr="00B92DDC">
                          <w:tc>
                            <w:tcPr>
                              <w:tcW w:w="158" w:type="dxa"/>
                              <w:shd w:val="clear" w:color="auto" w:fill="auto"/>
                              <w:hideMark/>
                            </w:tcPr>
                            <w:p w:rsidR="00D146AC" w:rsidRPr="004739CB" w:rsidRDefault="00D146AC" w:rsidP="00DA725A">
                              <w:pPr>
                                <w:jc w:val="both"/>
                                <w:rPr>
                                  <w:sz w:val="18"/>
                                  <w:szCs w:val="18"/>
                                </w:rPr>
                              </w:pPr>
                              <w:r w:rsidRPr="004739CB">
                                <w:rPr>
                                  <w:sz w:val="18"/>
                                  <w:szCs w:val="18"/>
                                </w:rPr>
                                <w:lastRenderedPageBreak/>
                                <w:t>2.</w:t>
                              </w:r>
                            </w:p>
                          </w:tc>
                          <w:tc>
                            <w:tcPr>
                              <w:tcW w:w="9074" w:type="dxa"/>
                              <w:shd w:val="clear" w:color="auto" w:fill="auto"/>
                              <w:hideMark/>
                            </w:tcPr>
                            <w:p w:rsidR="00D146AC" w:rsidRPr="004739CB" w:rsidRDefault="00D146AC" w:rsidP="00DA725A">
                              <w:pPr>
                                <w:jc w:val="both"/>
                                <w:rPr>
                                  <w:sz w:val="18"/>
                                  <w:szCs w:val="18"/>
                                  <w:lang w:val="it-IT"/>
                                </w:rPr>
                              </w:pPr>
                              <w:r w:rsidRPr="004739CB">
                                <w:rPr>
                                  <w:sz w:val="18"/>
                                  <w:szCs w:val="18"/>
                                  <w:lang w:val="it-IT"/>
                                </w:rPr>
                                <w:t>proporția din venitul autorizat sau din venitul-țintă care se preconizează că va fi recuperată din aceste tarife;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3"/>
                        </w:tblGrid>
                        <w:tr w:rsidR="00D146AC" w:rsidRPr="004739CB" w:rsidTr="00B92DDC">
                          <w:tc>
                            <w:tcPr>
                              <w:tcW w:w="135" w:type="dxa"/>
                              <w:shd w:val="clear" w:color="auto" w:fill="auto"/>
                              <w:hideMark/>
                            </w:tcPr>
                            <w:p w:rsidR="00D146AC" w:rsidRPr="004739CB" w:rsidRDefault="00D146AC" w:rsidP="00DA725A">
                              <w:pPr>
                                <w:jc w:val="both"/>
                                <w:rPr>
                                  <w:sz w:val="18"/>
                                  <w:szCs w:val="18"/>
                                </w:rPr>
                              </w:pPr>
                              <w:r w:rsidRPr="004739CB">
                                <w:rPr>
                                  <w:sz w:val="18"/>
                                  <w:szCs w:val="18"/>
                                </w:rPr>
                                <w:t>3.</w:t>
                              </w:r>
                            </w:p>
                          </w:tc>
                          <w:tc>
                            <w:tcPr>
                              <w:tcW w:w="9097" w:type="dxa"/>
                              <w:shd w:val="clear" w:color="auto" w:fill="auto"/>
                              <w:hideMark/>
                            </w:tcPr>
                            <w:p w:rsidR="00D146AC" w:rsidRPr="004739CB" w:rsidRDefault="00D146AC" w:rsidP="00DA725A">
                              <w:pPr>
                                <w:jc w:val="both"/>
                                <w:rPr>
                                  <w:sz w:val="18"/>
                                  <w:szCs w:val="18"/>
                                </w:rPr>
                              </w:pPr>
                              <w:r w:rsidRPr="004739CB">
                                <w:rPr>
                                  <w:sz w:val="18"/>
                                  <w:szCs w:val="18"/>
                                </w:rPr>
                                <w:t>modul în care venitul conex aferent altor servicii decât cele de transport este reconciliat în conformitate cu articolul 17 alineatul (3);</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5"/>
                          <w:gridCol w:w="4859"/>
                        </w:tblGrid>
                        <w:tr w:rsidR="00D146AC" w:rsidRPr="00C27D66" w:rsidTr="00B92DDC">
                          <w:tc>
                            <w:tcPr>
                              <w:tcW w:w="141" w:type="dxa"/>
                              <w:shd w:val="clear" w:color="auto" w:fill="auto"/>
                              <w:hideMark/>
                            </w:tcPr>
                            <w:p w:rsidR="00D146AC" w:rsidRPr="004739CB" w:rsidRDefault="00D146AC" w:rsidP="00DA725A">
                              <w:pPr>
                                <w:jc w:val="both"/>
                                <w:rPr>
                                  <w:sz w:val="18"/>
                                  <w:szCs w:val="18"/>
                                </w:rPr>
                              </w:pPr>
                              <w:r w:rsidRPr="004739CB">
                                <w:rPr>
                                  <w:sz w:val="18"/>
                                  <w:szCs w:val="18"/>
                                </w:rPr>
                                <w:t>4.</w:t>
                              </w:r>
                            </w:p>
                          </w:tc>
                          <w:tc>
                            <w:tcPr>
                              <w:tcW w:w="9091" w:type="dxa"/>
                              <w:shd w:val="clear" w:color="auto" w:fill="auto"/>
                              <w:hideMark/>
                            </w:tcPr>
                            <w:p w:rsidR="00D146AC" w:rsidRPr="004739CB" w:rsidRDefault="00D146AC" w:rsidP="00DA725A">
                              <w:pPr>
                                <w:jc w:val="both"/>
                                <w:rPr>
                                  <w:sz w:val="18"/>
                                  <w:szCs w:val="18"/>
                                  <w:lang w:val="it-IT"/>
                                </w:rPr>
                              </w:pPr>
                              <w:r w:rsidRPr="004739CB">
                                <w:rPr>
                                  <w:sz w:val="18"/>
                                  <w:szCs w:val="18"/>
                                  <w:lang w:val="it-IT"/>
                                </w:rPr>
                                <w:t>tarifele orientative, altele decât cele de transport, pentru alte servicii decât cele de transport furnizate utilizatorilor rețelei;</w:t>
                              </w:r>
                            </w:p>
                          </w:tc>
                        </w:tr>
                      </w:tbl>
                      <w:p w:rsidR="00D146AC" w:rsidRPr="004739CB" w:rsidRDefault="00D146AC" w:rsidP="00DA725A">
                        <w:pPr>
                          <w:jc w:val="both"/>
                          <w:rPr>
                            <w:sz w:val="18"/>
                            <w:szCs w:val="18"/>
                            <w:lang w:val="it-IT"/>
                          </w:rPr>
                        </w:pPr>
                      </w:p>
                    </w:tc>
                  </w:tr>
                </w:tbl>
                <w:p w:rsidR="00D146AC" w:rsidRPr="004739CB" w:rsidRDefault="00D146AC" w:rsidP="00DA725A">
                  <w:pPr>
                    <w:jc w:val="both"/>
                    <w:rPr>
                      <w:sz w:val="18"/>
                      <w:szCs w:val="18"/>
                      <w:lang w:val="it-IT"/>
                    </w:rPr>
                  </w:pP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6"/>
              <w:gridCol w:w="4793"/>
            </w:tblGrid>
            <w:tr w:rsidR="00D146AC" w:rsidRPr="00C27D66" w:rsidTr="00B92DDC">
              <w:tc>
                <w:tcPr>
                  <w:tcW w:w="424" w:type="dxa"/>
                  <w:shd w:val="clear" w:color="auto" w:fill="FFFFFF"/>
                  <w:hideMark/>
                </w:tcPr>
                <w:p w:rsidR="00D146AC" w:rsidRPr="004739CB" w:rsidRDefault="00D146AC" w:rsidP="00DA725A">
                  <w:pPr>
                    <w:jc w:val="both"/>
                    <w:rPr>
                      <w:sz w:val="18"/>
                      <w:szCs w:val="18"/>
                    </w:rPr>
                  </w:pPr>
                  <w:r w:rsidRPr="004739CB">
                    <w:rPr>
                      <w:sz w:val="18"/>
                      <w:szCs w:val="18"/>
                    </w:rPr>
                    <w:t>(d)</w:t>
                  </w:r>
                </w:p>
              </w:tc>
              <w:tc>
                <w:tcPr>
                  <w:tcW w:w="8931" w:type="dxa"/>
                  <w:shd w:val="clear" w:color="auto" w:fill="FFFFFF"/>
                  <w:hideMark/>
                </w:tcPr>
                <w:p w:rsidR="00D146AC" w:rsidRPr="004739CB" w:rsidRDefault="00D146AC" w:rsidP="00DA725A">
                  <w:pPr>
                    <w:jc w:val="both"/>
                    <w:rPr>
                      <w:sz w:val="18"/>
                      <w:szCs w:val="18"/>
                      <w:lang w:val="it-IT"/>
                    </w:rPr>
                  </w:pPr>
                  <w:r w:rsidRPr="004739CB">
                    <w:rPr>
                      <w:sz w:val="18"/>
                      <w:szCs w:val="18"/>
                      <w:lang w:val="it-IT"/>
                    </w:rPr>
                    <w:t>informațiile orientative prevăzute la articolul 30 alineatul (2);</w:t>
                  </w: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4739CB" w:rsidTr="00B92DDC">
              <w:tc>
                <w:tcPr>
                  <w:tcW w:w="59" w:type="dxa"/>
                  <w:shd w:val="clear" w:color="auto" w:fill="FFFFFF"/>
                  <w:hideMark/>
                </w:tcPr>
                <w:p w:rsidR="00D146AC" w:rsidRPr="004739CB" w:rsidRDefault="00D146AC" w:rsidP="00DA725A">
                  <w:pPr>
                    <w:jc w:val="both"/>
                    <w:rPr>
                      <w:sz w:val="18"/>
                      <w:szCs w:val="18"/>
                    </w:rPr>
                  </w:pPr>
                  <w:r w:rsidRPr="004739CB">
                    <w:rPr>
                      <w:sz w:val="18"/>
                      <w:szCs w:val="18"/>
                    </w:rPr>
                    <w:t>(e)</w:t>
                  </w:r>
                </w:p>
              </w:tc>
              <w:tc>
                <w:tcPr>
                  <w:tcW w:w="9296" w:type="dxa"/>
                  <w:shd w:val="clear" w:color="auto" w:fill="FFFFFF"/>
                  <w:hideMark/>
                </w:tcPr>
                <w:p w:rsidR="00D146AC" w:rsidRPr="004739CB" w:rsidRDefault="00D146AC" w:rsidP="00DA725A">
                  <w:pPr>
                    <w:jc w:val="both"/>
                    <w:rPr>
                      <w:sz w:val="18"/>
                      <w:szCs w:val="18"/>
                      <w:lang w:val="it-IT"/>
                    </w:rPr>
                  </w:pPr>
                  <w:r w:rsidRPr="004739CB">
                    <w:rPr>
                      <w:sz w:val="18"/>
                      <w:szCs w:val="18"/>
                      <w:lang w:val="it-IT"/>
                    </w:rPr>
                    <w:t>dacă abordarea privind prețul de plătit fix menționată la articolul 24 litera (b) este considerată a fi oferită în cadrul unui regim de tarifare cu plafonarea prețului pentru capacitatea existentă:</w:t>
                  </w:r>
                </w:p>
                <w:tbl>
                  <w:tblPr>
                    <w:tblW w:w="5000" w:type="pct"/>
                    <w:tblLayout w:type="fixed"/>
                    <w:tblCellMar>
                      <w:left w:w="0" w:type="dxa"/>
                      <w:right w:w="0" w:type="dxa"/>
                    </w:tblCellMar>
                    <w:tblLook w:val="04A0" w:firstRow="1" w:lastRow="0" w:firstColumn="1" w:lastColumn="0" w:noHBand="0" w:noVBand="1"/>
                  </w:tblPr>
                  <w:tblGrid>
                    <w:gridCol w:w="647"/>
                    <w:gridCol w:w="4341"/>
                  </w:tblGrid>
                  <w:tr w:rsidR="00D146AC" w:rsidRPr="004739CB" w:rsidTr="00B92DDC">
                    <w:tc>
                      <w:tcPr>
                        <w:tcW w:w="1193" w:type="dxa"/>
                        <w:shd w:val="clear" w:color="auto" w:fill="auto"/>
                        <w:hideMark/>
                      </w:tcPr>
                      <w:p w:rsidR="00D146AC" w:rsidRPr="004739CB" w:rsidRDefault="00D146AC" w:rsidP="00DA725A">
                        <w:pPr>
                          <w:jc w:val="both"/>
                          <w:rPr>
                            <w:sz w:val="18"/>
                            <w:szCs w:val="18"/>
                          </w:rPr>
                        </w:pPr>
                        <w:r w:rsidRPr="004739CB">
                          <w:rPr>
                            <w:sz w:val="18"/>
                            <w:szCs w:val="18"/>
                          </w:rPr>
                          <w:t>(i)</w:t>
                        </w:r>
                      </w:p>
                    </w:tc>
                    <w:tc>
                      <w:tcPr>
                        <w:tcW w:w="8103" w:type="dxa"/>
                        <w:shd w:val="clear" w:color="auto" w:fill="auto"/>
                        <w:hideMark/>
                      </w:tcPr>
                      <w:p w:rsidR="00D146AC" w:rsidRPr="004739CB" w:rsidRDefault="00D146AC" w:rsidP="00DA725A">
                        <w:pPr>
                          <w:jc w:val="both"/>
                          <w:rPr>
                            <w:sz w:val="18"/>
                            <w:szCs w:val="18"/>
                          </w:rPr>
                        </w:pPr>
                        <w:r w:rsidRPr="004739CB">
                          <w:rPr>
                            <w:sz w:val="18"/>
                            <w:szCs w:val="18"/>
                          </w:rPr>
                          <w:t>indicele propus;</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7"/>
                    <w:gridCol w:w="4781"/>
                  </w:tblGrid>
                  <w:tr w:rsidR="00D146AC" w:rsidRPr="00C27D66" w:rsidTr="00B92DDC">
                    <w:tc>
                      <w:tcPr>
                        <w:tcW w:w="369" w:type="dxa"/>
                        <w:shd w:val="clear" w:color="auto" w:fill="auto"/>
                        <w:hideMark/>
                      </w:tcPr>
                      <w:p w:rsidR="00D146AC" w:rsidRPr="004739CB" w:rsidRDefault="00D146AC" w:rsidP="00DA725A">
                        <w:pPr>
                          <w:jc w:val="both"/>
                          <w:rPr>
                            <w:sz w:val="18"/>
                            <w:szCs w:val="18"/>
                          </w:rPr>
                        </w:pPr>
                        <w:r w:rsidRPr="004739CB">
                          <w:rPr>
                            <w:sz w:val="18"/>
                            <w:szCs w:val="18"/>
                          </w:rPr>
                          <w:t>(ii)</w:t>
                        </w:r>
                      </w:p>
                    </w:tc>
                    <w:tc>
                      <w:tcPr>
                        <w:tcW w:w="8927" w:type="dxa"/>
                        <w:shd w:val="clear" w:color="auto" w:fill="auto"/>
                        <w:hideMark/>
                      </w:tcPr>
                      <w:p w:rsidR="00D146AC" w:rsidRPr="004739CB" w:rsidRDefault="00D146AC" w:rsidP="00DA725A">
                        <w:pPr>
                          <w:jc w:val="both"/>
                          <w:rPr>
                            <w:sz w:val="18"/>
                            <w:szCs w:val="18"/>
                            <w:lang w:val="it-IT"/>
                          </w:rPr>
                        </w:pPr>
                        <w:r w:rsidRPr="004739CB">
                          <w:rPr>
                            <w:sz w:val="18"/>
                            <w:szCs w:val="18"/>
                            <w:lang w:val="it-IT"/>
                          </w:rPr>
                          <w:t>calculul propus și modul de utilizare a venitului rezultat din prima de risc;</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61"/>
                    <w:gridCol w:w="4827"/>
                  </w:tblGrid>
                  <w:tr w:rsidR="00D146AC" w:rsidRPr="00C27D66" w:rsidTr="00B92DDC">
                    <w:tc>
                      <w:tcPr>
                        <w:tcW w:w="284" w:type="dxa"/>
                        <w:shd w:val="clear" w:color="auto" w:fill="auto"/>
                        <w:hideMark/>
                      </w:tcPr>
                      <w:p w:rsidR="00D146AC" w:rsidRPr="004739CB" w:rsidRDefault="00D146AC" w:rsidP="00DA725A">
                        <w:pPr>
                          <w:jc w:val="both"/>
                          <w:rPr>
                            <w:sz w:val="18"/>
                            <w:szCs w:val="18"/>
                          </w:rPr>
                        </w:pPr>
                        <w:r w:rsidRPr="004739CB">
                          <w:rPr>
                            <w:sz w:val="18"/>
                            <w:szCs w:val="18"/>
                          </w:rPr>
                          <w:t>(iii)</w:t>
                        </w:r>
                      </w:p>
                    </w:tc>
                    <w:tc>
                      <w:tcPr>
                        <w:tcW w:w="9012" w:type="dxa"/>
                        <w:shd w:val="clear" w:color="auto" w:fill="auto"/>
                        <w:hideMark/>
                      </w:tcPr>
                      <w:p w:rsidR="00D146AC" w:rsidRPr="004739CB" w:rsidRDefault="00D146AC" w:rsidP="00DA725A">
                        <w:pPr>
                          <w:jc w:val="both"/>
                          <w:rPr>
                            <w:sz w:val="18"/>
                            <w:szCs w:val="18"/>
                            <w:lang w:val="it-IT"/>
                          </w:rPr>
                        </w:pPr>
                        <w:r w:rsidRPr="004739CB">
                          <w:rPr>
                            <w:sz w:val="18"/>
                            <w:szCs w:val="18"/>
                            <w:lang w:val="it-IT"/>
                          </w:rPr>
                          <w:t>punctul (punctele) de interconectare și perioada (perioadele) tarifară (tarifare) pentru care se propune această abordare;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8"/>
                    <w:gridCol w:w="4840"/>
                  </w:tblGrid>
                  <w:tr w:rsidR="00D146AC" w:rsidRPr="004739CB" w:rsidTr="00B92DDC">
                    <w:tc>
                      <w:tcPr>
                        <w:tcW w:w="260" w:type="dxa"/>
                        <w:shd w:val="clear" w:color="auto" w:fill="auto"/>
                        <w:hideMark/>
                      </w:tcPr>
                      <w:p w:rsidR="00D146AC" w:rsidRPr="004739CB" w:rsidRDefault="00D146AC" w:rsidP="00DA725A">
                        <w:pPr>
                          <w:jc w:val="both"/>
                          <w:rPr>
                            <w:sz w:val="18"/>
                            <w:szCs w:val="18"/>
                          </w:rPr>
                        </w:pPr>
                        <w:r w:rsidRPr="004739CB">
                          <w:rPr>
                            <w:sz w:val="18"/>
                            <w:szCs w:val="18"/>
                          </w:rPr>
                          <w:t>(iv)</w:t>
                        </w:r>
                      </w:p>
                    </w:tc>
                    <w:tc>
                      <w:tcPr>
                        <w:tcW w:w="9036" w:type="dxa"/>
                        <w:shd w:val="clear" w:color="auto" w:fill="auto"/>
                        <w:hideMark/>
                      </w:tcPr>
                      <w:p w:rsidR="00D146AC" w:rsidRPr="004739CB" w:rsidRDefault="00D146AC" w:rsidP="00DA725A">
                        <w:pPr>
                          <w:jc w:val="both"/>
                          <w:rPr>
                            <w:sz w:val="18"/>
                            <w:szCs w:val="18"/>
                          </w:rPr>
                        </w:pPr>
                        <w:r w:rsidRPr="004739CB">
                          <w:rPr>
                            <w:sz w:val="18"/>
                            <w:szCs w:val="18"/>
                          </w:rPr>
                          <w:t>procesul de oferire a capacității într-un punct de interconectare în cazul în care se oferă ambele abordări menționate la articolul 24, și anume cea privind prețul de plătit variabil și cea privind prețul de plătit fix.</w:t>
                        </w:r>
                      </w:p>
                      <w:p w:rsidR="004974FC" w:rsidRPr="004739CB" w:rsidRDefault="004974FC" w:rsidP="00DA725A">
                        <w:pPr>
                          <w:jc w:val="both"/>
                          <w:rPr>
                            <w:sz w:val="18"/>
                            <w:szCs w:val="18"/>
                          </w:rPr>
                        </w:pPr>
                      </w:p>
                      <w:p w:rsidR="004974FC" w:rsidRDefault="004974FC" w:rsidP="00DA725A">
                        <w:pPr>
                          <w:jc w:val="both"/>
                          <w:rPr>
                            <w:sz w:val="18"/>
                            <w:szCs w:val="18"/>
                          </w:rPr>
                        </w:pPr>
                      </w:p>
                      <w:p w:rsidR="004739CB" w:rsidRDefault="004739CB" w:rsidP="00DA725A">
                        <w:pPr>
                          <w:jc w:val="both"/>
                          <w:rPr>
                            <w:sz w:val="18"/>
                            <w:szCs w:val="18"/>
                          </w:rPr>
                        </w:pPr>
                      </w:p>
                      <w:p w:rsidR="004739CB" w:rsidRDefault="004739CB" w:rsidP="00DA725A">
                        <w:pPr>
                          <w:jc w:val="both"/>
                          <w:rPr>
                            <w:sz w:val="18"/>
                            <w:szCs w:val="18"/>
                          </w:rPr>
                        </w:pPr>
                      </w:p>
                      <w:p w:rsidR="004739CB" w:rsidRPr="004739CB" w:rsidRDefault="004739CB" w:rsidP="00DA725A">
                        <w:pPr>
                          <w:jc w:val="both"/>
                          <w:rPr>
                            <w:sz w:val="18"/>
                            <w:szCs w:val="18"/>
                          </w:rPr>
                        </w:pPr>
                      </w:p>
                      <w:p w:rsidR="004974FC" w:rsidRPr="004739CB" w:rsidRDefault="004974FC" w:rsidP="00DA725A">
                        <w:pPr>
                          <w:jc w:val="both"/>
                          <w:rPr>
                            <w:sz w:val="18"/>
                            <w:szCs w:val="18"/>
                          </w:rPr>
                        </w:pPr>
                      </w:p>
                    </w:tc>
                  </w:tr>
                </w:tbl>
                <w:p w:rsidR="00D146AC" w:rsidRPr="004739CB" w:rsidRDefault="00D146AC" w:rsidP="00DA725A">
                  <w:pPr>
                    <w:jc w:val="both"/>
                    <w:rPr>
                      <w:sz w:val="18"/>
                      <w:szCs w:val="18"/>
                    </w:rPr>
                  </w:pPr>
                </w:p>
              </w:tc>
            </w:tr>
          </w:tbl>
          <w:p w:rsidR="00D146AC" w:rsidRDefault="00D146AC" w:rsidP="00DA725A">
            <w:pPr>
              <w:shd w:val="clear" w:color="auto" w:fill="FFFFFF"/>
              <w:jc w:val="both"/>
              <w:rPr>
                <w:sz w:val="18"/>
                <w:szCs w:val="18"/>
                <w:lang w:val="it-IT"/>
              </w:rPr>
            </w:pPr>
            <w:r w:rsidRPr="004739CB">
              <w:rPr>
                <w:sz w:val="18"/>
                <w:szCs w:val="18"/>
                <w:lang w:val="it-IT"/>
              </w:rPr>
              <w:t>(2)   Consultarea finală înainte de decizia menționată la articolul 27 alineatul (4) rămâne deschisă timp de cel puțin două luni. Documentele de consultare pentru oricare dintre consultările menționate la alineatul (1) pot impune ca răspunsurile prezentate ca urmare a consultării să includă o versiune neconfidențială care poate fi publicată.</w:t>
            </w:r>
          </w:p>
          <w:p w:rsidR="004739CB" w:rsidRDefault="004739CB" w:rsidP="00DA725A">
            <w:pPr>
              <w:shd w:val="clear" w:color="auto" w:fill="FFFFFF"/>
              <w:jc w:val="both"/>
              <w:rPr>
                <w:sz w:val="18"/>
                <w:szCs w:val="18"/>
                <w:lang w:val="it-IT"/>
              </w:rPr>
            </w:pPr>
          </w:p>
          <w:p w:rsidR="004739CB" w:rsidRDefault="004739CB" w:rsidP="00DA725A">
            <w:pPr>
              <w:shd w:val="clear" w:color="auto" w:fill="FFFFFF"/>
              <w:jc w:val="both"/>
              <w:rPr>
                <w:sz w:val="18"/>
                <w:szCs w:val="18"/>
                <w:lang w:val="it-IT"/>
              </w:rPr>
            </w:pPr>
          </w:p>
          <w:p w:rsidR="004739CB" w:rsidRPr="004739CB" w:rsidRDefault="004739CB" w:rsidP="00DA725A">
            <w:pPr>
              <w:shd w:val="clear" w:color="auto" w:fill="FFFFFF"/>
              <w:jc w:val="both"/>
              <w:rPr>
                <w:sz w:val="18"/>
                <w:szCs w:val="18"/>
                <w:lang w:val="it-IT"/>
              </w:rPr>
            </w:pPr>
          </w:p>
          <w:p w:rsidR="004974FC" w:rsidRPr="004739CB" w:rsidRDefault="004974FC" w:rsidP="00DA725A">
            <w:pPr>
              <w:shd w:val="clear" w:color="auto" w:fill="FFFFFF"/>
              <w:jc w:val="both"/>
              <w:rPr>
                <w:sz w:val="18"/>
                <w:szCs w:val="18"/>
                <w:lang w:val="it-IT"/>
              </w:rPr>
            </w:pPr>
          </w:p>
          <w:p w:rsidR="00D146AC" w:rsidRPr="004739CB" w:rsidRDefault="00D146AC" w:rsidP="00DA725A">
            <w:pPr>
              <w:shd w:val="clear" w:color="auto" w:fill="FFFFFF"/>
              <w:jc w:val="both"/>
              <w:rPr>
                <w:sz w:val="18"/>
                <w:szCs w:val="18"/>
                <w:lang w:val="it-IT"/>
              </w:rPr>
            </w:pPr>
            <w:r w:rsidRPr="004739CB">
              <w:rPr>
                <w:sz w:val="18"/>
                <w:szCs w:val="18"/>
                <w:lang w:val="it-IT"/>
              </w:rPr>
              <w:t>(3)   În termen de o lună de la încheierea consultării, operatorul (operatorii) de transport și de sistem sau autoritatea națională de reglementare, în funcție de entitatea care publică documentul de consultare menționat la alineatul (1), publică răspunsurile la consultare primite și rezumatul acestora. În măsura posibilităților și pentru a spori eficacitatea procesului de consultare, rezumatul ar trebui furnizat în limba engleză.</w:t>
            </w:r>
          </w:p>
          <w:p w:rsidR="004974FC" w:rsidRDefault="004974FC" w:rsidP="00DA725A">
            <w:pPr>
              <w:shd w:val="clear" w:color="auto" w:fill="FFFFFF"/>
              <w:jc w:val="both"/>
              <w:rPr>
                <w:sz w:val="18"/>
                <w:szCs w:val="18"/>
                <w:lang w:val="it-IT"/>
              </w:rPr>
            </w:pPr>
          </w:p>
          <w:p w:rsidR="004739CB" w:rsidRDefault="004739CB" w:rsidP="00DA725A">
            <w:pPr>
              <w:shd w:val="clear" w:color="auto" w:fill="FFFFFF"/>
              <w:jc w:val="both"/>
              <w:rPr>
                <w:sz w:val="18"/>
                <w:szCs w:val="18"/>
                <w:lang w:val="it-IT"/>
              </w:rPr>
            </w:pPr>
          </w:p>
          <w:p w:rsidR="00D146AC" w:rsidRPr="004739CB" w:rsidRDefault="00D146AC" w:rsidP="00DA725A">
            <w:pPr>
              <w:shd w:val="clear" w:color="auto" w:fill="FFFFFF"/>
              <w:jc w:val="both"/>
              <w:rPr>
                <w:sz w:val="18"/>
                <w:szCs w:val="18"/>
                <w:lang w:val="it-IT"/>
              </w:rPr>
            </w:pPr>
            <w:r w:rsidRPr="004739CB">
              <w:rPr>
                <w:sz w:val="18"/>
                <w:szCs w:val="18"/>
                <w:lang w:val="it-IT"/>
              </w:rPr>
              <w:t>(4)   Consultările periodice ulterioare se desfășoară în conformitate cu articolul 27 alineatul (5).</w:t>
            </w:r>
          </w:p>
          <w:p w:rsidR="004974FC" w:rsidRPr="004739CB" w:rsidRDefault="004974FC" w:rsidP="00DA725A">
            <w:pPr>
              <w:shd w:val="clear" w:color="auto" w:fill="FFFFFF"/>
              <w:jc w:val="both"/>
              <w:rPr>
                <w:sz w:val="18"/>
                <w:szCs w:val="18"/>
                <w:lang w:val="it-IT"/>
              </w:rPr>
            </w:pPr>
          </w:p>
          <w:p w:rsidR="00D146AC" w:rsidRPr="004739CB" w:rsidRDefault="00D146AC" w:rsidP="00DA725A">
            <w:pPr>
              <w:shd w:val="clear" w:color="auto" w:fill="FFFFFF"/>
              <w:jc w:val="both"/>
              <w:rPr>
                <w:sz w:val="18"/>
                <w:szCs w:val="18"/>
                <w:lang w:val="it-IT"/>
              </w:rPr>
            </w:pPr>
            <w:r w:rsidRPr="004739CB">
              <w:rPr>
                <w:sz w:val="18"/>
                <w:szCs w:val="18"/>
                <w:lang w:val="it-IT"/>
              </w:rPr>
              <w:lastRenderedPageBreak/>
              <w:t>(5)   După consultarea Rețelei europene a operatorilor de transport și de sistem de gaze naturale (denumită în continuare „ENTSOG”), Agenția elaborează un model al documentului de consultare menționat la alineatul (1). Modelul se pune la dispoziția autorităților naționale de reglementare și a operatorilor de transport și de sistem înainte de 5 iulie 2017.</w:t>
            </w:r>
          </w:p>
          <w:p w:rsidR="00D146AC" w:rsidRPr="004739CB" w:rsidRDefault="00D146AC" w:rsidP="00DA725A">
            <w:pPr>
              <w:shd w:val="clear" w:color="auto" w:fill="FFFFFF"/>
              <w:jc w:val="both"/>
              <w:rPr>
                <w:b/>
                <w:bCs/>
                <w:sz w:val="18"/>
                <w:szCs w:val="18"/>
                <w:lang w:val="it-IT"/>
              </w:rPr>
            </w:pPr>
          </w:p>
        </w:tc>
        <w:tc>
          <w:tcPr>
            <w:tcW w:w="4962" w:type="dxa"/>
          </w:tcPr>
          <w:p w:rsidR="00F93CB1" w:rsidRPr="004739CB" w:rsidRDefault="00F93CB1" w:rsidP="00F93CB1">
            <w:pPr>
              <w:shd w:val="clear" w:color="auto" w:fill="FFFFFF"/>
              <w:jc w:val="center"/>
              <w:rPr>
                <w:bCs/>
                <w:sz w:val="18"/>
                <w:szCs w:val="18"/>
                <w:lang w:val="ro-RO"/>
              </w:rPr>
            </w:pPr>
            <w:r w:rsidRPr="004739CB">
              <w:rPr>
                <w:b/>
                <w:bCs/>
                <w:sz w:val="18"/>
                <w:szCs w:val="18"/>
                <w:lang w:val="ro-RO"/>
              </w:rPr>
              <w:lastRenderedPageBreak/>
              <w:t>Capitolul VII</w:t>
            </w:r>
          </w:p>
          <w:p w:rsidR="00F93CB1" w:rsidRPr="004739CB" w:rsidRDefault="00F93CB1" w:rsidP="00F93CB1">
            <w:pPr>
              <w:shd w:val="clear" w:color="auto" w:fill="FFFFFF"/>
              <w:jc w:val="center"/>
              <w:rPr>
                <w:bCs/>
                <w:sz w:val="18"/>
                <w:szCs w:val="18"/>
                <w:lang w:val="ro-RO"/>
              </w:rPr>
            </w:pPr>
            <w:r w:rsidRPr="004739CB">
              <w:rPr>
                <w:b/>
                <w:bCs/>
                <w:sz w:val="18"/>
                <w:szCs w:val="18"/>
                <w:lang w:val="ro-RO"/>
              </w:rPr>
              <w:t>CERINŢE PRIVIND CONSULTAREA</w:t>
            </w:r>
          </w:p>
          <w:p w:rsidR="00F93CB1" w:rsidRPr="004739CB" w:rsidRDefault="00F93CB1" w:rsidP="00F93CB1">
            <w:pPr>
              <w:shd w:val="clear" w:color="auto" w:fill="FFFFFF"/>
              <w:jc w:val="center"/>
              <w:rPr>
                <w:bCs/>
                <w:sz w:val="18"/>
                <w:szCs w:val="18"/>
                <w:lang w:val="ro-RO"/>
              </w:rPr>
            </w:pPr>
          </w:p>
          <w:p w:rsidR="00F93CB1" w:rsidRPr="004739CB" w:rsidRDefault="00F93CB1" w:rsidP="00F93CB1">
            <w:pPr>
              <w:shd w:val="clear" w:color="auto" w:fill="FFFFFF"/>
              <w:jc w:val="center"/>
              <w:rPr>
                <w:bCs/>
                <w:sz w:val="18"/>
                <w:szCs w:val="18"/>
                <w:lang w:val="ro-RO"/>
              </w:rPr>
            </w:pPr>
            <w:r w:rsidRPr="004739CB">
              <w:rPr>
                <w:b/>
                <w:bCs/>
                <w:sz w:val="18"/>
                <w:szCs w:val="18"/>
                <w:lang w:val="ro-RO"/>
              </w:rPr>
              <w:t>Secţiunea 1</w:t>
            </w:r>
          </w:p>
          <w:p w:rsidR="00F93CB1" w:rsidRPr="004739CB" w:rsidRDefault="00F93CB1" w:rsidP="00F93CB1">
            <w:pPr>
              <w:shd w:val="clear" w:color="auto" w:fill="FFFFFF"/>
              <w:jc w:val="center"/>
              <w:rPr>
                <w:bCs/>
                <w:sz w:val="18"/>
                <w:szCs w:val="18"/>
                <w:lang w:val="ro-RO"/>
              </w:rPr>
            </w:pPr>
            <w:r w:rsidRPr="004739CB">
              <w:rPr>
                <w:b/>
                <w:bCs/>
                <w:sz w:val="18"/>
                <w:szCs w:val="18"/>
                <w:lang w:val="ro-RO"/>
              </w:rPr>
              <w:t>Consultarea periodică</w:t>
            </w:r>
          </w:p>
          <w:p w:rsidR="00F93CB1" w:rsidRPr="004739CB" w:rsidRDefault="00F93CB1" w:rsidP="00F93CB1">
            <w:pPr>
              <w:shd w:val="clear" w:color="auto" w:fill="FFFFFF"/>
              <w:jc w:val="both"/>
              <w:rPr>
                <w:bCs/>
                <w:sz w:val="18"/>
                <w:szCs w:val="18"/>
                <w:lang w:val="ro-RO"/>
              </w:rPr>
            </w:pPr>
            <w:r w:rsidRPr="004739CB">
              <w:rPr>
                <w:b/>
                <w:bCs/>
                <w:sz w:val="18"/>
                <w:szCs w:val="18"/>
                <w:lang w:val="ro-RO"/>
              </w:rPr>
              <w:t>394.</w:t>
            </w:r>
            <w:r w:rsidRPr="004739CB">
              <w:rPr>
                <w:bCs/>
                <w:sz w:val="18"/>
                <w:szCs w:val="18"/>
                <w:lang w:val="ro-RO"/>
              </w:rPr>
              <w:t xml:space="preserve"> Agenţia sau OST în cazul în care este desemnat de Agenţie, efectuează una sau mai multe consultări. În măsura posibilităţilor şi pentru a spori eficacitatea procesului de consultare, documentul de consultare se publică în limba română şi, după caz, în limba engleză. Consultarea finală înainte de Hotărârea menţionată la pct.402 respectă cerinţele stabilite în Secţiunea 1 şi Secţiunea 2 din prezentul Capitol şi include următoarele informaţii:</w:t>
            </w:r>
          </w:p>
          <w:p w:rsidR="00F93CB1" w:rsidRPr="004739CB" w:rsidRDefault="00690839"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1) descrierea metodei propuse de calculare a preţurilor de referinţă, precum şi a următoarelor elemente:</w:t>
            </w:r>
          </w:p>
          <w:p w:rsidR="00F93CB1" w:rsidRPr="004739CB" w:rsidRDefault="00F93CB1" w:rsidP="00F93CB1">
            <w:pPr>
              <w:shd w:val="clear" w:color="auto" w:fill="FFFFFF"/>
              <w:jc w:val="both"/>
              <w:rPr>
                <w:bCs/>
                <w:sz w:val="18"/>
                <w:szCs w:val="18"/>
                <w:lang w:val="ro-RO"/>
              </w:rPr>
            </w:pPr>
            <w:r w:rsidRPr="004739CB">
              <w:rPr>
                <w:bCs/>
                <w:sz w:val="18"/>
                <w:szCs w:val="18"/>
                <w:lang w:val="ro-RO"/>
              </w:rPr>
              <w:t>a) informaţiile prevăzute la pct.409, subpunctul 1), inclusiv:</w:t>
            </w:r>
          </w:p>
          <w:p w:rsidR="00F93CB1" w:rsidRPr="004739CB" w:rsidRDefault="00F93CB1" w:rsidP="00F93CB1">
            <w:pPr>
              <w:shd w:val="clear" w:color="auto" w:fill="FFFFFF"/>
              <w:jc w:val="both"/>
              <w:rPr>
                <w:bCs/>
                <w:sz w:val="18"/>
                <w:szCs w:val="18"/>
                <w:lang w:val="ro-RO"/>
              </w:rPr>
            </w:pPr>
            <w:r w:rsidRPr="004739CB">
              <w:rPr>
                <w:bCs/>
                <w:sz w:val="18"/>
                <w:szCs w:val="18"/>
                <w:lang w:val="ro-RO"/>
              </w:rPr>
              <w:t>(1) justificarea parametrilor utilizaţi ce ţin de caracteristicile tehnice ale sistemului;</w:t>
            </w:r>
          </w:p>
          <w:p w:rsidR="00F93CB1" w:rsidRPr="004739CB" w:rsidRDefault="00F93CB1" w:rsidP="00F93CB1">
            <w:pPr>
              <w:shd w:val="clear" w:color="auto" w:fill="FFFFFF"/>
              <w:jc w:val="both"/>
              <w:rPr>
                <w:bCs/>
                <w:sz w:val="18"/>
                <w:szCs w:val="18"/>
                <w:lang w:val="ro-RO"/>
              </w:rPr>
            </w:pPr>
            <w:r w:rsidRPr="004739CB">
              <w:rPr>
                <w:bCs/>
                <w:sz w:val="18"/>
                <w:szCs w:val="18"/>
                <w:lang w:val="ro-RO"/>
              </w:rPr>
              <w:t>(2) informaţii privind valorile acestor parametri şi ipotezele aplicate;</w:t>
            </w:r>
          </w:p>
          <w:p w:rsidR="00F93CB1" w:rsidRPr="004739CB" w:rsidRDefault="00F93CB1" w:rsidP="00F93CB1">
            <w:pPr>
              <w:shd w:val="clear" w:color="auto" w:fill="FFFFFF"/>
              <w:jc w:val="both"/>
              <w:rPr>
                <w:bCs/>
                <w:sz w:val="18"/>
                <w:szCs w:val="18"/>
                <w:lang w:val="ro-RO"/>
              </w:rPr>
            </w:pPr>
            <w:r w:rsidRPr="004739CB">
              <w:rPr>
                <w:bCs/>
                <w:sz w:val="18"/>
                <w:szCs w:val="18"/>
                <w:lang w:val="ro-RO"/>
              </w:rPr>
              <w:t>b) valoarea ajustărilor propuse pentru tarifele pentru serviciul de transport al gazelor naturale bazate pe capacitate, în temeiul pct.341-342;</w:t>
            </w:r>
          </w:p>
          <w:p w:rsidR="00F93CB1" w:rsidRPr="004739CB" w:rsidRDefault="00F93CB1" w:rsidP="00F93CB1">
            <w:pPr>
              <w:shd w:val="clear" w:color="auto" w:fill="FFFFFF"/>
              <w:jc w:val="both"/>
              <w:rPr>
                <w:bCs/>
                <w:sz w:val="18"/>
                <w:szCs w:val="18"/>
                <w:lang w:val="ro-RO"/>
              </w:rPr>
            </w:pPr>
            <w:r w:rsidRPr="004739CB">
              <w:rPr>
                <w:bCs/>
                <w:sz w:val="18"/>
                <w:szCs w:val="18"/>
                <w:lang w:val="ro-RO"/>
              </w:rPr>
              <w:t>c) preţurile de referinţă orientative care fac obiectul consultării;</w:t>
            </w:r>
          </w:p>
          <w:p w:rsidR="00F93CB1" w:rsidRPr="004739CB" w:rsidRDefault="00F93CB1" w:rsidP="00F93CB1">
            <w:pPr>
              <w:shd w:val="clear" w:color="auto" w:fill="FFFFFF"/>
              <w:jc w:val="both"/>
              <w:rPr>
                <w:bCs/>
                <w:sz w:val="18"/>
                <w:szCs w:val="18"/>
                <w:lang w:val="ro-RO"/>
              </w:rPr>
            </w:pPr>
            <w:r w:rsidRPr="004739CB">
              <w:rPr>
                <w:bCs/>
                <w:sz w:val="18"/>
                <w:szCs w:val="18"/>
                <w:lang w:val="ro-RO"/>
              </w:rPr>
              <w:t>d) componentele, rezultatele pentru evaluarea alocării costurilor prevăzute la pct.327-332;</w:t>
            </w:r>
          </w:p>
          <w:p w:rsidR="00F93CB1" w:rsidRPr="004739CB" w:rsidRDefault="00F93CB1" w:rsidP="00F93CB1">
            <w:pPr>
              <w:shd w:val="clear" w:color="auto" w:fill="FFFFFF"/>
              <w:jc w:val="both"/>
              <w:rPr>
                <w:bCs/>
                <w:sz w:val="18"/>
                <w:szCs w:val="18"/>
                <w:lang w:val="ro-RO"/>
              </w:rPr>
            </w:pPr>
            <w:r w:rsidRPr="004739CB">
              <w:rPr>
                <w:bCs/>
                <w:sz w:val="18"/>
                <w:szCs w:val="18"/>
                <w:lang w:val="ro-RO"/>
              </w:rPr>
              <w:t>e) evaluarea metodei propuse de calculare a preţurilor de referinţă în conformitate cu pct.338;</w:t>
            </w:r>
          </w:p>
          <w:p w:rsidR="00F93CB1" w:rsidRPr="004739CB" w:rsidRDefault="00F93CB1" w:rsidP="00F93CB1">
            <w:pPr>
              <w:shd w:val="clear" w:color="auto" w:fill="FFFFFF"/>
              <w:jc w:val="both"/>
              <w:rPr>
                <w:bCs/>
                <w:sz w:val="18"/>
                <w:szCs w:val="18"/>
                <w:lang w:val="ro-RO"/>
              </w:rPr>
            </w:pPr>
            <w:r w:rsidRPr="004739CB">
              <w:rPr>
                <w:bCs/>
                <w:sz w:val="18"/>
                <w:szCs w:val="18"/>
                <w:lang w:val="ro-RO"/>
              </w:rPr>
              <w:t>f) dacă metoda de calculare a preţurilor de referinţă propusă este alta decât metoda de calculare a preţurilor în funcţie de distanţa ponderată cu capacitatea, prezentată la pct.338-340, comparaţia între cele 2 metode, şi cu informaţiile prevăzute la lit.c);</w:t>
            </w:r>
          </w:p>
          <w:p w:rsidR="00F93CB1" w:rsidRPr="004739CB" w:rsidRDefault="00690839"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2) informaţiile prevăzute la pct.409 subpunctele 1), 4), 5);</w:t>
            </w:r>
          </w:p>
          <w:p w:rsidR="00F93CB1" w:rsidRPr="004739CB" w:rsidRDefault="00690839"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3) informaţii cu privire la tarifele pentru serviciul de transport al gazelor naturale şi şi la alte tarife decât cele pentru prestarea serviciului de transport al gazelor naturale:</w:t>
            </w:r>
          </w:p>
          <w:p w:rsidR="00F93CB1" w:rsidRPr="004739CB" w:rsidRDefault="00F93CB1" w:rsidP="00F93CB1">
            <w:pPr>
              <w:shd w:val="clear" w:color="auto" w:fill="FFFFFF"/>
              <w:jc w:val="both"/>
              <w:rPr>
                <w:bCs/>
                <w:sz w:val="18"/>
                <w:szCs w:val="18"/>
                <w:lang w:val="ro-RO"/>
              </w:rPr>
            </w:pPr>
            <w:r w:rsidRPr="004739CB">
              <w:rPr>
                <w:bCs/>
                <w:sz w:val="18"/>
                <w:szCs w:val="18"/>
                <w:lang w:val="ro-RO"/>
              </w:rPr>
              <w:t xml:space="preserve">a) dacă sunt propuse tarifele volumetrice pentru serviciul de transport, conform pct.325: </w:t>
            </w:r>
          </w:p>
          <w:p w:rsidR="00F93CB1" w:rsidRPr="004739CB" w:rsidRDefault="00F93CB1" w:rsidP="00F93CB1">
            <w:pPr>
              <w:shd w:val="clear" w:color="auto" w:fill="FFFFFF"/>
              <w:jc w:val="both"/>
              <w:rPr>
                <w:bCs/>
                <w:sz w:val="18"/>
                <w:szCs w:val="18"/>
                <w:lang w:val="ro-RO"/>
              </w:rPr>
            </w:pPr>
            <w:r w:rsidRPr="004739CB">
              <w:rPr>
                <w:bCs/>
                <w:sz w:val="18"/>
                <w:szCs w:val="18"/>
                <w:lang w:val="ro-RO"/>
              </w:rPr>
              <w:t>(1) modul în care sunt calculate tarifele;</w:t>
            </w:r>
          </w:p>
          <w:p w:rsidR="00F93CB1" w:rsidRPr="004739CB" w:rsidRDefault="00F93CB1" w:rsidP="00F93CB1">
            <w:pPr>
              <w:shd w:val="clear" w:color="auto" w:fill="FFFFFF"/>
              <w:jc w:val="both"/>
              <w:rPr>
                <w:bCs/>
                <w:sz w:val="18"/>
                <w:szCs w:val="18"/>
                <w:lang w:val="ro-RO"/>
              </w:rPr>
            </w:pPr>
            <w:r w:rsidRPr="004739CB">
              <w:rPr>
                <w:bCs/>
                <w:sz w:val="18"/>
                <w:szCs w:val="18"/>
                <w:lang w:val="ro-RO"/>
              </w:rPr>
              <w:t>(2) proporţia din venitul reglementat sau din venitul-ţintă care se preconizează a fi fi recuperată din aceste tarife;</w:t>
            </w:r>
          </w:p>
          <w:p w:rsidR="00F93CB1" w:rsidRPr="004739CB" w:rsidRDefault="00F93CB1" w:rsidP="00F93CB1">
            <w:pPr>
              <w:shd w:val="clear" w:color="auto" w:fill="FFFFFF"/>
              <w:jc w:val="both"/>
              <w:rPr>
                <w:bCs/>
                <w:sz w:val="18"/>
                <w:szCs w:val="18"/>
                <w:lang w:val="ro-RO"/>
              </w:rPr>
            </w:pPr>
            <w:r w:rsidRPr="004739CB">
              <w:rPr>
                <w:bCs/>
                <w:sz w:val="18"/>
                <w:szCs w:val="18"/>
                <w:lang w:val="ro-RO"/>
              </w:rPr>
              <w:t>(3) tarifele pentru serviciul de transport volumetrice estimative;</w:t>
            </w:r>
          </w:p>
          <w:p w:rsidR="00F93CB1" w:rsidRPr="004739CB" w:rsidRDefault="00F93CB1" w:rsidP="00F93CB1">
            <w:pPr>
              <w:shd w:val="clear" w:color="auto" w:fill="FFFFFF"/>
              <w:jc w:val="both"/>
              <w:rPr>
                <w:bCs/>
                <w:sz w:val="18"/>
                <w:szCs w:val="18"/>
                <w:lang w:val="ro-RO"/>
              </w:rPr>
            </w:pPr>
            <w:r w:rsidRPr="004739CB">
              <w:rPr>
                <w:bCs/>
                <w:sz w:val="18"/>
                <w:szCs w:val="18"/>
                <w:lang w:val="ro-RO"/>
              </w:rPr>
              <w:t>b) dacă utilizatorilor de sistem le sunt propuse alte servicii decât cele de transport al gazelor naturale:</w:t>
            </w:r>
          </w:p>
          <w:p w:rsidR="00F93CB1" w:rsidRPr="004739CB" w:rsidRDefault="00F93CB1" w:rsidP="00F93CB1">
            <w:pPr>
              <w:shd w:val="clear" w:color="auto" w:fill="FFFFFF"/>
              <w:jc w:val="both"/>
              <w:rPr>
                <w:bCs/>
                <w:sz w:val="18"/>
                <w:szCs w:val="18"/>
                <w:lang w:val="ro-RO"/>
              </w:rPr>
            </w:pPr>
            <w:r w:rsidRPr="004739CB">
              <w:rPr>
                <w:bCs/>
                <w:sz w:val="18"/>
                <w:szCs w:val="18"/>
                <w:lang w:val="ro-RO"/>
              </w:rPr>
              <w:t>(1) metoda de stabilire a tarifelor pentru alte servicii decât cele de transport al gazelor naturale;</w:t>
            </w:r>
          </w:p>
          <w:p w:rsidR="00F93CB1" w:rsidRPr="004739CB" w:rsidRDefault="00F93CB1" w:rsidP="00F93CB1">
            <w:pPr>
              <w:shd w:val="clear" w:color="auto" w:fill="FFFFFF"/>
              <w:jc w:val="both"/>
              <w:rPr>
                <w:bCs/>
                <w:sz w:val="18"/>
                <w:szCs w:val="18"/>
                <w:lang w:val="ro-RO"/>
              </w:rPr>
            </w:pPr>
            <w:r w:rsidRPr="004739CB">
              <w:rPr>
                <w:bCs/>
                <w:sz w:val="18"/>
                <w:szCs w:val="18"/>
                <w:lang w:val="ro-RO"/>
              </w:rPr>
              <w:lastRenderedPageBreak/>
              <w:t>(2) proporţia din venitul reglementat sau din venitul-ţintă care se preconizează că va fi recuperată din aceste tarife;</w:t>
            </w:r>
          </w:p>
          <w:p w:rsidR="00F93CB1" w:rsidRPr="004739CB" w:rsidRDefault="00F93CB1" w:rsidP="00F93CB1">
            <w:pPr>
              <w:shd w:val="clear" w:color="auto" w:fill="FFFFFF"/>
              <w:jc w:val="both"/>
              <w:rPr>
                <w:bCs/>
                <w:sz w:val="18"/>
                <w:szCs w:val="18"/>
                <w:lang w:val="ro-RO"/>
              </w:rPr>
            </w:pPr>
            <w:r w:rsidRPr="004739CB">
              <w:rPr>
                <w:bCs/>
                <w:sz w:val="18"/>
                <w:szCs w:val="18"/>
                <w:lang w:val="ro-RO"/>
              </w:rPr>
              <w:t>(3) modul în care venitul conex aferent altor servicii decât cele de transport al gazelor naturale este reconciliat în conformitate cu pct.373;</w:t>
            </w:r>
          </w:p>
          <w:p w:rsidR="00F93CB1" w:rsidRPr="004739CB" w:rsidRDefault="00F93CB1" w:rsidP="00F93CB1">
            <w:pPr>
              <w:shd w:val="clear" w:color="auto" w:fill="FFFFFF"/>
              <w:jc w:val="both"/>
              <w:rPr>
                <w:bCs/>
                <w:sz w:val="18"/>
                <w:szCs w:val="18"/>
                <w:lang w:val="ro-RO"/>
              </w:rPr>
            </w:pPr>
            <w:r w:rsidRPr="004739CB">
              <w:rPr>
                <w:bCs/>
                <w:sz w:val="18"/>
                <w:szCs w:val="18"/>
                <w:lang w:val="ro-RO"/>
              </w:rPr>
              <w:t>(4) tarifele estimative, pentru alte servicii decât cele de transport al gazelor naturale prestate de OST utilizatorilor de sistem;</w:t>
            </w:r>
          </w:p>
          <w:p w:rsidR="00F93CB1" w:rsidRPr="004739CB" w:rsidRDefault="00B01770"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4) informaţiile prevăzute la pct.410;</w:t>
            </w:r>
          </w:p>
          <w:p w:rsidR="00F93CB1" w:rsidRPr="004739CB" w:rsidRDefault="00B01770"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5) dacă abordarea privind preţul fix menţionată la pct.391, subpunctul 2) este considerată a fi oferită în cadrul unui regim tarifar cu plafonarea preţului pentru capacitatea existentă:</w:t>
            </w:r>
          </w:p>
          <w:p w:rsidR="00F93CB1" w:rsidRPr="004739CB" w:rsidRDefault="00F93CB1" w:rsidP="00F93CB1">
            <w:pPr>
              <w:shd w:val="clear" w:color="auto" w:fill="FFFFFF"/>
              <w:jc w:val="both"/>
              <w:rPr>
                <w:bCs/>
                <w:sz w:val="18"/>
                <w:szCs w:val="18"/>
                <w:lang w:val="ro-RO"/>
              </w:rPr>
            </w:pPr>
            <w:r w:rsidRPr="004739CB">
              <w:rPr>
                <w:bCs/>
                <w:sz w:val="18"/>
                <w:szCs w:val="18"/>
                <w:lang w:val="ro-RO"/>
              </w:rPr>
              <w:t>a) indicele propus;</w:t>
            </w:r>
          </w:p>
          <w:p w:rsidR="00F93CB1" w:rsidRPr="004739CB" w:rsidRDefault="00F93CB1" w:rsidP="00F93CB1">
            <w:pPr>
              <w:shd w:val="clear" w:color="auto" w:fill="FFFFFF"/>
              <w:jc w:val="both"/>
              <w:rPr>
                <w:bCs/>
                <w:sz w:val="18"/>
                <w:szCs w:val="18"/>
                <w:lang w:val="ro-RO"/>
              </w:rPr>
            </w:pPr>
            <w:r w:rsidRPr="004739CB">
              <w:rPr>
                <w:bCs/>
                <w:sz w:val="18"/>
                <w:szCs w:val="18"/>
                <w:lang w:val="ro-RO"/>
              </w:rPr>
              <w:t>b) calculul propus şi modul de utilizare a venitului rezultat din prima de risc;</w:t>
            </w:r>
          </w:p>
          <w:p w:rsidR="00F93CB1" w:rsidRPr="004739CB" w:rsidRDefault="00F93CB1" w:rsidP="00F93CB1">
            <w:pPr>
              <w:shd w:val="clear" w:color="auto" w:fill="FFFFFF"/>
              <w:jc w:val="both"/>
              <w:rPr>
                <w:bCs/>
                <w:sz w:val="18"/>
                <w:szCs w:val="18"/>
                <w:lang w:val="ro-RO"/>
              </w:rPr>
            </w:pPr>
            <w:r w:rsidRPr="004739CB">
              <w:rPr>
                <w:bCs/>
                <w:sz w:val="18"/>
                <w:szCs w:val="18"/>
                <w:lang w:val="ro-RO"/>
              </w:rPr>
              <w:t>c) punctul (punctele) de interconectare şi perioada (perioadele) tarifară (tarifare) pentru care se propune această abordare;</w:t>
            </w:r>
          </w:p>
          <w:p w:rsidR="00F93CB1" w:rsidRPr="004739CB" w:rsidRDefault="00F93CB1" w:rsidP="00F93CB1">
            <w:pPr>
              <w:shd w:val="clear" w:color="auto" w:fill="FFFFFF"/>
              <w:jc w:val="both"/>
              <w:rPr>
                <w:bCs/>
                <w:sz w:val="18"/>
                <w:szCs w:val="18"/>
                <w:lang w:val="ro-RO"/>
              </w:rPr>
            </w:pPr>
            <w:r w:rsidRPr="004739CB">
              <w:rPr>
                <w:bCs/>
                <w:sz w:val="18"/>
                <w:szCs w:val="18"/>
                <w:lang w:val="ro-RO"/>
              </w:rPr>
              <w:t>d) procesul de oferire a capacităţii într-un punct de interconectare în cazul în care se oferă ambele abordări menţionate la pct.392, şi anume cea privind preţul variabil şi cea privind preţul fix.</w:t>
            </w:r>
          </w:p>
          <w:p w:rsidR="00212DDA" w:rsidRPr="004739CB" w:rsidRDefault="00F93CB1" w:rsidP="004974FC">
            <w:pPr>
              <w:shd w:val="clear" w:color="auto" w:fill="FFFFFF"/>
              <w:jc w:val="both"/>
              <w:rPr>
                <w:bCs/>
                <w:sz w:val="18"/>
                <w:szCs w:val="18"/>
                <w:lang w:val="ro-RO"/>
              </w:rPr>
            </w:pPr>
            <w:r w:rsidRPr="004739CB">
              <w:rPr>
                <w:bCs/>
                <w:sz w:val="18"/>
                <w:szCs w:val="18"/>
                <w:lang w:val="ro-RO"/>
              </w:rPr>
              <w:t> </w:t>
            </w:r>
          </w:p>
          <w:p w:rsidR="004974FC" w:rsidRPr="004739CB" w:rsidRDefault="004974FC" w:rsidP="004974FC">
            <w:pPr>
              <w:shd w:val="clear" w:color="auto" w:fill="FFFFFF"/>
              <w:jc w:val="both"/>
              <w:rPr>
                <w:bCs/>
                <w:sz w:val="18"/>
                <w:szCs w:val="18"/>
                <w:lang w:val="ro-RO"/>
              </w:rPr>
            </w:pPr>
          </w:p>
          <w:p w:rsidR="004974FC" w:rsidRPr="004739CB" w:rsidRDefault="004974FC" w:rsidP="004974FC">
            <w:pPr>
              <w:shd w:val="clear" w:color="auto" w:fill="FFFFFF"/>
              <w:jc w:val="both"/>
              <w:rPr>
                <w:bCs/>
                <w:sz w:val="18"/>
                <w:szCs w:val="18"/>
                <w:lang w:val="ro-RO"/>
              </w:rPr>
            </w:pPr>
          </w:p>
          <w:p w:rsidR="004974FC" w:rsidRDefault="004974FC" w:rsidP="004974FC">
            <w:pPr>
              <w:shd w:val="clear" w:color="auto" w:fill="FFFFFF"/>
              <w:jc w:val="both"/>
              <w:rPr>
                <w:bCs/>
                <w:sz w:val="18"/>
                <w:szCs w:val="18"/>
                <w:lang w:val="ro-RO"/>
              </w:rPr>
            </w:pPr>
          </w:p>
          <w:p w:rsidR="004739CB" w:rsidRDefault="004739CB" w:rsidP="004974FC">
            <w:pPr>
              <w:shd w:val="clear" w:color="auto" w:fill="FFFFFF"/>
              <w:jc w:val="both"/>
              <w:rPr>
                <w:bCs/>
                <w:sz w:val="18"/>
                <w:szCs w:val="18"/>
                <w:lang w:val="ro-RO"/>
              </w:rPr>
            </w:pPr>
          </w:p>
          <w:p w:rsidR="004739CB" w:rsidRPr="004739CB" w:rsidRDefault="004739CB" w:rsidP="004974FC">
            <w:pPr>
              <w:shd w:val="clear" w:color="auto" w:fill="FFFFFF"/>
              <w:jc w:val="both"/>
              <w:rPr>
                <w:bCs/>
                <w:sz w:val="18"/>
                <w:szCs w:val="18"/>
                <w:lang w:val="ro-RO"/>
              </w:rPr>
            </w:pPr>
          </w:p>
          <w:p w:rsidR="004974FC" w:rsidRPr="004739CB" w:rsidRDefault="004974FC" w:rsidP="004974FC">
            <w:pPr>
              <w:shd w:val="clear" w:color="auto" w:fill="FFFFFF"/>
              <w:jc w:val="both"/>
              <w:rPr>
                <w:b/>
                <w:bCs/>
                <w:sz w:val="18"/>
                <w:szCs w:val="18"/>
                <w:lang w:val="ro-RO"/>
              </w:rPr>
            </w:pPr>
          </w:p>
          <w:p w:rsidR="00F93CB1" w:rsidRPr="004739CB" w:rsidRDefault="00F93CB1" w:rsidP="00F93CB1">
            <w:pPr>
              <w:shd w:val="clear" w:color="auto" w:fill="FFFFFF"/>
              <w:jc w:val="both"/>
              <w:rPr>
                <w:bCs/>
                <w:sz w:val="18"/>
                <w:szCs w:val="18"/>
                <w:lang w:val="ro-RO"/>
              </w:rPr>
            </w:pPr>
            <w:r w:rsidRPr="004739CB">
              <w:rPr>
                <w:b/>
                <w:bCs/>
                <w:sz w:val="18"/>
                <w:szCs w:val="18"/>
                <w:lang w:val="ro-RO"/>
              </w:rPr>
              <w:t>395.</w:t>
            </w:r>
            <w:r w:rsidRPr="004739CB">
              <w:rPr>
                <w:bCs/>
                <w:sz w:val="18"/>
                <w:szCs w:val="18"/>
                <w:lang w:val="ro-RO"/>
              </w:rPr>
              <w:t xml:space="preserve"> Consultarea finală înainte de Hotărârea menţionată la pct.402 are loc timp de cel puţin 2 luni. Documentele de consultare pentru oricare dintre consultările menţionate la pct.394 pot impune ca răspunsurile prezentate urmare a consultării să includă o versiune neconfidenţială care poate fi publicată.</w:t>
            </w:r>
          </w:p>
          <w:p w:rsidR="004974FC" w:rsidRDefault="004974FC"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4739CB" w:rsidRPr="004739CB" w:rsidRDefault="004739CB" w:rsidP="00F93CB1">
            <w:pPr>
              <w:shd w:val="clear" w:color="auto" w:fill="FFFFFF"/>
              <w:jc w:val="both"/>
              <w:rPr>
                <w:bCs/>
                <w:sz w:val="18"/>
                <w:szCs w:val="18"/>
                <w:lang w:val="ro-RO"/>
              </w:rPr>
            </w:pPr>
          </w:p>
          <w:p w:rsidR="00F93CB1" w:rsidRDefault="00F93CB1" w:rsidP="00F93CB1">
            <w:pPr>
              <w:shd w:val="clear" w:color="auto" w:fill="FFFFFF"/>
              <w:jc w:val="both"/>
              <w:rPr>
                <w:bCs/>
                <w:sz w:val="18"/>
                <w:szCs w:val="18"/>
                <w:lang w:val="ro-RO"/>
              </w:rPr>
            </w:pPr>
            <w:r w:rsidRPr="004739CB">
              <w:rPr>
                <w:b/>
                <w:bCs/>
                <w:sz w:val="18"/>
                <w:szCs w:val="18"/>
                <w:lang w:val="ro-RO"/>
              </w:rPr>
              <w:t>396.</w:t>
            </w:r>
            <w:r w:rsidRPr="004739CB">
              <w:rPr>
                <w:bCs/>
                <w:sz w:val="18"/>
                <w:szCs w:val="18"/>
                <w:lang w:val="ro-RO"/>
              </w:rPr>
              <w:t xml:space="preserve"> În termen de o lună de la încheierea consultării, OST sau Agenţia, în funcţie de entitatea care publică documentul de consultare menţionat la pct.395, publică rezultatele consultării şi rezumatul acestora. În măsura posibilităţilor şi pentru a spori eficacitatea procesului de consultare, rezumatul trebuie realizat în limbile română şi engleză.</w:t>
            </w:r>
          </w:p>
          <w:p w:rsidR="004739CB" w:rsidRDefault="004739CB"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F93CB1" w:rsidRPr="004739CB" w:rsidRDefault="00F93CB1" w:rsidP="00F93CB1">
            <w:pPr>
              <w:shd w:val="clear" w:color="auto" w:fill="FFFFFF"/>
              <w:jc w:val="both"/>
              <w:rPr>
                <w:bCs/>
                <w:sz w:val="18"/>
                <w:szCs w:val="18"/>
                <w:lang w:val="ro-RO"/>
              </w:rPr>
            </w:pPr>
            <w:r w:rsidRPr="004739CB">
              <w:rPr>
                <w:b/>
                <w:bCs/>
                <w:sz w:val="18"/>
                <w:szCs w:val="18"/>
                <w:lang w:val="ro-RO"/>
              </w:rPr>
              <w:t>397.</w:t>
            </w:r>
            <w:r w:rsidRPr="004739CB">
              <w:rPr>
                <w:bCs/>
                <w:sz w:val="18"/>
                <w:szCs w:val="18"/>
                <w:lang w:val="ro-RO"/>
              </w:rPr>
              <w:t xml:space="preserve"> Consultările periodice ulterioare se desfăşoară în conformitate cu pct.441.</w:t>
            </w:r>
          </w:p>
          <w:p w:rsidR="004974FC" w:rsidRPr="004739CB" w:rsidRDefault="004974FC" w:rsidP="00F93CB1">
            <w:pPr>
              <w:shd w:val="clear" w:color="auto" w:fill="FFFFFF"/>
              <w:jc w:val="both"/>
              <w:rPr>
                <w:bCs/>
                <w:sz w:val="18"/>
                <w:szCs w:val="18"/>
                <w:lang w:val="ro-RO"/>
              </w:rPr>
            </w:pPr>
          </w:p>
          <w:p w:rsidR="00F93CB1" w:rsidRPr="004739CB" w:rsidRDefault="00F93CB1" w:rsidP="00F93CB1">
            <w:pPr>
              <w:shd w:val="clear" w:color="auto" w:fill="FFFFFF"/>
              <w:jc w:val="both"/>
              <w:rPr>
                <w:bCs/>
                <w:sz w:val="18"/>
                <w:szCs w:val="18"/>
                <w:lang w:val="ro-RO"/>
              </w:rPr>
            </w:pPr>
            <w:r w:rsidRPr="004739CB">
              <w:rPr>
                <w:b/>
                <w:bCs/>
                <w:sz w:val="18"/>
                <w:szCs w:val="18"/>
                <w:lang w:val="ro-RO"/>
              </w:rPr>
              <w:lastRenderedPageBreak/>
              <w:t>398.</w:t>
            </w:r>
            <w:r w:rsidRPr="004739CB">
              <w:rPr>
                <w:bCs/>
                <w:sz w:val="18"/>
                <w:szCs w:val="18"/>
                <w:lang w:val="ro-RO"/>
              </w:rPr>
              <w:t xml:space="preserve"> Pentru metodologia de calculare a preţului de referinţă, care conţine detalii privind aspectele indicate la pct.394, subpunctul 1), lit.a) – e), poate fi utilizat modelul elaborat de Agenţia pentru Cooperarea Autorităţilor Europene de Reglementare (în continuare – ACER). </w:t>
            </w:r>
          </w:p>
          <w:p w:rsidR="00D146AC" w:rsidRPr="004739CB" w:rsidRDefault="00F93CB1" w:rsidP="007C5C6E">
            <w:pPr>
              <w:shd w:val="clear" w:color="auto" w:fill="FFFFFF"/>
              <w:jc w:val="both"/>
              <w:rPr>
                <w:b/>
                <w:bCs/>
                <w:sz w:val="18"/>
                <w:szCs w:val="18"/>
                <w:lang w:val="ro-RO"/>
              </w:rPr>
            </w:pPr>
            <w:r w:rsidRPr="004739CB">
              <w:rPr>
                <w:b/>
                <w:bCs/>
                <w:sz w:val="18"/>
                <w:szCs w:val="18"/>
                <w:lang w:val="ro-RO"/>
              </w:rPr>
              <w:t>399.</w:t>
            </w:r>
            <w:r w:rsidRPr="004739CB">
              <w:rPr>
                <w:bCs/>
                <w:sz w:val="18"/>
                <w:szCs w:val="18"/>
                <w:lang w:val="ro-RO"/>
              </w:rPr>
              <w:t xml:space="preserve"> Procesul de consultare menţionat în prezentul Capitol va fi efectuat în paralel cu procedura de consultare publică prevăzută de </w:t>
            </w:r>
            <w:hyperlink r:id="rId85" w:history="1">
              <w:r w:rsidRPr="004739CB">
                <w:rPr>
                  <w:rStyle w:val="Hyperlink"/>
                  <w:bCs/>
                  <w:sz w:val="18"/>
                  <w:szCs w:val="18"/>
                  <w:lang w:val="ro-RO"/>
                </w:rPr>
                <w:t>Legea nr.100/2017</w:t>
              </w:r>
            </w:hyperlink>
            <w:r w:rsidRPr="004739CB">
              <w:rPr>
                <w:bCs/>
                <w:sz w:val="18"/>
                <w:szCs w:val="18"/>
                <w:lang w:val="ro-RO"/>
              </w:rPr>
              <w:t xml:space="preserve"> privind actele normative. </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t>Compatibil</w:t>
            </w: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1A0BF1" w:rsidRPr="004974FC" w:rsidRDefault="001A0BF1" w:rsidP="00DA725A">
            <w:pPr>
              <w:jc w:val="both"/>
              <w:rPr>
                <w:b/>
                <w:sz w:val="18"/>
                <w:szCs w:val="18"/>
                <w:lang w:val="it-IT"/>
              </w:rPr>
            </w:pPr>
          </w:p>
          <w:p w:rsidR="001E7E9A" w:rsidRPr="004974FC" w:rsidRDefault="001E7E9A" w:rsidP="00DA725A">
            <w:pPr>
              <w:jc w:val="both"/>
              <w:rPr>
                <w:b/>
                <w:sz w:val="18"/>
                <w:szCs w:val="18"/>
                <w:lang w:val="it-IT"/>
              </w:rPr>
            </w:pPr>
          </w:p>
          <w:p w:rsidR="001E7E9A" w:rsidRPr="004974FC" w:rsidRDefault="001E7E9A" w:rsidP="00DA725A">
            <w:pPr>
              <w:jc w:val="both"/>
              <w:rPr>
                <w:b/>
                <w:sz w:val="18"/>
                <w:szCs w:val="18"/>
                <w:lang w:val="it-IT"/>
              </w:rPr>
            </w:pPr>
          </w:p>
          <w:p w:rsidR="001E7E9A" w:rsidRPr="004974FC" w:rsidRDefault="001E7E9A" w:rsidP="00DA725A">
            <w:pPr>
              <w:jc w:val="both"/>
              <w:rPr>
                <w:b/>
                <w:sz w:val="18"/>
                <w:szCs w:val="18"/>
                <w:lang w:val="it-IT"/>
              </w:rPr>
            </w:pPr>
          </w:p>
          <w:p w:rsidR="001E7E9A" w:rsidRPr="004974FC" w:rsidRDefault="001E7E9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1E7E9A" w:rsidRPr="004974FC" w:rsidRDefault="001E7E9A"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t>Compatibil</w:t>
            </w:r>
          </w:p>
          <w:p w:rsidR="00D146AC" w:rsidRPr="004974FC" w:rsidRDefault="00D146AC"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Default="00212DDA" w:rsidP="00DA725A">
            <w:pPr>
              <w:jc w:val="both"/>
              <w:rPr>
                <w:b/>
                <w:sz w:val="18"/>
                <w:szCs w:val="18"/>
                <w:lang w:val="it-IT"/>
              </w:rPr>
            </w:pPr>
          </w:p>
          <w:p w:rsidR="00AC425B" w:rsidRDefault="00AC425B" w:rsidP="00DA725A">
            <w:pPr>
              <w:jc w:val="both"/>
              <w:rPr>
                <w:b/>
                <w:sz w:val="18"/>
                <w:szCs w:val="18"/>
                <w:lang w:val="it-IT"/>
              </w:rPr>
            </w:pPr>
          </w:p>
          <w:p w:rsidR="00AC425B" w:rsidRDefault="00AC425B" w:rsidP="00DA725A">
            <w:pPr>
              <w:jc w:val="both"/>
              <w:rPr>
                <w:b/>
                <w:sz w:val="18"/>
                <w:szCs w:val="18"/>
                <w:lang w:val="it-IT"/>
              </w:rPr>
            </w:pPr>
          </w:p>
          <w:p w:rsidR="00AC425B" w:rsidRPr="004974FC" w:rsidRDefault="00AC425B" w:rsidP="00DA725A">
            <w:pPr>
              <w:jc w:val="both"/>
              <w:rPr>
                <w:b/>
                <w:sz w:val="18"/>
                <w:szCs w:val="18"/>
                <w:lang w:val="it-IT"/>
              </w:rPr>
            </w:pPr>
          </w:p>
          <w:p w:rsidR="00212DDA" w:rsidRPr="004974FC" w:rsidRDefault="00212DDA" w:rsidP="00DA725A">
            <w:pPr>
              <w:jc w:val="both"/>
              <w:rPr>
                <w:b/>
                <w:sz w:val="18"/>
                <w:szCs w:val="18"/>
                <w:lang w:val="it-IT"/>
              </w:rPr>
            </w:pPr>
          </w:p>
          <w:p w:rsidR="00D146AC" w:rsidRPr="004974FC" w:rsidRDefault="00212DDA" w:rsidP="00DA725A">
            <w:pPr>
              <w:rPr>
                <w:sz w:val="18"/>
                <w:szCs w:val="18"/>
                <w:lang w:val="it-IT"/>
              </w:rPr>
            </w:pPr>
            <w:r w:rsidRPr="004974FC">
              <w:rPr>
                <w:sz w:val="18"/>
                <w:szCs w:val="18"/>
                <w:lang w:val="it-IT"/>
              </w:rPr>
              <w:t>C</w:t>
            </w:r>
            <w:r w:rsidR="00D146AC" w:rsidRPr="004974FC">
              <w:rPr>
                <w:sz w:val="18"/>
                <w:szCs w:val="18"/>
                <w:lang w:val="it-IT"/>
              </w:rPr>
              <w:t>ompatibil</w:t>
            </w:r>
          </w:p>
          <w:p w:rsidR="00D146AC" w:rsidRPr="004974FC" w:rsidRDefault="00D146AC"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9A3CF9" w:rsidRPr="004974FC" w:rsidRDefault="009A3CF9" w:rsidP="00DA725A">
            <w:pPr>
              <w:jc w:val="both"/>
              <w:rPr>
                <w:b/>
                <w:sz w:val="18"/>
                <w:szCs w:val="18"/>
                <w:lang w:val="it-IT"/>
              </w:rPr>
            </w:pPr>
          </w:p>
          <w:p w:rsidR="009A3CF9" w:rsidRPr="004974FC" w:rsidRDefault="009A3CF9" w:rsidP="00DA725A">
            <w:pPr>
              <w:jc w:val="both"/>
              <w:rPr>
                <w:b/>
                <w:sz w:val="18"/>
                <w:szCs w:val="18"/>
                <w:lang w:val="it-IT"/>
              </w:rPr>
            </w:pPr>
          </w:p>
          <w:p w:rsidR="009A3CF9" w:rsidRDefault="009A3CF9" w:rsidP="00DA725A">
            <w:pPr>
              <w:jc w:val="both"/>
              <w:rPr>
                <w:b/>
                <w:sz w:val="18"/>
                <w:szCs w:val="18"/>
                <w:lang w:val="it-IT"/>
              </w:rPr>
            </w:pPr>
          </w:p>
          <w:p w:rsidR="004739CB" w:rsidRDefault="004739CB"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t>Compatibil</w:t>
            </w:r>
          </w:p>
          <w:p w:rsidR="00D146AC" w:rsidRPr="004974FC" w:rsidRDefault="00D146AC" w:rsidP="00DA725A">
            <w:pPr>
              <w:jc w:val="both"/>
              <w:rPr>
                <w:b/>
                <w:sz w:val="18"/>
                <w:szCs w:val="18"/>
                <w:lang w:val="it-IT"/>
              </w:rPr>
            </w:pPr>
          </w:p>
          <w:p w:rsidR="00BE5153" w:rsidRDefault="00BE5153"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lastRenderedPageBreak/>
              <w:t>Compatibil</w:t>
            </w: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tc>
        <w:tc>
          <w:tcPr>
            <w:tcW w:w="4253" w:type="dxa"/>
          </w:tcPr>
          <w:p w:rsidR="00376DD1" w:rsidRPr="00E84D74" w:rsidRDefault="00376DD1" w:rsidP="00DA725A">
            <w:pPr>
              <w:autoSpaceDE w:val="0"/>
              <w:autoSpaceDN w:val="0"/>
              <w:adjustRightInd w:val="0"/>
              <w:rPr>
                <w:b/>
                <w:bCs/>
                <w:sz w:val="18"/>
                <w:szCs w:val="18"/>
              </w:rPr>
            </w:pPr>
            <w:r w:rsidRPr="00E84D74">
              <w:rPr>
                <w:b/>
                <w:bCs/>
                <w:sz w:val="18"/>
                <w:szCs w:val="18"/>
              </w:rPr>
              <w:lastRenderedPageBreak/>
              <w:t>CHAPTER VII</w:t>
            </w:r>
          </w:p>
          <w:p w:rsidR="00D146AC" w:rsidRPr="00E84D74" w:rsidRDefault="00376DD1" w:rsidP="00DA725A">
            <w:pPr>
              <w:jc w:val="both"/>
              <w:rPr>
                <w:b/>
                <w:bCs/>
                <w:sz w:val="18"/>
                <w:szCs w:val="18"/>
              </w:rPr>
            </w:pPr>
            <w:r w:rsidRPr="00E84D74">
              <w:rPr>
                <w:b/>
                <w:bCs/>
                <w:sz w:val="18"/>
                <w:szCs w:val="18"/>
              </w:rPr>
              <w:t>CONSULTATION REQUIREMENTS</w:t>
            </w:r>
          </w:p>
          <w:p w:rsidR="00376DD1" w:rsidRPr="00E84D74" w:rsidRDefault="00376DD1" w:rsidP="00DA725A">
            <w:pPr>
              <w:autoSpaceDE w:val="0"/>
              <w:autoSpaceDN w:val="0"/>
              <w:adjustRightInd w:val="0"/>
              <w:rPr>
                <w:b/>
                <w:bCs/>
                <w:i/>
                <w:iCs/>
                <w:sz w:val="18"/>
                <w:szCs w:val="18"/>
              </w:rPr>
            </w:pPr>
            <w:r w:rsidRPr="00E84D74">
              <w:rPr>
                <w:b/>
                <w:bCs/>
                <w:i/>
                <w:iCs/>
                <w:sz w:val="18"/>
                <w:szCs w:val="18"/>
              </w:rPr>
              <w:t>Article 26</w:t>
            </w:r>
          </w:p>
          <w:p w:rsidR="00376DD1" w:rsidRPr="00E84D74" w:rsidRDefault="00376DD1" w:rsidP="00DA725A">
            <w:pPr>
              <w:jc w:val="both"/>
              <w:rPr>
                <w:b/>
                <w:sz w:val="18"/>
                <w:szCs w:val="18"/>
              </w:rPr>
            </w:pPr>
            <w:r w:rsidRPr="00E84D74">
              <w:rPr>
                <w:b/>
                <w:bCs/>
                <w:sz w:val="18"/>
                <w:szCs w:val="18"/>
              </w:rPr>
              <w:t>Periodic consultation</w:t>
            </w:r>
          </w:p>
          <w:p w:rsidR="00376DD1" w:rsidRPr="00E84D74" w:rsidRDefault="00376DD1" w:rsidP="00DA725A">
            <w:pPr>
              <w:rPr>
                <w:sz w:val="18"/>
                <w:szCs w:val="18"/>
              </w:rPr>
            </w:pPr>
          </w:p>
          <w:p w:rsidR="00801C9A" w:rsidRPr="00E84D74" w:rsidRDefault="00376DD1" w:rsidP="00DA725A">
            <w:pPr>
              <w:autoSpaceDE w:val="0"/>
              <w:autoSpaceDN w:val="0"/>
              <w:adjustRightInd w:val="0"/>
              <w:rPr>
                <w:sz w:val="18"/>
                <w:szCs w:val="18"/>
              </w:rPr>
            </w:pPr>
            <w:r w:rsidRPr="00E84D74">
              <w:rPr>
                <w:sz w:val="18"/>
                <w:szCs w:val="18"/>
              </w:rPr>
              <w:t>1. One or more consultations shall be carried out by the national regulatory authority or the transmission</w:t>
            </w:r>
            <w:r w:rsidR="00801C9A" w:rsidRPr="00E84D74">
              <w:rPr>
                <w:sz w:val="18"/>
                <w:szCs w:val="18"/>
              </w:rPr>
              <w:t xml:space="preserve"> </w:t>
            </w:r>
            <w:r w:rsidRPr="00E84D74">
              <w:rPr>
                <w:sz w:val="18"/>
                <w:szCs w:val="18"/>
              </w:rPr>
              <w:t>system operator(s), as decided by the national regulatory authority. To the extent possible and in order</w:t>
            </w:r>
            <w:r w:rsidR="00801C9A" w:rsidRPr="00E84D74">
              <w:rPr>
                <w:sz w:val="18"/>
                <w:szCs w:val="18"/>
              </w:rPr>
              <w:t xml:space="preserve"> </w:t>
            </w:r>
            <w:r w:rsidRPr="00E84D74">
              <w:rPr>
                <w:sz w:val="18"/>
                <w:szCs w:val="18"/>
              </w:rPr>
              <w:t>to render more effective the consultation process, the consultation document should be published in</w:t>
            </w:r>
            <w:r w:rsidR="00801C9A" w:rsidRPr="00E84D74">
              <w:rPr>
                <w:sz w:val="18"/>
                <w:szCs w:val="18"/>
              </w:rPr>
              <w:t xml:space="preserve"> </w:t>
            </w:r>
            <w:r w:rsidRPr="00E84D74">
              <w:rPr>
                <w:sz w:val="18"/>
                <w:szCs w:val="18"/>
              </w:rPr>
              <w:t>the English language. The final consultation prior to the decision referred to in Article 27(4) shall comply</w:t>
            </w:r>
            <w:r w:rsidR="00801C9A" w:rsidRPr="00E84D74">
              <w:rPr>
                <w:sz w:val="18"/>
                <w:szCs w:val="18"/>
              </w:rPr>
              <w:t xml:space="preserve"> </w:t>
            </w:r>
            <w:r w:rsidRPr="00E84D74">
              <w:rPr>
                <w:sz w:val="18"/>
                <w:szCs w:val="18"/>
              </w:rPr>
              <w:t>with the requirements set out in this Article and Article 27, and shall include the following information:</w:t>
            </w:r>
            <w:r w:rsidR="00801C9A" w:rsidRPr="00E84D74">
              <w:rPr>
                <w:sz w:val="18"/>
                <w:szCs w:val="18"/>
              </w:rPr>
              <w:t xml:space="preserve"> </w:t>
            </w:r>
          </w:p>
          <w:p w:rsidR="00376DD1" w:rsidRPr="00E84D74" w:rsidRDefault="00376DD1" w:rsidP="00DA725A">
            <w:pPr>
              <w:autoSpaceDE w:val="0"/>
              <w:autoSpaceDN w:val="0"/>
              <w:adjustRightInd w:val="0"/>
              <w:rPr>
                <w:sz w:val="18"/>
                <w:szCs w:val="18"/>
              </w:rPr>
            </w:pPr>
            <w:r w:rsidRPr="00E84D74">
              <w:rPr>
                <w:sz w:val="18"/>
                <w:szCs w:val="18"/>
              </w:rPr>
              <w:t>(a) the description of the proposed reference price methodology as well as the following items:</w:t>
            </w:r>
          </w:p>
          <w:p w:rsidR="00376DD1" w:rsidRPr="00E84D74" w:rsidRDefault="007C6170" w:rsidP="00DA725A">
            <w:pPr>
              <w:autoSpaceDE w:val="0"/>
              <w:autoSpaceDN w:val="0"/>
              <w:adjustRightInd w:val="0"/>
              <w:rPr>
                <w:sz w:val="18"/>
                <w:szCs w:val="18"/>
              </w:rPr>
            </w:pPr>
            <w:r w:rsidRPr="00E84D74">
              <w:rPr>
                <w:sz w:val="18"/>
                <w:szCs w:val="18"/>
              </w:rPr>
              <w:tab/>
            </w:r>
            <w:r w:rsidR="00376DD1" w:rsidRPr="00E84D74">
              <w:rPr>
                <w:sz w:val="18"/>
                <w:szCs w:val="18"/>
              </w:rPr>
              <w:t>(i) the indicative information set out in Article 30(1)(a), including:</w:t>
            </w:r>
          </w:p>
          <w:p w:rsidR="00376DD1" w:rsidRPr="00E84D74" w:rsidRDefault="007C6170" w:rsidP="00DA725A">
            <w:pPr>
              <w:autoSpaceDE w:val="0"/>
              <w:autoSpaceDN w:val="0"/>
              <w:adjustRightInd w:val="0"/>
              <w:rPr>
                <w:sz w:val="18"/>
                <w:szCs w:val="18"/>
              </w:rPr>
            </w:pPr>
            <w:r w:rsidRPr="00E84D74">
              <w:rPr>
                <w:sz w:val="18"/>
                <w:szCs w:val="18"/>
              </w:rPr>
              <w:tab/>
            </w:r>
            <w:r w:rsidR="00376DD1" w:rsidRPr="00E84D74">
              <w:rPr>
                <w:sz w:val="18"/>
                <w:szCs w:val="18"/>
              </w:rPr>
              <w:t>(1) the justification of the parameters used that are related to the technical characteristics</w:t>
            </w:r>
          </w:p>
          <w:p w:rsidR="00376DD1" w:rsidRPr="00E84D74" w:rsidRDefault="00376DD1" w:rsidP="00DA725A">
            <w:pPr>
              <w:autoSpaceDE w:val="0"/>
              <w:autoSpaceDN w:val="0"/>
              <w:adjustRightInd w:val="0"/>
              <w:rPr>
                <w:sz w:val="18"/>
                <w:szCs w:val="18"/>
              </w:rPr>
            </w:pPr>
            <w:r w:rsidRPr="00E84D74">
              <w:rPr>
                <w:sz w:val="18"/>
                <w:szCs w:val="18"/>
              </w:rPr>
              <w:t>of the system;</w:t>
            </w:r>
          </w:p>
          <w:p w:rsidR="00376DD1" w:rsidRPr="00E84D74" w:rsidRDefault="007C6170" w:rsidP="00DA725A">
            <w:pPr>
              <w:autoSpaceDE w:val="0"/>
              <w:autoSpaceDN w:val="0"/>
              <w:adjustRightInd w:val="0"/>
              <w:rPr>
                <w:sz w:val="18"/>
                <w:szCs w:val="18"/>
              </w:rPr>
            </w:pPr>
            <w:r w:rsidRPr="00E84D74">
              <w:rPr>
                <w:sz w:val="18"/>
                <w:szCs w:val="18"/>
              </w:rPr>
              <w:tab/>
            </w:r>
            <w:r w:rsidR="00376DD1" w:rsidRPr="00E84D74">
              <w:rPr>
                <w:sz w:val="18"/>
                <w:szCs w:val="18"/>
              </w:rPr>
              <w:t>(2) the corresponding information on the respective values of such parameters and the</w:t>
            </w:r>
            <w:r w:rsidR="00F25D81" w:rsidRPr="00E84D74">
              <w:rPr>
                <w:sz w:val="18"/>
                <w:szCs w:val="18"/>
              </w:rPr>
              <w:t xml:space="preserve"> </w:t>
            </w:r>
            <w:r w:rsidR="00376DD1" w:rsidRPr="00E84D74">
              <w:rPr>
                <w:sz w:val="18"/>
                <w:szCs w:val="18"/>
              </w:rPr>
              <w:t>assumptions applied.</w:t>
            </w:r>
          </w:p>
          <w:p w:rsidR="00376DD1" w:rsidRPr="00E84D74" w:rsidRDefault="00376DD1" w:rsidP="00DA725A">
            <w:pPr>
              <w:autoSpaceDE w:val="0"/>
              <w:autoSpaceDN w:val="0"/>
              <w:adjustRightInd w:val="0"/>
              <w:rPr>
                <w:sz w:val="18"/>
                <w:szCs w:val="18"/>
              </w:rPr>
            </w:pPr>
            <w:r w:rsidRPr="00E84D74">
              <w:rPr>
                <w:sz w:val="18"/>
                <w:szCs w:val="18"/>
              </w:rPr>
              <w:t>(ii) the value of the proposed adjustments for capacity-based transmission tariffs pursuant to</w:t>
            </w:r>
            <w:r w:rsidR="00F25D81" w:rsidRPr="00E84D74">
              <w:rPr>
                <w:sz w:val="18"/>
                <w:szCs w:val="18"/>
              </w:rPr>
              <w:t xml:space="preserve"> </w:t>
            </w:r>
            <w:r w:rsidRPr="00E84D74">
              <w:rPr>
                <w:sz w:val="18"/>
                <w:szCs w:val="18"/>
              </w:rPr>
              <w:t>Article 9;</w:t>
            </w:r>
          </w:p>
          <w:p w:rsidR="00376DD1" w:rsidRPr="00E84D74" w:rsidRDefault="00376DD1" w:rsidP="00DA725A">
            <w:pPr>
              <w:autoSpaceDE w:val="0"/>
              <w:autoSpaceDN w:val="0"/>
              <w:adjustRightInd w:val="0"/>
              <w:rPr>
                <w:sz w:val="18"/>
                <w:szCs w:val="18"/>
              </w:rPr>
            </w:pPr>
            <w:r w:rsidRPr="00E84D74">
              <w:rPr>
                <w:sz w:val="18"/>
                <w:szCs w:val="18"/>
              </w:rPr>
              <w:t>(iii) the indicative reference prices subject to consultation;</w:t>
            </w:r>
          </w:p>
          <w:p w:rsidR="00376DD1" w:rsidRPr="00E84D74" w:rsidRDefault="00376DD1" w:rsidP="00DA725A">
            <w:pPr>
              <w:autoSpaceDE w:val="0"/>
              <w:autoSpaceDN w:val="0"/>
              <w:adjustRightInd w:val="0"/>
              <w:rPr>
                <w:sz w:val="18"/>
                <w:szCs w:val="18"/>
              </w:rPr>
            </w:pPr>
            <w:r w:rsidRPr="00E84D74">
              <w:rPr>
                <w:sz w:val="18"/>
                <w:szCs w:val="18"/>
              </w:rPr>
              <w:t>(iv) the results, the components and the details of these components for the cost allocation assessments</w:t>
            </w:r>
            <w:r w:rsidR="00A956EE" w:rsidRPr="00E84D74">
              <w:rPr>
                <w:sz w:val="18"/>
                <w:szCs w:val="18"/>
              </w:rPr>
              <w:t xml:space="preserve"> </w:t>
            </w:r>
            <w:r w:rsidRPr="00E84D74">
              <w:rPr>
                <w:sz w:val="18"/>
                <w:szCs w:val="18"/>
              </w:rPr>
              <w:t>set out in Article 5;</w:t>
            </w:r>
          </w:p>
          <w:p w:rsidR="00376DD1" w:rsidRPr="00E84D74" w:rsidRDefault="00376DD1" w:rsidP="00DA725A">
            <w:pPr>
              <w:autoSpaceDE w:val="0"/>
              <w:autoSpaceDN w:val="0"/>
              <w:adjustRightInd w:val="0"/>
              <w:rPr>
                <w:sz w:val="18"/>
                <w:szCs w:val="18"/>
              </w:rPr>
            </w:pPr>
            <w:r w:rsidRPr="00E84D74">
              <w:rPr>
                <w:sz w:val="18"/>
                <w:szCs w:val="18"/>
              </w:rPr>
              <w:t>(v) the assessment of the proposed reference price methodology in accordance with Article 7;</w:t>
            </w:r>
          </w:p>
          <w:p w:rsidR="00376DD1" w:rsidRPr="00E84D74" w:rsidRDefault="00376DD1" w:rsidP="00DA725A">
            <w:pPr>
              <w:autoSpaceDE w:val="0"/>
              <w:autoSpaceDN w:val="0"/>
              <w:adjustRightInd w:val="0"/>
              <w:rPr>
                <w:sz w:val="18"/>
                <w:szCs w:val="18"/>
              </w:rPr>
            </w:pPr>
            <w:r w:rsidRPr="00E84D74">
              <w:rPr>
                <w:sz w:val="18"/>
                <w:szCs w:val="18"/>
              </w:rPr>
              <w:t>(vi) where the proposed reference price methodology is other than the capacity weighted distance</w:t>
            </w:r>
            <w:r w:rsidR="00A956EE" w:rsidRPr="00E84D74">
              <w:rPr>
                <w:sz w:val="18"/>
                <w:szCs w:val="18"/>
              </w:rPr>
              <w:t xml:space="preserve"> </w:t>
            </w:r>
            <w:r w:rsidRPr="00E84D74">
              <w:rPr>
                <w:sz w:val="18"/>
                <w:szCs w:val="18"/>
              </w:rPr>
              <w:t>reference price methodology detailed in Article 8, its comparison against the latter accompanied</w:t>
            </w:r>
            <w:r w:rsidR="00A956EE" w:rsidRPr="00E84D74">
              <w:rPr>
                <w:sz w:val="18"/>
                <w:szCs w:val="18"/>
              </w:rPr>
              <w:t xml:space="preserve"> </w:t>
            </w:r>
            <w:r w:rsidRPr="00E84D74">
              <w:rPr>
                <w:sz w:val="18"/>
                <w:szCs w:val="18"/>
              </w:rPr>
              <w:t>by the information set out in point (iii);</w:t>
            </w:r>
          </w:p>
          <w:p w:rsidR="00376DD1" w:rsidRPr="00E84D74" w:rsidRDefault="00376DD1" w:rsidP="00DA725A">
            <w:pPr>
              <w:autoSpaceDE w:val="0"/>
              <w:autoSpaceDN w:val="0"/>
              <w:adjustRightInd w:val="0"/>
              <w:rPr>
                <w:sz w:val="18"/>
                <w:szCs w:val="18"/>
              </w:rPr>
            </w:pPr>
            <w:r w:rsidRPr="00E84D74">
              <w:rPr>
                <w:sz w:val="18"/>
                <w:szCs w:val="18"/>
              </w:rPr>
              <w:t>(b) the indicative information set out in Article 30(1)(b)(i), (iv), (v);</w:t>
            </w:r>
          </w:p>
          <w:p w:rsidR="00376DD1" w:rsidRPr="00E84D74" w:rsidRDefault="00376DD1" w:rsidP="00DA725A">
            <w:pPr>
              <w:autoSpaceDE w:val="0"/>
              <w:autoSpaceDN w:val="0"/>
              <w:adjustRightInd w:val="0"/>
              <w:rPr>
                <w:sz w:val="18"/>
                <w:szCs w:val="18"/>
              </w:rPr>
            </w:pPr>
            <w:r w:rsidRPr="00E84D74">
              <w:rPr>
                <w:sz w:val="18"/>
                <w:szCs w:val="18"/>
              </w:rPr>
              <w:t>(c) the following information on transmission and non-transmission tariffs:</w:t>
            </w:r>
          </w:p>
          <w:p w:rsidR="00376DD1" w:rsidRPr="00E84D74" w:rsidRDefault="00376DD1" w:rsidP="00DA725A">
            <w:pPr>
              <w:autoSpaceDE w:val="0"/>
              <w:autoSpaceDN w:val="0"/>
              <w:adjustRightInd w:val="0"/>
              <w:rPr>
                <w:sz w:val="18"/>
                <w:szCs w:val="18"/>
              </w:rPr>
            </w:pPr>
            <w:r w:rsidRPr="00E84D74">
              <w:rPr>
                <w:sz w:val="18"/>
                <w:szCs w:val="18"/>
              </w:rPr>
              <w:t>(i) where commodity-based transmission tariffs referred to in Article 4(3) are proposed:</w:t>
            </w:r>
          </w:p>
          <w:p w:rsidR="00376DD1" w:rsidRPr="00E84D74" w:rsidRDefault="00376DD1" w:rsidP="00DA725A">
            <w:pPr>
              <w:autoSpaceDE w:val="0"/>
              <w:autoSpaceDN w:val="0"/>
              <w:adjustRightInd w:val="0"/>
              <w:rPr>
                <w:sz w:val="18"/>
                <w:szCs w:val="18"/>
              </w:rPr>
            </w:pPr>
            <w:r w:rsidRPr="00E84D74">
              <w:rPr>
                <w:sz w:val="18"/>
                <w:szCs w:val="18"/>
              </w:rPr>
              <w:t>(1) the manner in which they are set;</w:t>
            </w:r>
          </w:p>
          <w:p w:rsidR="00376DD1" w:rsidRPr="00E84D74" w:rsidRDefault="00376DD1" w:rsidP="00DA725A">
            <w:pPr>
              <w:autoSpaceDE w:val="0"/>
              <w:autoSpaceDN w:val="0"/>
              <w:adjustRightInd w:val="0"/>
              <w:rPr>
                <w:sz w:val="18"/>
                <w:szCs w:val="18"/>
              </w:rPr>
            </w:pPr>
            <w:r w:rsidRPr="00E84D74">
              <w:rPr>
                <w:sz w:val="18"/>
                <w:szCs w:val="18"/>
              </w:rPr>
              <w:lastRenderedPageBreak/>
              <w:t>(2) the share of the allowed or target revenue forecasted to be recovered from such tariffs;</w:t>
            </w:r>
          </w:p>
          <w:p w:rsidR="00376DD1" w:rsidRPr="00E84D74" w:rsidRDefault="00376DD1" w:rsidP="00DA725A">
            <w:pPr>
              <w:autoSpaceDE w:val="0"/>
              <w:autoSpaceDN w:val="0"/>
              <w:adjustRightInd w:val="0"/>
              <w:rPr>
                <w:sz w:val="18"/>
                <w:szCs w:val="18"/>
              </w:rPr>
            </w:pPr>
            <w:r w:rsidRPr="00E84D74">
              <w:rPr>
                <w:sz w:val="18"/>
                <w:szCs w:val="18"/>
              </w:rPr>
              <w:t>(3) the indicative commodity-based transmission tariffs;</w:t>
            </w:r>
          </w:p>
          <w:p w:rsidR="00376DD1" w:rsidRPr="00E84D74" w:rsidRDefault="00376DD1" w:rsidP="00DA725A">
            <w:pPr>
              <w:autoSpaceDE w:val="0"/>
              <w:autoSpaceDN w:val="0"/>
              <w:adjustRightInd w:val="0"/>
              <w:rPr>
                <w:sz w:val="18"/>
                <w:szCs w:val="18"/>
              </w:rPr>
            </w:pPr>
            <w:r w:rsidRPr="00E84D74">
              <w:rPr>
                <w:sz w:val="18"/>
                <w:szCs w:val="18"/>
              </w:rPr>
              <w:t>(ii) where non-transmission services provided to network users are proposed:</w:t>
            </w:r>
          </w:p>
          <w:p w:rsidR="00376DD1" w:rsidRPr="00E84D74" w:rsidRDefault="00376DD1" w:rsidP="00DA725A">
            <w:pPr>
              <w:autoSpaceDE w:val="0"/>
              <w:autoSpaceDN w:val="0"/>
              <w:adjustRightInd w:val="0"/>
              <w:rPr>
                <w:sz w:val="18"/>
                <w:szCs w:val="18"/>
              </w:rPr>
            </w:pPr>
            <w:r w:rsidRPr="00E84D74">
              <w:rPr>
                <w:sz w:val="18"/>
                <w:szCs w:val="18"/>
              </w:rPr>
              <w:t>(1) the non-transmission service tariff methodology therefor;</w:t>
            </w:r>
          </w:p>
          <w:p w:rsidR="00376DD1" w:rsidRPr="00E84D74" w:rsidRDefault="00376DD1" w:rsidP="00DA725A">
            <w:pPr>
              <w:autoSpaceDE w:val="0"/>
              <w:autoSpaceDN w:val="0"/>
              <w:adjustRightInd w:val="0"/>
              <w:rPr>
                <w:sz w:val="18"/>
                <w:szCs w:val="18"/>
              </w:rPr>
            </w:pPr>
            <w:r w:rsidRPr="00E84D74">
              <w:rPr>
                <w:sz w:val="18"/>
                <w:szCs w:val="18"/>
              </w:rPr>
              <w:t>(2) the share of the allowed or target revenue forecasted to be recovered from such tariffs;</w:t>
            </w:r>
          </w:p>
          <w:p w:rsidR="00376DD1" w:rsidRPr="00E84D74" w:rsidRDefault="00376DD1" w:rsidP="00DA725A">
            <w:pPr>
              <w:autoSpaceDE w:val="0"/>
              <w:autoSpaceDN w:val="0"/>
              <w:adjustRightInd w:val="0"/>
              <w:rPr>
                <w:sz w:val="18"/>
                <w:szCs w:val="18"/>
              </w:rPr>
            </w:pPr>
            <w:r w:rsidRPr="00E84D74">
              <w:rPr>
                <w:sz w:val="18"/>
                <w:szCs w:val="18"/>
              </w:rPr>
              <w:t>(3) the manner in which the associated non-transmission services revenue is reconciled as</w:t>
            </w:r>
            <w:r w:rsidR="00A956EE" w:rsidRPr="00E84D74">
              <w:rPr>
                <w:sz w:val="18"/>
                <w:szCs w:val="18"/>
              </w:rPr>
              <w:t xml:space="preserve"> </w:t>
            </w:r>
            <w:r w:rsidRPr="00E84D74">
              <w:rPr>
                <w:sz w:val="18"/>
                <w:szCs w:val="18"/>
              </w:rPr>
              <w:t>referred to in Article 17(3);</w:t>
            </w:r>
          </w:p>
          <w:p w:rsidR="00D243F9" w:rsidRPr="00E84D74" w:rsidRDefault="00D243F9" w:rsidP="00DA725A">
            <w:pPr>
              <w:autoSpaceDE w:val="0"/>
              <w:autoSpaceDN w:val="0"/>
              <w:adjustRightInd w:val="0"/>
              <w:rPr>
                <w:sz w:val="18"/>
                <w:szCs w:val="18"/>
              </w:rPr>
            </w:pPr>
            <w:r w:rsidRPr="00E84D74">
              <w:rPr>
                <w:sz w:val="18"/>
                <w:szCs w:val="18"/>
              </w:rPr>
              <w:t>(4) the indicative non-transmission tariffs for non-transmission services provided to network</w:t>
            </w:r>
            <w:r w:rsidR="00A956EE" w:rsidRPr="00E84D74">
              <w:rPr>
                <w:sz w:val="18"/>
                <w:szCs w:val="18"/>
              </w:rPr>
              <w:t xml:space="preserve"> </w:t>
            </w:r>
            <w:r w:rsidRPr="00E84D74">
              <w:rPr>
                <w:sz w:val="18"/>
                <w:szCs w:val="18"/>
              </w:rPr>
              <w:t>users;</w:t>
            </w:r>
          </w:p>
          <w:p w:rsidR="00D243F9" w:rsidRPr="00E84D74" w:rsidRDefault="00D243F9" w:rsidP="00DA725A">
            <w:pPr>
              <w:autoSpaceDE w:val="0"/>
              <w:autoSpaceDN w:val="0"/>
              <w:adjustRightInd w:val="0"/>
              <w:rPr>
                <w:sz w:val="18"/>
                <w:szCs w:val="18"/>
              </w:rPr>
            </w:pPr>
            <w:r w:rsidRPr="00E84D74">
              <w:rPr>
                <w:sz w:val="18"/>
                <w:szCs w:val="18"/>
              </w:rPr>
              <w:t>(d) the indicative information set out in Article 30(2);</w:t>
            </w:r>
          </w:p>
          <w:p w:rsidR="00D243F9" w:rsidRPr="00E84D74" w:rsidRDefault="00D243F9" w:rsidP="00DA725A">
            <w:pPr>
              <w:autoSpaceDE w:val="0"/>
              <w:autoSpaceDN w:val="0"/>
              <w:adjustRightInd w:val="0"/>
              <w:rPr>
                <w:sz w:val="18"/>
                <w:szCs w:val="18"/>
              </w:rPr>
            </w:pPr>
            <w:r w:rsidRPr="00E84D74">
              <w:rPr>
                <w:sz w:val="18"/>
                <w:szCs w:val="18"/>
              </w:rPr>
              <w:t>(e) where the fixed payable price approach referred to in Article 24(b) is considered to be offered under</w:t>
            </w:r>
            <w:r w:rsidR="00A956EE" w:rsidRPr="00E84D74">
              <w:rPr>
                <w:sz w:val="18"/>
                <w:szCs w:val="18"/>
              </w:rPr>
              <w:t xml:space="preserve"> </w:t>
            </w:r>
            <w:r w:rsidRPr="00E84D74">
              <w:rPr>
                <w:sz w:val="18"/>
                <w:szCs w:val="18"/>
              </w:rPr>
              <w:t>a price cap regime for existing capacity:</w:t>
            </w:r>
          </w:p>
          <w:p w:rsidR="00D243F9" w:rsidRPr="00E84D74" w:rsidRDefault="00D243F9" w:rsidP="00DA725A">
            <w:pPr>
              <w:autoSpaceDE w:val="0"/>
              <w:autoSpaceDN w:val="0"/>
              <w:adjustRightInd w:val="0"/>
              <w:rPr>
                <w:sz w:val="18"/>
                <w:szCs w:val="18"/>
              </w:rPr>
            </w:pPr>
            <w:r w:rsidRPr="00E84D74">
              <w:rPr>
                <w:sz w:val="18"/>
                <w:szCs w:val="18"/>
              </w:rPr>
              <w:t>(i) the proposed index;</w:t>
            </w:r>
          </w:p>
          <w:p w:rsidR="00D243F9" w:rsidRPr="00E84D74" w:rsidRDefault="00D243F9" w:rsidP="00DA725A">
            <w:pPr>
              <w:autoSpaceDE w:val="0"/>
              <w:autoSpaceDN w:val="0"/>
              <w:adjustRightInd w:val="0"/>
              <w:rPr>
                <w:sz w:val="18"/>
                <w:szCs w:val="18"/>
              </w:rPr>
            </w:pPr>
            <w:r w:rsidRPr="00E84D74">
              <w:rPr>
                <w:sz w:val="18"/>
                <w:szCs w:val="18"/>
              </w:rPr>
              <w:t>(ii) the proposed calculation and how the revenue derived from the risk premium is used;</w:t>
            </w:r>
          </w:p>
          <w:p w:rsidR="00D243F9" w:rsidRPr="00E84D74" w:rsidRDefault="00D243F9" w:rsidP="00DA725A">
            <w:pPr>
              <w:autoSpaceDE w:val="0"/>
              <w:autoSpaceDN w:val="0"/>
              <w:adjustRightInd w:val="0"/>
              <w:rPr>
                <w:sz w:val="18"/>
                <w:szCs w:val="18"/>
              </w:rPr>
            </w:pPr>
            <w:r w:rsidRPr="00E84D74">
              <w:rPr>
                <w:sz w:val="18"/>
                <w:szCs w:val="18"/>
              </w:rPr>
              <w:t>(iii) at which interconnection point(s) and for which tariff period(s) such approach is proposed;</w:t>
            </w:r>
          </w:p>
          <w:p w:rsidR="00D243F9" w:rsidRPr="00E84D74" w:rsidRDefault="00D243F9" w:rsidP="00DA725A">
            <w:pPr>
              <w:autoSpaceDE w:val="0"/>
              <w:autoSpaceDN w:val="0"/>
              <w:adjustRightInd w:val="0"/>
              <w:rPr>
                <w:sz w:val="18"/>
                <w:szCs w:val="18"/>
              </w:rPr>
            </w:pPr>
            <w:r w:rsidRPr="00E84D74">
              <w:rPr>
                <w:sz w:val="18"/>
                <w:szCs w:val="18"/>
              </w:rPr>
              <w:t>(iv) the process of offering capacity at an interconnection point where both fixed and floating</w:t>
            </w:r>
            <w:r w:rsidR="00A956EE" w:rsidRPr="00E84D74">
              <w:rPr>
                <w:sz w:val="18"/>
                <w:szCs w:val="18"/>
              </w:rPr>
              <w:t xml:space="preserve"> </w:t>
            </w:r>
            <w:r w:rsidRPr="00E84D74">
              <w:rPr>
                <w:sz w:val="18"/>
                <w:szCs w:val="18"/>
              </w:rPr>
              <w:t>payable price approaches referred to in Article 24 are proposed.</w:t>
            </w:r>
          </w:p>
          <w:p w:rsidR="00D243F9" w:rsidRPr="00E84D74" w:rsidRDefault="00D243F9" w:rsidP="00DA725A">
            <w:pPr>
              <w:autoSpaceDE w:val="0"/>
              <w:autoSpaceDN w:val="0"/>
              <w:adjustRightInd w:val="0"/>
              <w:rPr>
                <w:sz w:val="18"/>
                <w:szCs w:val="18"/>
              </w:rPr>
            </w:pPr>
            <w:r w:rsidRPr="00E84D74">
              <w:rPr>
                <w:sz w:val="18"/>
                <w:szCs w:val="18"/>
              </w:rPr>
              <w:t>2. The final consultation prior to the decision referred to in Article 27(4) shall be open for at least two</w:t>
            </w:r>
          </w:p>
          <w:p w:rsidR="00D243F9" w:rsidRPr="00E84D74" w:rsidRDefault="00D243F9" w:rsidP="00DA725A">
            <w:pPr>
              <w:autoSpaceDE w:val="0"/>
              <w:autoSpaceDN w:val="0"/>
              <w:adjustRightInd w:val="0"/>
              <w:rPr>
                <w:sz w:val="18"/>
                <w:szCs w:val="18"/>
              </w:rPr>
            </w:pPr>
            <w:r w:rsidRPr="00E84D74">
              <w:rPr>
                <w:sz w:val="18"/>
                <w:szCs w:val="18"/>
              </w:rPr>
              <w:t>months. Consultation documents for any of the consultations referred to in paragraph 1 may require</w:t>
            </w:r>
          </w:p>
          <w:p w:rsidR="00D243F9" w:rsidRPr="00E84D74" w:rsidRDefault="00D243F9" w:rsidP="00DA725A">
            <w:pPr>
              <w:autoSpaceDE w:val="0"/>
              <w:autoSpaceDN w:val="0"/>
              <w:adjustRightInd w:val="0"/>
              <w:rPr>
                <w:sz w:val="18"/>
                <w:szCs w:val="18"/>
              </w:rPr>
            </w:pPr>
            <w:r w:rsidRPr="00E84D74">
              <w:rPr>
                <w:sz w:val="18"/>
                <w:szCs w:val="18"/>
              </w:rPr>
              <w:t>that replies submitted in response to the consultation shall include a non-confidential version suitable</w:t>
            </w:r>
          </w:p>
          <w:p w:rsidR="00D243F9" w:rsidRPr="00E84D74" w:rsidRDefault="00D243F9" w:rsidP="00DA725A">
            <w:pPr>
              <w:autoSpaceDE w:val="0"/>
              <w:autoSpaceDN w:val="0"/>
              <w:adjustRightInd w:val="0"/>
              <w:rPr>
                <w:sz w:val="18"/>
                <w:szCs w:val="18"/>
              </w:rPr>
            </w:pPr>
            <w:r w:rsidRPr="00E84D74">
              <w:rPr>
                <w:sz w:val="18"/>
                <w:szCs w:val="18"/>
              </w:rPr>
              <w:t>for publication.</w:t>
            </w:r>
          </w:p>
          <w:p w:rsidR="00D243F9" w:rsidRPr="00E84D74" w:rsidRDefault="00D243F9" w:rsidP="00DA725A">
            <w:pPr>
              <w:autoSpaceDE w:val="0"/>
              <w:autoSpaceDN w:val="0"/>
              <w:adjustRightInd w:val="0"/>
              <w:rPr>
                <w:sz w:val="18"/>
                <w:szCs w:val="18"/>
              </w:rPr>
            </w:pPr>
            <w:r w:rsidRPr="00E84D74">
              <w:rPr>
                <w:sz w:val="18"/>
                <w:szCs w:val="18"/>
              </w:rPr>
              <w:t>3. Within one month following the end of the consultation, the transmission system operator(s) or the</w:t>
            </w:r>
          </w:p>
          <w:p w:rsidR="00D243F9" w:rsidRPr="00E84D74" w:rsidRDefault="00D243F9" w:rsidP="00DA725A">
            <w:pPr>
              <w:autoSpaceDE w:val="0"/>
              <w:autoSpaceDN w:val="0"/>
              <w:adjustRightInd w:val="0"/>
              <w:rPr>
                <w:sz w:val="18"/>
                <w:szCs w:val="18"/>
              </w:rPr>
            </w:pPr>
            <w:r w:rsidRPr="00E84D74">
              <w:rPr>
                <w:sz w:val="18"/>
                <w:szCs w:val="18"/>
              </w:rPr>
              <w:t>national regulatory authority, depending on the entity that publishes the consultation document referred</w:t>
            </w:r>
          </w:p>
          <w:p w:rsidR="00D243F9" w:rsidRPr="00E84D74" w:rsidRDefault="00D243F9" w:rsidP="00DA725A">
            <w:pPr>
              <w:autoSpaceDE w:val="0"/>
              <w:autoSpaceDN w:val="0"/>
              <w:adjustRightInd w:val="0"/>
              <w:rPr>
                <w:sz w:val="18"/>
                <w:szCs w:val="18"/>
              </w:rPr>
            </w:pPr>
            <w:r w:rsidRPr="00E84D74">
              <w:rPr>
                <w:sz w:val="18"/>
                <w:szCs w:val="18"/>
              </w:rPr>
              <w:t>to in paragraph 1, shall publish the consultation responses received and their summary. To the extent</w:t>
            </w:r>
          </w:p>
          <w:p w:rsidR="00D243F9" w:rsidRPr="00E84D74" w:rsidRDefault="00D243F9" w:rsidP="00DA725A">
            <w:pPr>
              <w:autoSpaceDE w:val="0"/>
              <w:autoSpaceDN w:val="0"/>
              <w:adjustRightInd w:val="0"/>
              <w:rPr>
                <w:sz w:val="18"/>
                <w:szCs w:val="18"/>
              </w:rPr>
            </w:pPr>
            <w:r w:rsidRPr="00E84D74">
              <w:rPr>
                <w:sz w:val="18"/>
                <w:szCs w:val="18"/>
              </w:rPr>
              <w:t>possible and in order to render more effective the consultation process, the summary should be provided</w:t>
            </w:r>
          </w:p>
          <w:p w:rsidR="00D243F9" w:rsidRPr="00E84D74" w:rsidRDefault="00D243F9" w:rsidP="00DA725A">
            <w:pPr>
              <w:autoSpaceDE w:val="0"/>
              <w:autoSpaceDN w:val="0"/>
              <w:adjustRightInd w:val="0"/>
              <w:rPr>
                <w:sz w:val="18"/>
                <w:szCs w:val="18"/>
              </w:rPr>
            </w:pPr>
            <w:r w:rsidRPr="00E84D74">
              <w:rPr>
                <w:sz w:val="18"/>
                <w:szCs w:val="18"/>
              </w:rPr>
              <w:t>in the English language.</w:t>
            </w:r>
          </w:p>
          <w:p w:rsidR="00D243F9" w:rsidRPr="00E84D74" w:rsidRDefault="00D243F9" w:rsidP="00DA725A">
            <w:pPr>
              <w:autoSpaceDE w:val="0"/>
              <w:autoSpaceDN w:val="0"/>
              <w:adjustRightInd w:val="0"/>
              <w:rPr>
                <w:sz w:val="18"/>
                <w:szCs w:val="18"/>
              </w:rPr>
            </w:pPr>
            <w:r w:rsidRPr="00E84D74">
              <w:rPr>
                <w:sz w:val="18"/>
                <w:szCs w:val="18"/>
              </w:rPr>
              <w:t>4. The subsequent periodic consultations shall be conducted in accordance with Article 27(5).</w:t>
            </w:r>
          </w:p>
          <w:p w:rsidR="00473387" w:rsidRDefault="00473387" w:rsidP="00DA725A">
            <w:pPr>
              <w:autoSpaceDE w:val="0"/>
              <w:autoSpaceDN w:val="0"/>
              <w:adjustRightInd w:val="0"/>
              <w:rPr>
                <w:sz w:val="18"/>
                <w:szCs w:val="18"/>
              </w:rPr>
            </w:pPr>
          </w:p>
          <w:p w:rsidR="00D243F9" w:rsidRPr="00E84D74" w:rsidRDefault="00D243F9" w:rsidP="00DA725A">
            <w:pPr>
              <w:autoSpaceDE w:val="0"/>
              <w:autoSpaceDN w:val="0"/>
              <w:adjustRightInd w:val="0"/>
              <w:rPr>
                <w:b/>
                <w:bCs/>
                <w:sz w:val="18"/>
                <w:szCs w:val="18"/>
              </w:rPr>
            </w:pPr>
            <w:r w:rsidRPr="00E84D74">
              <w:rPr>
                <w:sz w:val="18"/>
                <w:szCs w:val="18"/>
              </w:rPr>
              <w:lastRenderedPageBreak/>
              <w:t xml:space="preserve">5. </w:t>
            </w:r>
            <w:r w:rsidRPr="00E84D74">
              <w:rPr>
                <w:b/>
                <w:bCs/>
                <w:sz w:val="18"/>
                <w:szCs w:val="18"/>
              </w:rPr>
              <w:t xml:space="preserve">&lt;…&gt; For </w:t>
            </w:r>
            <w:r w:rsidRPr="00E84D74">
              <w:rPr>
                <w:sz w:val="18"/>
                <w:szCs w:val="18"/>
              </w:rPr>
              <w:t>the consultation document referred to in paragraph 1</w:t>
            </w:r>
            <w:r w:rsidRPr="00E84D74">
              <w:rPr>
                <w:b/>
                <w:bCs/>
                <w:sz w:val="18"/>
                <w:szCs w:val="18"/>
              </w:rPr>
              <w:t>, the template developed by</w:t>
            </w:r>
          </w:p>
          <w:p w:rsidR="00D243F9" w:rsidRPr="00E84D74" w:rsidRDefault="00D243F9" w:rsidP="00DA725A">
            <w:pPr>
              <w:rPr>
                <w:sz w:val="18"/>
                <w:szCs w:val="18"/>
              </w:rPr>
            </w:pPr>
            <w:r w:rsidRPr="00E84D74">
              <w:rPr>
                <w:b/>
                <w:bCs/>
                <w:sz w:val="18"/>
                <w:szCs w:val="18"/>
              </w:rPr>
              <w:t>Agency for Cooperation of European Regulators may be used. &lt;…&gt;</w:t>
            </w:r>
          </w:p>
        </w:tc>
      </w:tr>
      <w:tr w:rsidR="00D146AC" w:rsidRPr="00B3313F" w:rsidTr="00FC3840">
        <w:trPr>
          <w:trHeight w:val="1240"/>
        </w:trPr>
        <w:tc>
          <w:tcPr>
            <w:tcW w:w="5245" w:type="dxa"/>
          </w:tcPr>
          <w:p w:rsidR="00D146AC" w:rsidRPr="00D82EE4" w:rsidRDefault="00D146AC" w:rsidP="00B01770">
            <w:pPr>
              <w:shd w:val="clear" w:color="auto" w:fill="FFFFFF"/>
              <w:jc w:val="center"/>
              <w:rPr>
                <w:i/>
                <w:iCs/>
                <w:sz w:val="18"/>
                <w:szCs w:val="18"/>
                <w:lang w:val="it-IT"/>
              </w:rPr>
            </w:pPr>
            <w:r w:rsidRPr="00D82EE4">
              <w:rPr>
                <w:i/>
                <w:iCs/>
                <w:sz w:val="18"/>
                <w:szCs w:val="18"/>
                <w:lang w:val="it-IT"/>
              </w:rPr>
              <w:lastRenderedPageBreak/>
              <w:t>Articolul 27</w:t>
            </w:r>
          </w:p>
          <w:p w:rsidR="00D146AC" w:rsidRPr="00D82EE4" w:rsidRDefault="00D146AC" w:rsidP="00B01770">
            <w:pPr>
              <w:shd w:val="clear" w:color="auto" w:fill="FFFFFF"/>
              <w:jc w:val="center"/>
              <w:rPr>
                <w:b/>
                <w:bCs/>
                <w:sz w:val="18"/>
                <w:szCs w:val="18"/>
                <w:lang w:val="it-IT"/>
              </w:rPr>
            </w:pPr>
            <w:r w:rsidRPr="00D82EE4">
              <w:rPr>
                <w:b/>
                <w:bCs/>
                <w:sz w:val="18"/>
                <w:szCs w:val="18"/>
                <w:lang w:val="it-IT"/>
              </w:rPr>
              <w:t>Procesul decizional periodic al autorității naționale de reglementare</w:t>
            </w:r>
          </w:p>
          <w:p w:rsidR="00D146AC" w:rsidRPr="00D82EE4" w:rsidRDefault="00D146AC" w:rsidP="00DA725A">
            <w:pPr>
              <w:shd w:val="clear" w:color="auto" w:fill="FFFFFF"/>
              <w:jc w:val="both"/>
              <w:rPr>
                <w:sz w:val="18"/>
                <w:szCs w:val="18"/>
                <w:lang w:val="it-IT"/>
              </w:rPr>
            </w:pPr>
            <w:r w:rsidRPr="00D82EE4">
              <w:rPr>
                <w:sz w:val="18"/>
                <w:szCs w:val="18"/>
                <w:lang w:val="it-IT"/>
              </w:rPr>
              <w:t>(1)   În momentul lansării consultării finale în temeiul articolului 26 înainte de decizia menționată la articolul 27 alineatul (4), autoritatea națională de reglementare sau operatorul (operatorii) de transport și de sistem, conform deciziei autorității naționale de reglementare, transmite (transmit) Agenției documentele de consultare.</w:t>
            </w:r>
          </w:p>
          <w:p w:rsidR="00D146AC" w:rsidRPr="00D82EE4" w:rsidRDefault="00D146AC" w:rsidP="00DA725A">
            <w:pPr>
              <w:shd w:val="clear" w:color="auto" w:fill="FFFFFF"/>
              <w:jc w:val="both"/>
              <w:rPr>
                <w:sz w:val="18"/>
                <w:szCs w:val="18"/>
                <w:lang w:val="it-IT"/>
              </w:rPr>
            </w:pPr>
            <w:r w:rsidRPr="00D82EE4">
              <w:rPr>
                <w:sz w:val="18"/>
                <w:szCs w:val="18"/>
                <w:lang w:val="it-IT"/>
              </w:rPr>
              <w:t>(2)   Agenția analizează următoarele aspecte ale documentului de consultare: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4850"/>
            </w:tblGrid>
            <w:tr w:rsidR="00D146AC" w:rsidRPr="00C27D66" w:rsidTr="00B92DDC">
              <w:tc>
                <w:tcPr>
                  <w:tcW w:w="316"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039"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au fost publicate toate informațiile menționate la articolul 26 alineatul (1);</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elementele supuse consultării în conformitate cu articolul 26 respectă următoarele cerințe:</w:t>
                  </w:r>
                </w:p>
                <w:tbl>
                  <w:tblPr>
                    <w:tblW w:w="5000" w:type="pct"/>
                    <w:tblLayout w:type="fixed"/>
                    <w:tblCellMar>
                      <w:left w:w="0" w:type="dxa"/>
                      <w:right w:w="0" w:type="dxa"/>
                    </w:tblCellMar>
                    <w:tblLook w:val="04A0" w:firstRow="1" w:lastRow="0" w:firstColumn="1" w:lastColumn="0" w:noHBand="0" w:noVBand="1"/>
                  </w:tblPr>
                  <w:tblGrid>
                    <w:gridCol w:w="97"/>
                    <w:gridCol w:w="4890"/>
                  </w:tblGrid>
                  <w:tr w:rsidR="00D146AC" w:rsidRPr="00C27D66" w:rsidTr="00B92DDC">
                    <w:tc>
                      <w:tcPr>
                        <w:tcW w:w="164" w:type="dxa"/>
                        <w:shd w:val="clear" w:color="auto" w:fill="auto"/>
                        <w:hideMark/>
                      </w:tcPr>
                      <w:p w:rsidR="00D146AC" w:rsidRPr="00043955" w:rsidRDefault="00D146AC" w:rsidP="00DA725A">
                        <w:pPr>
                          <w:jc w:val="both"/>
                          <w:rPr>
                            <w:sz w:val="18"/>
                            <w:szCs w:val="18"/>
                          </w:rPr>
                        </w:pPr>
                        <w:r w:rsidRPr="00043955">
                          <w:rPr>
                            <w:sz w:val="18"/>
                            <w:szCs w:val="18"/>
                          </w:rPr>
                          <w:t>1.</w:t>
                        </w:r>
                      </w:p>
                    </w:tc>
                    <w:tc>
                      <w:tcPr>
                        <w:tcW w:w="9129" w:type="dxa"/>
                        <w:shd w:val="clear" w:color="auto" w:fill="auto"/>
                        <w:hideMark/>
                      </w:tcPr>
                      <w:p w:rsidR="00D146AC" w:rsidRDefault="00D146AC" w:rsidP="00DA725A">
                        <w:pPr>
                          <w:jc w:val="both"/>
                          <w:rPr>
                            <w:sz w:val="18"/>
                            <w:szCs w:val="18"/>
                            <w:lang w:val="it-IT"/>
                          </w:rPr>
                        </w:pPr>
                        <w:r w:rsidRPr="00D82EE4">
                          <w:rPr>
                            <w:sz w:val="18"/>
                            <w:szCs w:val="18"/>
                            <w:lang w:val="it-IT"/>
                          </w:rPr>
                          <w:t>dacă metodologia propusă de stabilire a prețurilor de referință respectă cerințele prevăzute la articolul 7;</w:t>
                        </w:r>
                      </w:p>
                      <w:p w:rsidR="00473387" w:rsidRPr="00D82EE4" w:rsidRDefault="00473387"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6"/>
                  </w:tblGrid>
                  <w:tr w:rsidR="00D146AC" w:rsidRPr="00043955"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2.</w:t>
                        </w:r>
                      </w:p>
                    </w:tc>
                    <w:tc>
                      <w:tcPr>
                        <w:tcW w:w="9158" w:type="dxa"/>
                        <w:shd w:val="clear" w:color="auto" w:fill="auto"/>
                        <w:hideMark/>
                      </w:tcPr>
                      <w:p w:rsidR="00D146AC" w:rsidRDefault="00D146AC" w:rsidP="00DA725A">
                        <w:pPr>
                          <w:jc w:val="both"/>
                          <w:rPr>
                            <w:sz w:val="18"/>
                            <w:szCs w:val="18"/>
                          </w:rPr>
                        </w:pPr>
                        <w:r w:rsidRPr="00043955">
                          <w:rPr>
                            <w:sz w:val="18"/>
                            <w:szCs w:val="18"/>
                          </w:rPr>
                          <w:t>dacă sunt îndeplinite criteriile privind stabilirea tarifelor de transport volumetrice, astfel cum sunt prevăzute la articolul 4 alineatul (3);</w:t>
                        </w:r>
                      </w:p>
                      <w:p w:rsidR="00473387" w:rsidRPr="00043955" w:rsidRDefault="00473387" w:rsidP="00DA725A">
                        <w:pPr>
                          <w:jc w:val="both"/>
                          <w:rPr>
                            <w:sz w:val="18"/>
                            <w:szCs w:val="18"/>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6"/>
                  </w:tblGrid>
                  <w:tr w:rsidR="00D146AC" w:rsidRPr="00C27D66" w:rsidTr="00B92DDC">
                    <w:tc>
                      <w:tcPr>
                        <w:tcW w:w="135" w:type="dxa"/>
                        <w:shd w:val="clear" w:color="auto" w:fill="auto"/>
                        <w:hideMark/>
                      </w:tcPr>
                      <w:p w:rsidR="00D146AC" w:rsidRPr="00D82EE4" w:rsidRDefault="00D146AC" w:rsidP="00DA725A">
                        <w:pPr>
                          <w:jc w:val="both"/>
                          <w:rPr>
                            <w:sz w:val="18"/>
                            <w:szCs w:val="18"/>
                            <w:lang w:val="it-IT"/>
                          </w:rPr>
                        </w:pPr>
                        <w:r w:rsidRPr="00D82EE4">
                          <w:rPr>
                            <w:sz w:val="18"/>
                            <w:szCs w:val="18"/>
                            <w:lang w:val="it-IT"/>
                          </w:rPr>
                          <w:t>3.</w:t>
                        </w:r>
                      </w:p>
                    </w:tc>
                    <w:tc>
                      <w:tcPr>
                        <w:tcW w:w="9158" w:type="dxa"/>
                        <w:shd w:val="clear" w:color="auto" w:fill="auto"/>
                        <w:hideMark/>
                      </w:tcPr>
                      <w:p w:rsidR="00D146AC" w:rsidRDefault="00D146AC" w:rsidP="00DA725A">
                        <w:pPr>
                          <w:jc w:val="both"/>
                          <w:rPr>
                            <w:sz w:val="18"/>
                            <w:szCs w:val="18"/>
                            <w:lang w:val="it-IT"/>
                          </w:rPr>
                        </w:pPr>
                        <w:r w:rsidRPr="00D82EE4">
                          <w:rPr>
                            <w:sz w:val="18"/>
                            <w:szCs w:val="18"/>
                            <w:lang w:val="it-IT"/>
                          </w:rPr>
                          <w:t>dacă sunt îndeplinite criteriile privind stabilirea altor tarife decât cele de transport, astfel cum sunt prevăzute la articolul 4 alineatul (4).</w:t>
                        </w:r>
                      </w:p>
                      <w:p w:rsidR="00473387" w:rsidRDefault="00473387" w:rsidP="00DA725A">
                        <w:pPr>
                          <w:jc w:val="both"/>
                          <w:rPr>
                            <w:sz w:val="18"/>
                            <w:szCs w:val="18"/>
                            <w:lang w:val="it-IT"/>
                          </w:rPr>
                        </w:pPr>
                      </w:p>
                      <w:p w:rsidR="00473387" w:rsidRDefault="00473387" w:rsidP="00DA725A">
                        <w:pPr>
                          <w:jc w:val="both"/>
                          <w:rPr>
                            <w:sz w:val="18"/>
                            <w:szCs w:val="18"/>
                            <w:lang w:val="it-IT"/>
                          </w:rPr>
                        </w:pPr>
                      </w:p>
                      <w:p w:rsidR="00473387" w:rsidRPr="00D82EE4" w:rsidRDefault="00473387"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(3)   În termen de două luni de la încheierea consultării menționate la alineatul (1), Agenția publică și trimite autorității naționale de reglementare sau operatorului de transport și de sistem, în funcție de entitatea care a publicat documentul de consultare, precum și Comisiei, în limba engleză, concluzia analizei pe care a realizat-o în conformitate cu alineatul (2).</w:t>
            </w:r>
          </w:p>
          <w:p w:rsidR="00473387" w:rsidRDefault="00D146AC" w:rsidP="00473387">
            <w:pPr>
              <w:shd w:val="clear" w:color="auto" w:fill="FFFFFF"/>
              <w:jc w:val="both"/>
              <w:rPr>
                <w:sz w:val="18"/>
                <w:szCs w:val="18"/>
                <w:lang w:val="it-IT"/>
              </w:rPr>
            </w:pPr>
            <w:r w:rsidRPr="00D82EE4">
              <w:rPr>
                <w:sz w:val="18"/>
                <w:szCs w:val="18"/>
                <w:lang w:val="it-IT"/>
              </w:rPr>
              <w:t>Agenția respectă confidențialitatea informațiilor sensibile din punct de vedere comercial.</w:t>
            </w:r>
          </w:p>
          <w:p w:rsidR="00473387" w:rsidRDefault="00473387" w:rsidP="00473387">
            <w:pPr>
              <w:shd w:val="clear" w:color="auto" w:fill="FFFFFF"/>
              <w:jc w:val="both"/>
              <w:rPr>
                <w:sz w:val="18"/>
                <w:szCs w:val="18"/>
                <w:lang w:val="it-IT"/>
              </w:rPr>
            </w:pPr>
          </w:p>
          <w:p w:rsidR="00D146AC" w:rsidRDefault="00D146AC" w:rsidP="00473387">
            <w:pPr>
              <w:shd w:val="clear" w:color="auto" w:fill="FFFFFF"/>
              <w:jc w:val="both"/>
              <w:rPr>
                <w:sz w:val="18"/>
                <w:szCs w:val="18"/>
                <w:lang w:val="it-IT"/>
              </w:rPr>
            </w:pPr>
            <w:r w:rsidRPr="00D82EE4">
              <w:rPr>
                <w:sz w:val="18"/>
                <w:szCs w:val="18"/>
                <w:lang w:val="it-IT"/>
              </w:rPr>
              <w:t xml:space="preserve">(4)   În termen de cinci luni de la încheierea consultării finale, autoritatea națională de reglementare, acționând în conformitate cu articolul 41 alineatul (6) litera (a) din Directiva 2009/73/CE, adoptă și publică o decizie motivată cu privire la toate elementele prevăzute la </w:t>
            </w:r>
            <w:r w:rsidRPr="00D82EE4">
              <w:rPr>
                <w:sz w:val="18"/>
                <w:szCs w:val="18"/>
                <w:lang w:val="it-IT"/>
              </w:rPr>
              <w:lastRenderedPageBreak/>
              <w:t>articolul 26 alineatul (1). În momentul publicării, autoritatea națională de reglementare trimite decizia sa Agenției și Comisiei.</w:t>
            </w:r>
          </w:p>
          <w:p w:rsidR="00473387" w:rsidRDefault="00473387" w:rsidP="00473387">
            <w:pPr>
              <w:shd w:val="clear" w:color="auto" w:fill="FFFFFF"/>
              <w:jc w:val="both"/>
              <w:rPr>
                <w:sz w:val="18"/>
                <w:szCs w:val="18"/>
                <w:lang w:val="it-IT"/>
              </w:rPr>
            </w:pPr>
          </w:p>
          <w:p w:rsidR="00473387" w:rsidRDefault="00473387" w:rsidP="00473387">
            <w:pPr>
              <w:shd w:val="clear" w:color="auto" w:fill="FFFFFF"/>
              <w:jc w:val="both"/>
              <w:rPr>
                <w:sz w:val="18"/>
                <w:szCs w:val="18"/>
                <w:lang w:val="it-IT"/>
              </w:rPr>
            </w:pPr>
          </w:p>
          <w:p w:rsidR="00473387" w:rsidRPr="00D82EE4" w:rsidRDefault="00473387" w:rsidP="00473387">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(5)   Procedura, ale cărei etape sunt consultarea finală cu privire la metodologia de stabilire a prețurilor de referință în conformitate cu articolul 26, adoptarea deciziei de către autoritatea națională de reglementare în conformitate cu alineatul (4), calcularea tarifelor pe baza acestei decizii și publicarea tarifelor în conformitate cu capitolul VIII, poate fi inițiată începând de la data intrării în vigoare a prezentului regulament și trebuie încheiată cel târziu la 31 mai 2019. În cadrul acestei proceduri trebuie luate în considerare cerințele prevăzute la capitolele II, III și IV. Tarifele aplicabile pentru perioada tarifară în curs la data de 31 mai 2019 vor fi aplicabile până la încheierea perioadei respective. Această procedură trebuie repetată cel puțin o dată la cinci ani, începând de la 31 mai 2019.</w:t>
            </w:r>
          </w:p>
        </w:tc>
        <w:tc>
          <w:tcPr>
            <w:tcW w:w="4962" w:type="dxa"/>
          </w:tcPr>
          <w:p w:rsidR="00B01770" w:rsidRPr="00B01770" w:rsidRDefault="00B01770" w:rsidP="00B01770">
            <w:pPr>
              <w:shd w:val="clear" w:color="auto" w:fill="FFFFFF"/>
              <w:jc w:val="center"/>
              <w:rPr>
                <w:bCs/>
                <w:sz w:val="18"/>
                <w:szCs w:val="18"/>
                <w:lang w:val="ro-RO"/>
              </w:rPr>
            </w:pPr>
            <w:r w:rsidRPr="00B01770">
              <w:rPr>
                <w:b/>
                <w:bCs/>
                <w:sz w:val="18"/>
                <w:szCs w:val="18"/>
                <w:lang w:val="ro-RO"/>
              </w:rPr>
              <w:lastRenderedPageBreak/>
              <w:t>Secţiunea 2</w:t>
            </w:r>
          </w:p>
          <w:p w:rsidR="00B01770" w:rsidRPr="00B01770" w:rsidRDefault="00B01770" w:rsidP="00B01770">
            <w:pPr>
              <w:shd w:val="clear" w:color="auto" w:fill="FFFFFF"/>
              <w:jc w:val="center"/>
              <w:rPr>
                <w:bCs/>
                <w:sz w:val="18"/>
                <w:szCs w:val="18"/>
                <w:lang w:val="ro-RO"/>
              </w:rPr>
            </w:pPr>
            <w:r w:rsidRPr="00B01770">
              <w:rPr>
                <w:b/>
                <w:bCs/>
                <w:sz w:val="18"/>
                <w:szCs w:val="18"/>
                <w:lang w:val="ro-RO"/>
              </w:rPr>
              <w:t>Procesul decizional periodic al autorităţii naţionale de reglementare</w:t>
            </w:r>
          </w:p>
          <w:p w:rsidR="00B01770" w:rsidRDefault="00B01770" w:rsidP="00B01770">
            <w:pPr>
              <w:shd w:val="clear" w:color="auto" w:fill="FFFFFF"/>
              <w:jc w:val="both"/>
              <w:rPr>
                <w:b/>
                <w:bCs/>
                <w:sz w:val="18"/>
                <w:szCs w:val="18"/>
                <w:lang w:val="ro-RO"/>
              </w:rPr>
            </w:pPr>
          </w:p>
          <w:p w:rsidR="00B01770" w:rsidRDefault="00B01770" w:rsidP="00B01770">
            <w:pPr>
              <w:shd w:val="clear" w:color="auto" w:fill="FFFFFF"/>
              <w:jc w:val="both"/>
              <w:rPr>
                <w:bCs/>
                <w:sz w:val="18"/>
                <w:szCs w:val="18"/>
                <w:lang w:val="ro-RO"/>
              </w:rPr>
            </w:pPr>
            <w:r w:rsidRPr="00B01770">
              <w:rPr>
                <w:b/>
                <w:bCs/>
                <w:sz w:val="18"/>
                <w:szCs w:val="18"/>
                <w:lang w:val="ro-RO"/>
              </w:rPr>
              <w:t>400.</w:t>
            </w:r>
            <w:r w:rsidRPr="00B01770">
              <w:rPr>
                <w:bCs/>
                <w:sz w:val="18"/>
                <w:szCs w:val="18"/>
                <w:lang w:val="ro-RO"/>
              </w:rPr>
              <w:t xml:space="preserve"> În momentul lansării consultării finale în temeiul Secţiunii I din prezentul Capitol, înainte de Hotărârea menţionată la pct.402, Agenţia sau OST desemnat de Agenţie, transmite documentele de consultare Comitetului de reglementare al CE, care va analiza următoarele aspecte:</w:t>
            </w:r>
          </w:p>
          <w:p w:rsidR="00473387" w:rsidRPr="00B01770" w:rsidRDefault="00473387" w:rsidP="00B01770">
            <w:pPr>
              <w:shd w:val="clear" w:color="auto" w:fill="FFFFFF"/>
              <w:jc w:val="both"/>
              <w:rPr>
                <w:bCs/>
                <w:sz w:val="18"/>
                <w:szCs w:val="18"/>
                <w:lang w:val="ro-RO"/>
              </w:rPr>
            </w:pPr>
          </w:p>
          <w:p w:rsidR="00B01770" w:rsidRPr="00B01770" w:rsidRDefault="00B01770" w:rsidP="00B01770">
            <w:pPr>
              <w:shd w:val="clear" w:color="auto" w:fill="FFFFFF"/>
              <w:jc w:val="both"/>
              <w:rPr>
                <w:bCs/>
                <w:sz w:val="18"/>
                <w:szCs w:val="18"/>
                <w:lang w:val="ro-RO"/>
              </w:rPr>
            </w:pPr>
            <w:r w:rsidRPr="00B01770">
              <w:rPr>
                <w:bCs/>
                <w:sz w:val="18"/>
                <w:szCs w:val="18"/>
                <w:lang w:val="ro-RO"/>
              </w:rPr>
              <w:t>1) dacă au fost publicate toate informaţiile menţionate la pct.394;</w:t>
            </w:r>
          </w:p>
          <w:p w:rsidR="00B01770" w:rsidRPr="00B01770" w:rsidRDefault="00B01770" w:rsidP="00B01770">
            <w:pPr>
              <w:shd w:val="clear" w:color="auto" w:fill="FFFFFF"/>
              <w:jc w:val="both"/>
              <w:rPr>
                <w:bCs/>
                <w:sz w:val="18"/>
                <w:szCs w:val="18"/>
                <w:lang w:val="ro-RO"/>
              </w:rPr>
            </w:pPr>
            <w:r w:rsidRPr="00B01770">
              <w:rPr>
                <w:bCs/>
                <w:sz w:val="18"/>
                <w:szCs w:val="18"/>
                <w:lang w:val="ro-RO"/>
              </w:rPr>
              <w:t>2) dacă elementele supuse consultării în conformitate cu pct.394-399 (Secţiunea I din prezentul Capitol) respectă următoarele cerinţe:</w:t>
            </w:r>
          </w:p>
          <w:p w:rsidR="00B01770" w:rsidRPr="00B01770" w:rsidRDefault="00B01770" w:rsidP="00B01770">
            <w:pPr>
              <w:shd w:val="clear" w:color="auto" w:fill="FFFFFF"/>
              <w:jc w:val="both"/>
              <w:rPr>
                <w:bCs/>
                <w:sz w:val="18"/>
                <w:szCs w:val="18"/>
                <w:lang w:val="ro-RO"/>
              </w:rPr>
            </w:pPr>
            <w:r w:rsidRPr="00B01770">
              <w:rPr>
                <w:bCs/>
                <w:sz w:val="18"/>
                <w:szCs w:val="18"/>
                <w:lang w:val="ro-RO"/>
              </w:rPr>
              <w:t>a) dacă metoda de calculare a preţurilor de referinţă respectă cerinţele prevăzute la pct.337;</w:t>
            </w:r>
          </w:p>
          <w:p w:rsidR="00B01770" w:rsidRPr="00B01770" w:rsidRDefault="00B01770" w:rsidP="00B01770">
            <w:pPr>
              <w:shd w:val="clear" w:color="auto" w:fill="FFFFFF"/>
              <w:jc w:val="both"/>
              <w:rPr>
                <w:bCs/>
                <w:sz w:val="18"/>
                <w:szCs w:val="18"/>
                <w:lang w:val="ro-RO"/>
              </w:rPr>
            </w:pPr>
            <w:r w:rsidRPr="00B01770">
              <w:rPr>
                <w:bCs/>
                <w:sz w:val="18"/>
                <w:szCs w:val="18"/>
                <w:lang w:val="ro-RO"/>
              </w:rPr>
              <w:t>b) dacă sunt îndeplinite criteriile privind calcularea tarifelor pentru serviciul de transport volumetrice, conform pct.324;</w:t>
            </w:r>
          </w:p>
          <w:p w:rsidR="00B01770" w:rsidRPr="00B01770" w:rsidRDefault="00B01770" w:rsidP="00B01770">
            <w:pPr>
              <w:shd w:val="clear" w:color="auto" w:fill="FFFFFF"/>
              <w:jc w:val="both"/>
              <w:rPr>
                <w:bCs/>
                <w:sz w:val="18"/>
                <w:szCs w:val="18"/>
                <w:lang w:val="ro-RO"/>
              </w:rPr>
            </w:pPr>
            <w:r w:rsidRPr="00B01770">
              <w:rPr>
                <w:bCs/>
                <w:sz w:val="18"/>
                <w:szCs w:val="18"/>
                <w:lang w:val="ro-RO"/>
              </w:rPr>
              <w:t>c) dacă sunt îndeplinite criteriile privind stabilirea altor tarife decât celor pentru prestarea serviciului de transport al gazelor naturale, conform pct.325-326.</w:t>
            </w:r>
          </w:p>
          <w:p w:rsidR="00B01770" w:rsidRDefault="00B01770" w:rsidP="00B01770">
            <w:pPr>
              <w:shd w:val="clear" w:color="auto" w:fill="FFFFFF"/>
              <w:jc w:val="both"/>
              <w:rPr>
                <w:bCs/>
                <w:sz w:val="18"/>
                <w:szCs w:val="18"/>
                <w:lang w:val="ro-RO"/>
              </w:rPr>
            </w:pPr>
            <w:r w:rsidRPr="00B01770">
              <w:rPr>
                <w:bCs/>
                <w:sz w:val="18"/>
                <w:szCs w:val="18"/>
                <w:lang w:val="ro-RO"/>
              </w:rPr>
              <w:t> </w:t>
            </w:r>
          </w:p>
          <w:p w:rsidR="00473387" w:rsidRDefault="00473387" w:rsidP="00B01770">
            <w:pPr>
              <w:shd w:val="clear" w:color="auto" w:fill="FFFFFF"/>
              <w:jc w:val="both"/>
              <w:rPr>
                <w:bCs/>
                <w:sz w:val="18"/>
                <w:szCs w:val="18"/>
                <w:lang w:val="ro-RO"/>
              </w:rPr>
            </w:pPr>
          </w:p>
          <w:p w:rsidR="00473387" w:rsidRDefault="00473387" w:rsidP="00B01770">
            <w:pPr>
              <w:shd w:val="clear" w:color="auto" w:fill="FFFFFF"/>
              <w:jc w:val="both"/>
              <w:rPr>
                <w:bCs/>
                <w:sz w:val="18"/>
                <w:szCs w:val="18"/>
                <w:lang w:val="ro-RO"/>
              </w:rPr>
            </w:pPr>
          </w:p>
          <w:p w:rsidR="00473387" w:rsidRDefault="00473387" w:rsidP="00B01770">
            <w:pPr>
              <w:shd w:val="clear" w:color="auto" w:fill="FFFFFF"/>
              <w:jc w:val="both"/>
              <w:rPr>
                <w:bCs/>
                <w:sz w:val="18"/>
                <w:szCs w:val="18"/>
                <w:lang w:val="ro-RO"/>
              </w:rPr>
            </w:pPr>
          </w:p>
          <w:p w:rsidR="00B01770" w:rsidRPr="00B01770" w:rsidRDefault="00B01770" w:rsidP="00B01770">
            <w:pPr>
              <w:shd w:val="clear" w:color="auto" w:fill="FFFFFF"/>
              <w:jc w:val="both"/>
              <w:rPr>
                <w:bCs/>
                <w:sz w:val="18"/>
                <w:szCs w:val="18"/>
                <w:lang w:val="ro-RO"/>
              </w:rPr>
            </w:pPr>
            <w:r w:rsidRPr="00B01770">
              <w:rPr>
                <w:b/>
                <w:bCs/>
                <w:sz w:val="18"/>
                <w:szCs w:val="18"/>
                <w:lang w:val="ro-RO"/>
              </w:rPr>
              <w:t>401.</w:t>
            </w:r>
            <w:r w:rsidRPr="00B01770">
              <w:rPr>
                <w:bCs/>
                <w:sz w:val="18"/>
                <w:szCs w:val="18"/>
                <w:lang w:val="ro-RO"/>
              </w:rPr>
              <w:t xml:space="preserve"> În termen de 2 luni de la încheierea consultării menţionate la pct.402, Agenţia sau OST, în funcţie de entitatea care a publicat documentul de consultare precum şi Secretariatul Comunităţii Energetice, recepţionează de la Comitetul de reglementare al CE, în limba engleză, concluzia analizei realizate cu respectarea confidenţialitatea informaţiilor sensibile din punct de vedere comercial.</w:t>
            </w:r>
          </w:p>
          <w:p w:rsidR="00B01770" w:rsidRDefault="00B01770" w:rsidP="00B01770">
            <w:pPr>
              <w:shd w:val="clear" w:color="auto" w:fill="FFFFFF"/>
              <w:jc w:val="both"/>
              <w:rPr>
                <w:b/>
                <w:bCs/>
                <w:sz w:val="18"/>
                <w:szCs w:val="18"/>
                <w:lang w:val="ro-RO"/>
              </w:rPr>
            </w:pPr>
          </w:p>
          <w:p w:rsidR="00473387" w:rsidRDefault="00473387" w:rsidP="00B01770">
            <w:pPr>
              <w:shd w:val="clear" w:color="auto" w:fill="FFFFFF"/>
              <w:jc w:val="both"/>
              <w:rPr>
                <w:b/>
                <w:bCs/>
                <w:sz w:val="18"/>
                <w:szCs w:val="18"/>
                <w:lang w:val="ro-RO"/>
              </w:rPr>
            </w:pPr>
          </w:p>
          <w:p w:rsidR="00473387" w:rsidRDefault="00473387" w:rsidP="00B01770">
            <w:pPr>
              <w:shd w:val="clear" w:color="auto" w:fill="FFFFFF"/>
              <w:jc w:val="both"/>
              <w:rPr>
                <w:b/>
                <w:bCs/>
                <w:sz w:val="18"/>
                <w:szCs w:val="18"/>
                <w:lang w:val="ro-RO"/>
              </w:rPr>
            </w:pPr>
          </w:p>
          <w:p w:rsidR="00B01770" w:rsidRPr="00B01770" w:rsidRDefault="00B01770" w:rsidP="00B01770">
            <w:pPr>
              <w:shd w:val="clear" w:color="auto" w:fill="FFFFFF"/>
              <w:jc w:val="both"/>
              <w:rPr>
                <w:bCs/>
                <w:sz w:val="18"/>
                <w:szCs w:val="18"/>
                <w:lang w:val="ro-RO"/>
              </w:rPr>
            </w:pPr>
            <w:r w:rsidRPr="00B01770">
              <w:rPr>
                <w:b/>
                <w:bCs/>
                <w:sz w:val="18"/>
                <w:szCs w:val="18"/>
                <w:lang w:val="ro-RO"/>
              </w:rPr>
              <w:t>402.</w:t>
            </w:r>
            <w:r w:rsidRPr="00B01770">
              <w:rPr>
                <w:bCs/>
                <w:sz w:val="18"/>
                <w:szCs w:val="18"/>
                <w:lang w:val="ro-RO"/>
              </w:rPr>
              <w:t xml:space="preserve"> În termen de 5 luni de la încheierea consultării finale, Agenţia, acţionând în conformitate cu articolul 7, alin.(2) lit.a) al </w:t>
            </w:r>
            <w:hyperlink r:id="rId86" w:history="1">
              <w:r w:rsidRPr="00B01770">
                <w:rPr>
                  <w:rStyle w:val="Hyperlink"/>
                  <w:bCs/>
                  <w:sz w:val="18"/>
                  <w:szCs w:val="18"/>
                  <w:lang w:val="ro-RO"/>
                </w:rPr>
                <w:t>Legii 108/2016</w:t>
              </w:r>
            </w:hyperlink>
            <w:r w:rsidRPr="00B01770">
              <w:rPr>
                <w:bCs/>
                <w:sz w:val="18"/>
                <w:szCs w:val="18"/>
                <w:lang w:val="ro-RO"/>
              </w:rPr>
              <w:t xml:space="preserve">, adoptă şi publică Hotărârea privind aprobarea Metodologiei de calculare, aprobare şi aplicare a tarifelor pentru </w:t>
            </w:r>
            <w:r w:rsidRPr="00B01770">
              <w:rPr>
                <w:bCs/>
                <w:sz w:val="18"/>
                <w:szCs w:val="18"/>
                <w:lang w:val="ro-RO"/>
              </w:rPr>
              <w:lastRenderedPageBreak/>
              <w:t>serviciul de transport al gazelor naturale cu motivarea tuturor elementelor prevăzute la pct.394. În ziua publicării, Agenţia transmite Hotărârea sa Comitetului de reglementare al CE şi Secretariatului Comunităţii Energetice.</w:t>
            </w:r>
          </w:p>
          <w:p w:rsidR="00D146AC" w:rsidRDefault="00D146AC" w:rsidP="00DA725A">
            <w:pPr>
              <w:shd w:val="clear" w:color="auto" w:fill="FFFFFF"/>
              <w:jc w:val="both"/>
              <w:rPr>
                <w:bCs/>
                <w:sz w:val="18"/>
                <w:szCs w:val="18"/>
                <w:lang w:val="ro-RO"/>
              </w:rPr>
            </w:pPr>
          </w:p>
          <w:p w:rsidR="0008169B" w:rsidRPr="00485F66" w:rsidRDefault="0008169B" w:rsidP="0008169B">
            <w:pPr>
              <w:jc w:val="both"/>
              <w:rPr>
                <w:sz w:val="18"/>
                <w:szCs w:val="24"/>
                <w:lang w:val="it-IT"/>
              </w:rPr>
            </w:pPr>
            <w:r w:rsidRPr="00485F66">
              <w:rPr>
                <w:b/>
                <w:bCs/>
                <w:sz w:val="18"/>
                <w:szCs w:val="24"/>
                <w:lang w:val="ro-RO"/>
              </w:rPr>
              <w:t>635.</w:t>
            </w:r>
            <w:r w:rsidRPr="00485F66">
              <w:rPr>
                <w:sz w:val="18"/>
                <w:szCs w:val="24"/>
                <w:lang w:val="ro-RO"/>
              </w:rPr>
              <w:t xml:space="preserve"> Procedura de consultare ale cărei etape sunt: consultarea finală în conformitate cu pct.394-399, adoptarea Hotărârii de către Agenţie în conformitate cu pct.404, calcularea tarifelor pe baza acestei Hotărâri şi publicarea tarifelor în conformitate cu pct.407-417 (Capitolul VIII, Titlul V), trebuie încheiată cel târziu la 31 mai 2021. </w:t>
            </w:r>
            <w:r w:rsidRPr="00485F66">
              <w:rPr>
                <w:sz w:val="18"/>
                <w:szCs w:val="24"/>
                <w:lang w:val="it-IT"/>
              </w:rPr>
              <w:t>Cerinţele stabilite în capitolele II, III şi IV al Titlului V se iau în considerare în această procedură. Tarifele aplicabile pentru perioada tarifară în curs la data de 31 mai 2021 vor fi aplicabile până la încheierea perioadei respective. Această procedură trebuie repetată cel puţin o dată la 5 ani, începând de la 31 mai 2021.</w:t>
            </w:r>
          </w:p>
          <w:p w:rsidR="0008169B" w:rsidRPr="00485F66" w:rsidRDefault="0008169B" w:rsidP="00DA725A">
            <w:pPr>
              <w:shd w:val="clear" w:color="auto" w:fill="FFFFFF"/>
              <w:jc w:val="both"/>
              <w:rPr>
                <w:bCs/>
                <w:sz w:val="18"/>
                <w:szCs w:val="18"/>
                <w:lang w:val="it-IT"/>
              </w:rPr>
            </w:pPr>
          </w:p>
        </w:tc>
        <w:tc>
          <w:tcPr>
            <w:tcW w:w="1275" w:type="dxa"/>
          </w:tcPr>
          <w:p w:rsidR="00D146AC" w:rsidRDefault="00D146AC" w:rsidP="00DA725A">
            <w:pPr>
              <w:jc w:val="both"/>
              <w:rPr>
                <w:b/>
                <w:sz w:val="18"/>
                <w:szCs w:val="18"/>
                <w:lang w:val="it-IT"/>
              </w:rPr>
            </w:pPr>
          </w:p>
          <w:p w:rsidR="001E7E9A" w:rsidRPr="00D82EE4" w:rsidRDefault="001E7E9A" w:rsidP="00DA725A">
            <w:pPr>
              <w:jc w:val="both"/>
              <w:rPr>
                <w:b/>
                <w:sz w:val="18"/>
                <w:szCs w:val="18"/>
                <w:lang w:val="it-IT"/>
              </w:rPr>
            </w:pPr>
          </w:p>
          <w:p w:rsidR="00D146AC" w:rsidRDefault="00D146AC" w:rsidP="00DA725A">
            <w:pPr>
              <w:jc w:val="both"/>
              <w:rPr>
                <w:b/>
                <w:sz w:val="18"/>
                <w:szCs w:val="18"/>
                <w:lang w:val="it-IT"/>
              </w:rPr>
            </w:pPr>
          </w:p>
          <w:p w:rsidR="009932A6" w:rsidRPr="00D82EE4" w:rsidRDefault="009932A6"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Pr="00D82EE4" w:rsidRDefault="00473387"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tc>
        <w:tc>
          <w:tcPr>
            <w:tcW w:w="4253" w:type="dxa"/>
          </w:tcPr>
          <w:p w:rsidR="00D02688" w:rsidRPr="00E84D74" w:rsidRDefault="00D02688" w:rsidP="0008169B">
            <w:pPr>
              <w:autoSpaceDE w:val="0"/>
              <w:autoSpaceDN w:val="0"/>
              <w:adjustRightInd w:val="0"/>
              <w:jc w:val="both"/>
              <w:rPr>
                <w:b/>
                <w:bCs/>
                <w:i/>
                <w:iCs/>
                <w:sz w:val="18"/>
                <w:szCs w:val="18"/>
              </w:rPr>
            </w:pPr>
            <w:r w:rsidRPr="00E84D74">
              <w:rPr>
                <w:b/>
                <w:bCs/>
                <w:i/>
                <w:iCs/>
                <w:sz w:val="18"/>
                <w:szCs w:val="18"/>
              </w:rPr>
              <w:lastRenderedPageBreak/>
              <w:t>Article 27</w:t>
            </w:r>
          </w:p>
          <w:p w:rsidR="00D146AC" w:rsidRPr="00E84D74" w:rsidRDefault="00D02688" w:rsidP="0008169B">
            <w:pPr>
              <w:jc w:val="both"/>
              <w:rPr>
                <w:b/>
                <w:bCs/>
                <w:sz w:val="18"/>
                <w:szCs w:val="18"/>
              </w:rPr>
            </w:pPr>
            <w:r w:rsidRPr="00E84D74">
              <w:rPr>
                <w:b/>
                <w:bCs/>
                <w:sz w:val="18"/>
                <w:szCs w:val="18"/>
              </w:rPr>
              <w:t>Periodic national regulatory authority decision-making</w:t>
            </w:r>
          </w:p>
          <w:p w:rsidR="00D02688" w:rsidRPr="00E84D74" w:rsidRDefault="00D02688" w:rsidP="0008169B">
            <w:pPr>
              <w:jc w:val="both"/>
              <w:rPr>
                <w:b/>
                <w:bCs/>
                <w:sz w:val="18"/>
                <w:szCs w:val="18"/>
              </w:rPr>
            </w:pPr>
          </w:p>
          <w:p w:rsidR="00D02688" w:rsidRPr="00E84D74" w:rsidRDefault="00D02688" w:rsidP="0008169B">
            <w:pPr>
              <w:autoSpaceDE w:val="0"/>
              <w:autoSpaceDN w:val="0"/>
              <w:adjustRightInd w:val="0"/>
              <w:jc w:val="both"/>
              <w:rPr>
                <w:sz w:val="18"/>
                <w:szCs w:val="18"/>
              </w:rPr>
            </w:pPr>
            <w:r w:rsidRPr="00E84D74">
              <w:rPr>
                <w:sz w:val="18"/>
                <w:szCs w:val="18"/>
              </w:rPr>
              <w:t>1. Upon launching the final consultation pursuant to Article 26 prior to the decision referred to in Article</w:t>
            </w:r>
          </w:p>
          <w:p w:rsidR="00D02688" w:rsidRPr="00E84D74" w:rsidRDefault="00D02688" w:rsidP="0008169B">
            <w:pPr>
              <w:autoSpaceDE w:val="0"/>
              <w:autoSpaceDN w:val="0"/>
              <w:adjustRightInd w:val="0"/>
              <w:jc w:val="both"/>
              <w:rPr>
                <w:sz w:val="18"/>
                <w:szCs w:val="18"/>
              </w:rPr>
            </w:pPr>
            <w:r w:rsidRPr="00E84D74">
              <w:rPr>
                <w:sz w:val="18"/>
                <w:szCs w:val="18"/>
              </w:rPr>
              <w:t>27(4), the national regulatory authority or the transmission system operator(s), as decided by the</w:t>
            </w:r>
            <w:r w:rsidR="009932A6" w:rsidRPr="00E84D74">
              <w:rPr>
                <w:sz w:val="18"/>
                <w:szCs w:val="18"/>
              </w:rPr>
              <w:t xml:space="preserve"> </w:t>
            </w:r>
            <w:r w:rsidRPr="00E84D74">
              <w:rPr>
                <w:sz w:val="18"/>
                <w:szCs w:val="18"/>
              </w:rPr>
              <w:t xml:space="preserve">national regulatory authority, shall forward the consultation documents to the </w:t>
            </w:r>
            <w:r w:rsidRPr="00E84D74">
              <w:rPr>
                <w:b/>
                <w:bCs/>
                <w:sz w:val="18"/>
                <w:szCs w:val="18"/>
              </w:rPr>
              <w:t>Energy Community</w:t>
            </w:r>
            <w:r w:rsidR="009932A6" w:rsidRPr="00E84D74">
              <w:rPr>
                <w:b/>
                <w:bCs/>
                <w:sz w:val="18"/>
                <w:szCs w:val="18"/>
              </w:rPr>
              <w:t xml:space="preserve"> </w:t>
            </w:r>
            <w:r w:rsidRPr="00E84D74">
              <w:rPr>
                <w:b/>
                <w:bCs/>
                <w:sz w:val="18"/>
                <w:szCs w:val="18"/>
              </w:rPr>
              <w:t>Regulatory Board</w:t>
            </w:r>
            <w:r w:rsidRPr="00E84D74">
              <w:rPr>
                <w:sz w:val="18"/>
                <w:szCs w:val="18"/>
              </w:rPr>
              <w:t>.</w:t>
            </w:r>
          </w:p>
          <w:p w:rsidR="00D02688" w:rsidRPr="00E84D74" w:rsidRDefault="00D02688" w:rsidP="0008169B">
            <w:pPr>
              <w:autoSpaceDE w:val="0"/>
              <w:autoSpaceDN w:val="0"/>
              <w:adjustRightInd w:val="0"/>
              <w:jc w:val="both"/>
              <w:rPr>
                <w:sz w:val="18"/>
                <w:szCs w:val="18"/>
              </w:rPr>
            </w:pPr>
            <w:r w:rsidRPr="00E84D74">
              <w:rPr>
                <w:sz w:val="18"/>
                <w:szCs w:val="18"/>
              </w:rPr>
              <w:t xml:space="preserve">2. The </w:t>
            </w:r>
            <w:r w:rsidRPr="00E84D74">
              <w:rPr>
                <w:b/>
                <w:bCs/>
                <w:sz w:val="18"/>
                <w:szCs w:val="18"/>
              </w:rPr>
              <w:t xml:space="preserve">Energy Community Regulatory Board </w:t>
            </w:r>
            <w:r w:rsidRPr="00E84D74">
              <w:rPr>
                <w:sz w:val="18"/>
                <w:szCs w:val="18"/>
              </w:rPr>
              <w:t>shall analyse the following aspects of the consultation</w:t>
            </w:r>
          </w:p>
          <w:p w:rsidR="00D02688" w:rsidRPr="00E84D74" w:rsidRDefault="00D02688" w:rsidP="0008169B">
            <w:pPr>
              <w:autoSpaceDE w:val="0"/>
              <w:autoSpaceDN w:val="0"/>
              <w:adjustRightInd w:val="0"/>
              <w:jc w:val="both"/>
              <w:rPr>
                <w:sz w:val="18"/>
                <w:szCs w:val="18"/>
              </w:rPr>
            </w:pPr>
            <w:r w:rsidRPr="00E84D74">
              <w:rPr>
                <w:sz w:val="18"/>
                <w:szCs w:val="18"/>
              </w:rPr>
              <w:t>document:</w:t>
            </w:r>
          </w:p>
          <w:p w:rsidR="00D02688" w:rsidRPr="00E84D74" w:rsidRDefault="00D02688" w:rsidP="0008169B">
            <w:pPr>
              <w:autoSpaceDE w:val="0"/>
              <w:autoSpaceDN w:val="0"/>
              <w:adjustRightInd w:val="0"/>
              <w:jc w:val="both"/>
              <w:rPr>
                <w:sz w:val="18"/>
                <w:szCs w:val="18"/>
              </w:rPr>
            </w:pPr>
            <w:r w:rsidRPr="00E84D74">
              <w:rPr>
                <w:sz w:val="18"/>
                <w:szCs w:val="18"/>
              </w:rPr>
              <w:t>(a) whether all the information referred to in Article 26(1) has been published;</w:t>
            </w:r>
          </w:p>
          <w:p w:rsidR="00D02688" w:rsidRPr="00E84D74" w:rsidRDefault="00D02688" w:rsidP="0008169B">
            <w:pPr>
              <w:autoSpaceDE w:val="0"/>
              <w:autoSpaceDN w:val="0"/>
              <w:adjustRightInd w:val="0"/>
              <w:jc w:val="both"/>
              <w:rPr>
                <w:sz w:val="18"/>
                <w:szCs w:val="18"/>
              </w:rPr>
            </w:pPr>
            <w:r w:rsidRPr="00E84D74">
              <w:rPr>
                <w:sz w:val="18"/>
                <w:szCs w:val="18"/>
              </w:rPr>
              <w:t>(b) whether the elements consulted on in accordance with Article 26 comply with the following requirements:</w:t>
            </w:r>
          </w:p>
          <w:p w:rsidR="00D02688" w:rsidRPr="00E84D74" w:rsidRDefault="00D02688" w:rsidP="0008169B">
            <w:pPr>
              <w:autoSpaceDE w:val="0"/>
              <w:autoSpaceDN w:val="0"/>
              <w:adjustRightInd w:val="0"/>
              <w:jc w:val="both"/>
              <w:rPr>
                <w:sz w:val="18"/>
                <w:szCs w:val="18"/>
              </w:rPr>
            </w:pPr>
            <w:r w:rsidRPr="00E84D74">
              <w:rPr>
                <w:sz w:val="18"/>
                <w:szCs w:val="18"/>
              </w:rPr>
              <w:t>(i) whether the proposed reference price methodology complies with the requirements set outin Article 7;</w:t>
            </w:r>
          </w:p>
          <w:p w:rsidR="00D02688" w:rsidRPr="00E84D74" w:rsidRDefault="00D02688" w:rsidP="0008169B">
            <w:pPr>
              <w:autoSpaceDE w:val="0"/>
              <w:autoSpaceDN w:val="0"/>
              <w:adjustRightInd w:val="0"/>
              <w:jc w:val="both"/>
              <w:rPr>
                <w:sz w:val="18"/>
                <w:szCs w:val="18"/>
              </w:rPr>
            </w:pPr>
            <w:r w:rsidRPr="00E84D74">
              <w:rPr>
                <w:sz w:val="18"/>
                <w:szCs w:val="18"/>
              </w:rPr>
              <w:t>(ii) whether the criteria for setting commodity-based transmission tariffs as set out in Article 4(3)</w:t>
            </w:r>
            <w:r w:rsidR="000A6C29" w:rsidRPr="00E84D74">
              <w:rPr>
                <w:sz w:val="18"/>
                <w:szCs w:val="18"/>
              </w:rPr>
              <w:t xml:space="preserve"> </w:t>
            </w:r>
            <w:r w:rsidRPr="00E84D74">
              <w:rPr>
                <w:sz w:val="18"/>
                <w:szCs w:val="18"/>
              </w:rPr>
              <w:t>are met;</w:t>
            </w:r>
          </w:p>
          <w:p w:rsidR="004739CB" w:rsidRDefault="00D02688" w:rsidP="0008169B">
            <w:pPr>
              <w:autoSpaceDE w:val="0"/>
              <w:autoSpaceDN w:val="0"/>
              <w:adjustRightInd w:val="0"/>
              <w:jc w:val="both"/>
              <w:rPr>
                <w:sz w:val="18"/>
                <w:szCs w:val="18"/>
              </w:rPr>
            </w:pPr>
            <w:r w:rsidRPr="00E84D74">
              <w:rPr>
                <w:sz w:val="18"/>
                <w:szCs w:val="18"/>
              </w:rPr>
              <w:t xml:space="preserve">(iii) whether the criteria for setting non-transmission tariffs as set out in Article 4(4) are met. </w:t>
            </w:r>
          </w:p>
          <w:p w:rsidR="00D02688" w:rsidRDefault="00D02688" w:rsidP="004739CB">
            <w:pPr>
              <w:autoSpaceDE w:val="0"/>
              <w:autoSpaceDN w:val="0"/>
              <w:adjustRightInd w:val="0"/>
              <w:jc w:val="both"/>
              <w:rPr>
                <w:sz w:val="18"/>
                <w:szCs w:val="18"/>
              </w:rPr>
            </w:pPr>
            <w:r w:rsidRPr="00E84D74">
              <w:rPr>
                <w:sz w:val="18"/>
                <w:szCs w:val="18"/>
              </w:rPr>
              <w:t xml:space="preserve">3.Within two months following the end of the consultation referred to in paragraph 1, the </w:t>
            </w:r>
            <w:r w:rsidRPr="00E84D74">
              <w:rPr>
                <w:b/>
                <w:bCs/>
                <w:sz w:val="18"/>
                <w:szCs w:val="18"/>
              </w:rPr>
              <w:t>Energy</w:t>
            </w:r>
            <w:r w:rsidR="007B20CE" w:rsidRPr="00E84D74">
              <w:rPr>
                <w:b/>
                <w:bCs/>
                <w:sz w:val="18"/>
                <w:szCs w:val="18"/>
              </w:rPr>
              <w:t xml:space="preserve"> </w:t>
            </w:r>
            <w:r w:rsidRPr="00E84D74">
              <w:rPr>
                <w:b/>
                <w:bCs/>
                <w:sz w:val="18"/>
                <w:szCs w:val="18"/>
              </w:rPr>
              <w:t xml:space="preserve">Community Regulatory Board </w:t>
            </w:r>
            <w:r w:rsidRPr="00E84D74">
              <w:rPr>
                <w:sz w:val="18"/>
                <w:szCs w:val="18"/>
              </w:rPr>
              <w:t>shall publish and send to the national regulatory authority or</w:t>
            </w:r>
            <w:r w:rsidR="007B20CE" w:rsidRPr="00E84D74">
              <w:rPr>
                <w:sz w:val="18"/>
                <w:szCs w:val="18"/>
              </w:rPr>
              <w:t xml:space="preserve"> </w:t>
            </w:r>
            <w:r w:rsidRPr="00E84D74">
              <w:rPr>
                <w:sz w:val="18"/>
                <w:szCs w:val="18"/>
              </w:rPr>
              <w:t>transmission system operator, depending on which entity published the consultation document,</w:t>
            </w:r>
            <w:r w:rsidR="007B20CE" w:rsidRPr="00E84D74">
              <w:rPr>
                <w:sz w:val="18"/>
                <w:szCs w:val="18"/>
              </w:rPr>
              <w:t xml:space="preserve"> </w:t>
            </w:r>
            <w:r w:rsidRPr="00E84D74">
              <w:rPr>
                <w:sz w:val="18"/>
                <w:szCs w:val="18"/>
              </w:rPr>
              <w:t xml:space="preserve">and the </w:t>
            </w:r>
            <w:r w:rsidRPr="00E84D74">
              <w:rPr>
                <w:b/>
                <w:bCs/>
                <w:sz w:val="18"/>
                <w:szCs w:val="18"/>
              </w:rPr>
              <w:t xml:space="preserve">Energy Community Secretariat </w:t>
            </w:r>
            <w:r w:rsidRPr="00E84D74">
              <w:rPr>
                <w:sz w:val="18"/>
                <w:szCs w:val="18"/>
              </w:rPr>
              <w:t>the conclusion of its analysis in accordance with paragraph</w:t>
            </w:r>
            <w:r w:rsidR="00473387">
              <w:rPr>
                <w:sz w:val="18"/>
                <w:szCs w:val="18"/>
              </w:rPr>
              <w:t xml:space="preserve"> </w:t>
            </w:r>
            <w:r w:rsidRPr="00E84D74">
              <w:rPr>
                <w:sz w:val="18"/>
                <w:szCs w:val="18"/>
              </w:rPr>
              <w:t>2 in English.</w:t>
            </w:r>
            <w:r w:rsidR="007B20CE" w:rsidRPr="00E84D74">
              <w:rPr>
                <w:sz w:val="18"/>
                <w:szCs w:val="18"/>
              </w:rPr>
              <w:t xml:space="preserve"> </w:t>
            </w:r>
            <w:r w:rsidRPr="00E84D74">
              <w:rPr>
                <w:sz w:val="18"/>
                <w:szCs w:val="18"/>
              </w:rPr>
              <w:t xml:space="preserve">The </w:t>
            </w:r>
            <w:r w:rsidRPr="00E84D74">
              <w:rPr>
                <w:b/>
                <w:bCs/>
                <w:sz w:val="18"/>
                <w:szCs w:val="18"/>
              </w:rPr>
              <w:t xml:space="preserve">Energy Community Regulatory Board </w:t>
            </w:r>
            <w:r w:rsidRPr="00E84D74">
              <w:rPr>
                <w:sz w:val="18"/>
                <w:szCs w:val="18"/>
              </w:rPr>
              <w:t>shall preserve the confidentiality of any commercially</w:t>
            </w:r>
            <w:r w:rsidR="007B20CE" w:rsidRPr="00E84D74">
              <w:rPr>
                <w:sz w:val="18"/>
                <w:szCs w:val="18"/>
              </w:rPr>
              <w:t xml:space="preserve"> </w:t>
            </w:r>
            <w:r w:rsidRPr="00E84D74">
              <w:rPr>
                <w:sz w:val="18"/>
                <w:szCs w:val="18"/>
              </w:rPr>
              <w:t>sensitive information.</w:t>
            </w:r>
          </w:p>
          <w:p w:rsidR="0008169B" w:rsidRPr="00E84D74" w:rsidRDefault="0008169B" w:rsidP="0008169B">
            <w:pPr>
              <w:autoSpaceDE w:val="0"/>
              <w:autoSpaceDN w:val="0"/>
              <w:adjustRightInd w:val="0"/>
              <w:jc w:val="both"/>
              <w:rPr>
                <w:sz w:val="18"/>
                <w:szCs w:val="18"/>
              </w:rPr>
            </w:pPr>
          </w:p>
          <w:p w:rsidR="00D02688" w:rsidRPr="00E84D74" w:rsidRDefault="00D02688" w:rsidP="0008169B">
            <w:pPr>
              <w:autoSpaceDE w:val="0"/>
              <w:autoSpaceDN w:val="0"/>
              <w:adjustRightInd w:val="0"/>
              <w:jc w:val="both"/>
              <w:rPr>
                <w:sz w:val="18"/>
                <w:szCs w:val="18"/>
              </w:rPr>
            </w:pPr>
            <w:r w:rsidRPr="00E84D74">
              <w:rPr>
                <w:sz w:val="18"/>
                <w:szCs w:val="18"/>
              </w:rPr>
              <w:t>4. Within five months following the end of the final consultation, the national regulatory authority, acting</w:t>
            </w:r>
          </w:p>
          <w:p w:rsidR="00D02688" w:rsidRPr="0008169B" w:rsidRDefault="00D02688" w:rsidP="0008169B">
            <w:pPr>
              <w:autoSpaceDE w:val="0"/>
              <w:autoSpaceDN w:val="0"/>
              <w:adjustRightInd w:val="0"/>
              <w:jc w:val="both"/>
              <w:rPr>
                <w:sz w:val="18"/>
                <w:szCs w:val="18"/>
              </w:rPr>
            </w:pPr>
            <w:r w:rsidRPr="00E84D74">
              <w:rPr>
                <w:sz w:val="18"/>
                <w:szCs w:val="18"/>
              </w:rPr>
              <w:t>in accordance with Article 41(6)(a) of Directive 2009/73/EC, shall take and publish a motivated decision</w:t>
            </w:r>
            <w:r w:rsidR="00473387">
              <w:rPr>
                <w:sz w:val="18"/>
                <w:szCs w:val="18"/>
              </w:rPr>
              <w:t xml:space="preserve"> </w:t>
            </w:r>
            <w:r w:rsidRPr="00E84D74">
              <w:rPr>
                <w:sz w:val="18"/>
                <w:szCs w:val="18"/>
              </w:rPr>
              <w:lastRenderedPageBreak/>
              <w:t>on all items set out in Article 26(1). Upon publication, the national regulatory authority shall send to</w:t>
            </w:r>
            <w:r w:rsidR="007B20CE" w:rsidRPr="00E84D74">
              <w:rPr>
                <w:sz w:val="18"/>
                <w:szCs w:val="18"/>
              </w:rPr>
              <w:t xml:space="preserve"> </w:t>
            </w:r>
            <w:r w:rsidRPr="00E84D74">
              <w:rPr>
                <w:sz w:val="18"/>
                <w:szCs w:val="18"/>
              </w:rPr>
              <w:t xml:space="preserve">the </w:t>
            </w:r>
            <w:r w:rsidRPr="00E84D74">
              <w:rPr>
                <w:b/>
                <w:bCs/>
                <w:sz w:val="18"/>
                <w:szCs w:val="18"/>
              </w:rPr>
              <w:t xml:space="preserve">Energy Community Regulatory Board </w:t>
            </w:r>
            <w:r w:rsidRPr="00E84D74">
              <w:rPr>
                <w:sz w:val="18"/>
                <w:szCs w:val="18"/>
              </w:rPr>
              <w:t xml:space="preserve">and the </w:t>
            </w:r>
            <w:r w:rsidRPr="0008169B">
              <w:rPr>
                <w:b/>
                <w:bCs/>
                <w:sz w:val="18"/>
                <w:szCs w:val="18"/>
              </w:rPr>
              <w:t xml:space="preserve">Energy Community Secretariat </w:t>
            </w:r>
            <w:r w:rsidRPr="0008169B">
              <w:rPr>
                <w:sz w:val="18"/>
                <w:szCs w:val="18"/>
              </w:rPr>
              <w:t>its decision.</w:t>
            </w:r>
            <w:r w:rsidR="007B20CE" w:rsidRPr="0008169B">
              <w:rPr>
                <w:sz w:val="18"/>
                <w:szCs w:val="18"/>
              </w:rPr>
              <w:t xml:space="preserve"> </w:t>
            </w:r>
          </w:p>
          <w:p w:rsidR="00D02688" w:rsidRPr="00E84D74" w:rsidRDefault="00D02688" w:rsidP="0008169B">
            <w:pPr>
              <w:autoSpaceDE w:val="0"/>
              <w:autoSpaceDN w:val="0"/>
              <w:adjustRightInd w:val="0"/>
              <w:jc w:val="both"/>
              <w:rPr>
                <w:b/>
                <w:sz w:val="18"/>
                <w:szCs w:val="18"/>
              </w:rPr>
            </w:pPr>
            <w:r w:rsidRPr="0008169B">
              <w:rPr>
                <w:sz w:val="18"/>
                <w:szCs w:val="18"/>
              </w:rPr>
              <w:t>5. The procedure consisting of the final consultation on the reference price methodology in accordance</w:t>
            </w:r>
            <w:r w:rsidR="007B20CE" w:rsidRPr="0008169B">
              <w:rPr>
                <w:sz w:val="18"/>
                <w:szCs w:val="18"/>
              </w:rPr>
              <w:t xml:space="preserve"> </w:t>
            </w:r>
            <w:r w:rsidRPr="0008169B">
              <w:rPr>
                <w:sz w:val="18"/>
                <w:szCs w:val="18"/>
              </w:rPr>
              <w:t xml:space="preserve">with Article 26, the decision by the national regulatory </w:t>
            </w:r>
            <w:r w:rsidR="007B20CE" w:rsidRPr="0008169B">
              <w:rPr>
                <w:sz w:val="18"/>
                <w:szCs w:val="18"/>
              </w:rPr>
              <w:t xml:space="preserve"> </w:t>
            </w:r>
            <w:r w:rsidRPr="0008169B">
              <w:rPr>
                <w:sz w:val="18"/>
                <w:szCs w:val="18"/>
              </w:rPr>
              <w:t>authority in accordance with paragraph 4, the</w:t>
            </w:r>
            <w:r w:rsidR="007B20CE" w:rsidRPr="0008169B">
              <w:rPr>
                <w:sz w:val="18"/>
                <w:szCs w:val="18"/>
              </w:rPr>
              <w:t xml:space="preserve"> </w:t>
            </w:r>
            <w:r w:rsidRPr="0008169B">
              <w:rPr>
                <w:sz w:val="18"/>
                <w:szCs w:val="18"/>
              </w:rPr>
              <w:t>calculation of tariffs on the basis of this decision, and the publication of the tariffs in accordance with</w:t>
            </w:r>
            <w:r w:rsidR="007B20CE" w:rsidRPr="0008169B">
              <w:rPr>
                <w:sz w:val="18"/>
                <w:szCs w:val="18"/>
              </w:rPr>
              <w:t xml:space="preserve"> </w:t>
            </w:r>
            <w:r w:rsidRPr="0008169B">
              <w:rPr>
                <w:sz w:val="18"/>
                <w:szCs w:val="18"/>
              </w:rPr>
              <w:t>Chapter VIII may be initiated as from the entry into force of this Regulation and shall be concluded no later</w:t>
            </w:r>
            <w:r w:rsidR="007B20CE" w:rsidRPr="0008169B">
              <w:rPr>
                <w:sz w:val="18"/>
                <w:szCs w:val="18"/>
              </w:rPr>
              <w:t xml:space="preserve"> </w:t>
            </w:r>
            <w:r w:rsidRPr="0008169B">
              <w:rPr>
                <w:sz w:val="18"/>
                <w:szCs w:val="18"/>
              </w:rPr>
              <w:t xml:space="preserve">than 31 May </w:t>
            </w:r>
            <w:r w:rsidRPr="0008169B">
              <w:rPr>
                <w:b/>
                <w:bCs/>
                <w:sz w:val="18"/>
                <w:szCs w:val="18"/>
              </w:rPr>
              <w:t>2021</w:t>
            </w:r>
            <w:r w:rsidRPr="0008169B">
              <w:rPr>
                <w:sz w:val="18"/>
                <w:szCs w:val="18"/>
              </w:rPr>
              <w:t>. The requirements set out in Chapters II, III and IV shall be taken into account in this</w:t>
            </w:r>
            <w:r w:rsidR="007B20CE" w:rsidRPr="0008169B">
              <w:rPr>
                <w:sz w:val="18"/>
                <w:szCs w:val="18"/>
              </w:rPr>
              <w:t xml:space="preserve"> </w:t>
            </w:r>
            <w:r w:rsidRPr="0008169B">
              <w:rPr>
                <w:sz w:val="18"/>
                <w:szCs w:val="18"/>
              </w:rPr>
              <w:t xml:space="preserve">procedure. The tariffs applicable for the prevailing tariff period at 31 May </w:t>
            </w:r>
            <w:r w:rsidRPr="0008169B">
              <w:rPr>
                <w:b/>
                <w:bCs/>
                <w:sz w:val="18"/>
                <w:szCs w:val="18"/>
              </w:rPr>
              <w:t xml:space="preserve">2021 </w:t>
            </w:r>
            <w:r w:rsidRPr="0008169B">
              <w:rPr>
                <w:sz w:val="18"/>
                <w:szCs w:val="18"/>
              </w:rPr>
              <w:t>will be applicable until</w:t>
            </w:r>
            <w:r w:rsidR="007B20CE" w:rsidRPr="0008169B">
              <w:rPr>
                <w:sz w:val="18"/>
                <w:szCs w:val="18"/>
              </w:rPr>
              <w:t xml:space="preserve"> </w:t>
            </w:r>
            <w:r w:rsidRPr="0008169B">
              <w:rPr>
                <w:sz w:val="18"/>
                <w:szCs w:val="18"/>
              </w:rPr>
              <w:t xml:space="preserve">the end thereof. This procedure shall be repeated at least every five years starting from 31 May </w:t>
            </w:r>
            <w:r w:rsidRPr="0008169B">
              <w:rPr>
                <w:b/>
                <w:bCs/>
                <w:sz w:val="18"/>
                <w:szCs w:val="18"/>
              </w:rPr>
              <w:t>2021</w:t>
            </w:r>
            <w:r w:rsidRPr="0008169B">
              <w:rPr>
                <w:sz w:val="18"/>
                <w:szCs w:val="18"/>
              </w:rPr>
              <w:t>.</w:t>
            </w: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28</w:t>
            </w:r>
          </w:p>
          <w:p w:rsidR="00D146AC" w:rsidRPr="00D82EE4" w:rsidRDefault="00D146AC" w:rsidP="00DA725A">
            <w:pPr>
              <w:shd w:val="clear" w:color="auto" w:fill="FFFFFF"/>
              <w:jc w:val="both"/>
              <w:rPr>
                <w:b/>
                <w:bCs/>
                <w:sz w:val="18"/>
                <w:szCs w:val="18"/>
                <w:lang w:val="it-IT"/>
              </w:rPr>
            </w:pPr>
            <w:r w:rsidRPr="00D82EE4">
              <w:rPr>
                <w:b/>
                <w:bCs/>
                <w:sz w:val="18"/>
                <w:szCs w:val="18"/>
                <w:lang w:val="it-IT"/>
              </w:rPr>
              <w:t>Consultare privind discounturile, coeficienții de multiplicare și coeficienții sezonieri</w:t>
            </w:r>
          </w:p>
          <w:p w:rsidR="00D146AC" w:rsidRPr="00D82EE4" w:rsidRDefault="00D146AC" w:rsidP="00DA725A">
            <w:pPr>
              <w:shd w:val="clear" w:color="auto" w:fill="FFFFFF"/>
              <w:jc w:val="both"/>
              <w:rPr>
                <w:sz w:val="18"/>
                <w:szCs w:val="18"/>
                <w:lang w:val="it-IT"/>
              </w:rPr>
            </w:pPr>
            <w:r w:rsidRPr="00D82EE4">
              <w:rPr>
                <w:sz w:val="18"/>
                <w:szCs w:val="18"/>
                <w:lang w:val="it-IT"/>
              </w:rPr>
              <w:t>(1)   În paralel cu consultarea finală desfășurată în conformitate cu articolul 26 alineatul (1), autoritatea națională de reglementare efectuează o consultare cu autoritățile naționale de reglementare din toate statele membre conectate în mod direct și cu părțile interesate relevante, cu privire la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57"/>
              <w:gridCol w:w="4672"/>
            </w:tblGrid>
            <w:tr w:rsidR="00D146AC" w:rsidRPr="00043955" w:rsidTr="00B92DDC">
              <w:tc>
                <w:tcPr>
                  <w:tcW w:w="64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706" w:type="dxa"/>
                  <w:shd w:val="clear" w:color="auto" w:fill="FFFFFF"/>
                  <w:hideMark/>
                </w:tcPr>
                <w:p w:rsidR="00D146AC" w:rsidRPr="00043955" w:rsidRDefault="00D146AC" w:rsidP="00DA725A">
                  <w:pPr>
                    <w:jc w:val="both"/>
                    <w:rPr>
                      <w:sz w:val="18"/>
                      <w:szCs w:val="18"/>
                    </w:rPr>
                  </w:pPr>
                  <w:r w:rsidRPr="00043955">
                    <w:rPr>
                      <w:sz w:val="18"/>
                      <w:szCs w:val="18"/>
                    </w:rPr>
                    <w:t>nivelul coeficienților de multiplicare;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7"/>
              <w:gridCol w:w="4852"/>
            </w:tblGrid>
            <w:tr w:rsidR="00D146AC" w:rsidRPr="00C27D66" w:rsidTr="00B92DDC">
              <w:tc>
                <w:tcPr>
                  <w:tcW w:w="313"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42"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este cazul, nivelul coeficienților sezonieri și calculele prevăzute la articolul 15;</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2"/>
              <w:gridCol w:w="4847"/>
            </w:tblGrid>
            <w:tr w:rsidR="00D146AC" w:rsidRPr="00C27D66" w:rsidTr="00B92DDC">
              <w:tc>
                <w:tcPr>
                  <w:tcW w:w="322"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033" w:type="dxa"/>
                  <w:shd w:val="clear" w:color="auto" w:fill="FFFFFF"/>
                  <w:hideMark/>
                </w:tcPr>
                <w:p w:rsidR="00D146AC" w:rsidRDefault="00D146AC" w:rsidP="00DA725A">
                  <w:pPr>
                    <w:jc w:val="both"/>
                    <w:rPr>
                      <w:sz w:val="18"/>
                      <w:szCs w:val="18"/>
                      <w:lang w:val="it-IT"/>
                    </w:rPr>
                  </w:pPr>
                  <w:r w:rsidRPr="00D82EE4">
                    <w:rPr>
                      <w:sz w:val="18"/>
                      <w:szCs w:val="18"/>
                      <w:lang w:val="it-IT"/>
                    </w:rPr>
                    <w:t>nivelurile discounturilor prevăzute la articolul 9 alineatul (2) și la articolul 16.</w:t>
                  </w:r>
                </w:p>
                <w:p w:rsidR="00473387" w:rsidRPr="00D82EE4" w:rsidRDefault="00473387"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După încheierea consultării, se adoptă o decizie motivată în conformitate cu articolul 41 alineatul (6) litera (a) din Directiva 2009/73/CE cu privire la toate aspectele menționate la literele (a)-(c) din prezentul alineat. Fiecare autoritate națională de reglementare trebuie să ia în considerare pozițiile autorităților naționale de reglementare din statele membre conectate în mod direct.</w:t>
            </w:r>
          </w:p>
          <w:p w:rsidR="00D146AC" w:rsidRDefault="00D146AC" w:rsidP="00DA725A">
            <w:pPr>
              <w:shd w:val="clear" w:color="auto" w:fill="FFFFFF"/>
              <w:jc w:val="both"/>
              <w:rPr>
                <w:sz w:val="18"/>
                <w:szCs w:val="18"/>
                <w:lang w:val="it-IT"/>
              </w:rPr>
            </w:pPr>
            <w:r w:rsidRPr="00D82EE4">
              <w:rPr>
                <w:sz w:val="18"/>
                <w:szCs w:val="18"/>
                <w:lang w:val="it-IT"/>
              </w:rPr>
              <w:t>(2)   Consultările ulterioare se desfășoară în fiecare perioadă tarifară începând cu data deciziei menționate la alineatul (1). După fiecare consultare și în conformitate cu articolul 32 litera (a), autoritatea națională de reglementare adoptă și publică o decizie motivată cu privire la aspectele menționate la alineatul (1) literele (a), (b) și (c).</w:t>
            </w:r>
          </w:p>
          <w:p w:rsidR="00DB783A" w:rsidRPr="00D82EE4" w:rsidRDefault="00DB783A"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(3)   Atunci când adoptă decizia menționată la alineatele (1) și (2), autoritatea națională de reglementare ia în considerare răspunsurile primite în cadrul consultării, precum și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43955"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lastRenderedPageBreak/>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în ceea ce privește coeficienții de multiplicare:</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6" w:type="dxa"/>
                        <w:shd w:val="clear" w:color="auto" w:fill="auto"/>
                        <w:hideMark/>
                      </w:tcPr>
                      <w:p w:rsidR="00D146AC" w:rsidRPr="00D82EE4" w:rsidRDefault="00D146AC" w:rsidP="00DA725A">
                        <w:pPr>
                          <w:jc w:val="both"/>
                          <w:rPr>
                            <w:sz w:val="18"/>
                            <w:szCs w:val="18"/>
                            <w:lang w:val="it-IT"/>
                          </w:rPr>
                        </w:pPr>
                        <w:r w:rsidRPr="00D82EE4">
                          <w:rPr>
                            <w:sz w:val="18"/>
                            <w:szCs w:val="18"/>
                            <w:lang w:val="it-IT"/>
                          </w:rPr>
                          <w:t>echilibrul dintre facilitarea comerțului cu gaze pe termen scurt și furnizarea de semnale pe termen lung, în vederea unor investiții eficiente în sistemul de transport;</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79"/>
                    <w:gridCol w:w="4809"/>
                  </w:tblGrid>
                  <w:tr w:rsidR="00D146AC" w:rsidRPr="00043955" w:rsidTr="00B92DDC">
                    <w:tc>
                      <w:tcPr>
                        <w:tcW w:w="317"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979" w:type="dxa"/>
                        <w:shd w:val="clear" w:color="auto" w:fill="auto"/>
                        <w:hideMark/>
                      </w:tcPr>
                      <w:p w:rsidR="00D146AC" w:rsidRPr="00043955" w:rsidRDefault="00D146AC" w:rsidP="00DA725A">
                        <w:pPr>
                          <w:jc w:val="both"/>
                          <w:rPr>
                            <w:sz w:val="18"/>
                            <w:szCs w:val="18"/>
                          </w:rPr>
                        </w:pPr>
                        <w:r w:rsidRPr="00043955">
                          <w:rPr>
                            <w:sz w:val="18"/>
                            <w:szCs w:val="18"/>
                          </w:rPr>
                          <w:t>impactul asupra venitului aferent serviciilor de transport și asupra recuperării acestuia;</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4"/>
                  </w:tblGrid>
                  <w:tr w:rsidR="00D146AC" w:rsidRPr="00C27D66" w:rsidTr="00B92DDC">
                    <w:tc>
                      <w:tcPr>
                        <w:tcW w:w="270"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9026" w:type="dxa"/>
                        <w:shd w:val="clear" w:color="auto" w:fill="auto"/>
                        <w:hideMark/>
                      </w:tcPr>
                      <w:p w:rsidR="00D146AC" w:rsidRPr="00D82EE4" w:rsidRDefault="00D146AC" w:rsidP="00DA725A">
                        <w:pPr>
                          <w:jc w:val="both"/>
                          <w:rPr>
                            <w:sz w:val="18"/>
                            <w:szCs w:val="18"/>
                            <w:lang w:val="it-IT"/>
                          </w:rPr>
                        </w:pPr>
                        <w:r w:rsidRPr="00D82EE4">
                          <w:rPr>
                            <w:sz w:val="18"/>
                            <w:szCs w:val="18"/>
                            <w:lang w:val="it-IT"/>
                          </w:rPr>
                          <w:t>necesitatea de a evita subvenționarea încrucișată între utilizatorii rețelei și de a spori capacitatea prețurilor de rezervă de a reflecta costurile;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89"/>
                    <w:gridCol w:w="4599"/>
                  </w:tblGrid>
                  <w:tr w:rsidR="00D146AC" w:rsidRPr="00C27D66" w:rsidTr="00B92DDC">
                    <w:tc>
                      <w:tcPr>
                        <w:tcW w:w="710" w:type="dxa"/>
                        <w:shd w:val="clear" w:color="auto" w:fill="auto"/>
                        <w:hideMark/>
                      </w:tcPr>
                      <w:p w:rsidR="00D146AC" w:rsidRPr="00043955" w:rsidRDefault="00D146AC" w:rsidP="00DA725A">
                        <w:pPr>
                          <w:jc w:val="both"/>
                          <w:rPr>
                            <w:sz w:val="18"/>
                            <w:szCs w:val="18"/>
                          </w:rPr>
                        </w:pPr>
                        <w:r w:rsidRPr="00043955">
                          <w:rPr>
                            <w:sz w:val="18"/>
                            <w:szCs w:val="18"/>
                          </w:rPr>
                          <w:t>(iv)</w:t>
                        </w:r>
                      </w:p>
                    </w:tc>
                    <w:tc>
                      <w:tcPr>
                        <w:tcW w:w="8586" w:type="dxa"/>
                        <w:shd w:val="clear" w:color="auto" w:fill="auto"/>
                        <w:hideMark/>
                      </w:tcPr>
                      <w:p w:rsidR="00D146AC" w:rsidRPr="00D82EE4" w:rsidRDefault="00D146AC" w:rsidP="00DA725A">
                        <w:pPr>
                          <w:jc w:val="both"/>
                          <w:rPr>
                            <w:sz w:val="18"/>
                            <w:szCs w:val="18"/>
                            <w:lang w:val="it-IT"/>
                          </w:rPr>
                        </w:pPr>
                        <w:r w:rsidRPr="00D82EE4">
                          <w:rPr>
                            <w:sz w:val="18"/>
                            <w:szCs w:val="18"/>
                            <w:lang w:val="it-IT"/>
                          </w:rPr>
                          <w:t>situațiile de congestie fizică și contractuală;</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27"/>
                    <w:gridCol w:w="4661"/>
                  </w:tblGrid>
                  <w:tr w:rsidR="00D146AC" w:rsidRPr="00043955" w:rsidTr="00B92DDC">
                    <w:tc>
                      <w:tcPr>
                        <w:tcW w:w="594" w:type="dxa"/>
                        <w:shd w:val="clear" w:color="auto" w:fill="auto"/>
                        <w:hideMark/>
                      </w:tcPr>
                      <w:p w:rsidR="00D146AC" w:rsidRPr="00043955" w:rsidRDefault="00D146AC" w:rsidP="00DA725A">
                        <w:pPr>
                          <w:jc w:val="both"/>
                          <w:rPr>
                            <w:sz w:val="18"/>
                            <w:szCs w:val="18"/>
                          </w:rPr>
                        </w:pPr>
                        <w:r w:rsidRPr="00043955">
                          <w:rPr>
                            <w:sz w:val="18"/>
                            <w:szCs w:val="18"/>
                          </w:rPr>
                          <w:t>(v)</w:t>
                        </w:r>
                      </w:p>
                    </w:tc>
                    <w:tc>
                      <w:tcPr>
                        <w:tcW w:w="8702" w:type="dxa"/>
                        <w:shd w:val="clear" w:color="auto" w:fill="auto"/>
                        <w:hideMark/>
                      </w:tcPr>
                      <w:p w:rsidR="00D146AC" w:rsidRPr="00043955" w:rsidRDefault="00D146AC" w:rsidP="00DA725A">
                        <w:pPr>
                          <w:jc w:val="both"/>
                          <w:rPr>
                            <w:sz w:val="18"/>
                            <w:szCs w:val="18"/>
                          </w:rPr>
                        </w:pPr>
                        <w:r w:rsidRPr="00043955">
                          <w:rPr>
                            <w:sz w:val="18"/>
                            <w:szCs w:val="18"/>
                          </w:rPr>
                          <w:t>impactul asupra fluxurilor transfrontaliere;</w:t>
                        </w: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în ceea ce privește coeficienții sezonieri:</w:t>
                  </w:r>
                </w:p>
                <w:tbl>
                  <w:tblPr>
                    <w:tblW w:w="5000" w:type="pct"/>
                    <w:tblLayout w:type="fixed"/>
                    <w:tblCellMar>
                      <w:left w:w="0" w:type="dxa"/>
                      <w:right w:w="0" w:type="dxa"/>
                    </w:tblCellMar>
                    <w:tblLook w:val="04A0" w:firstRow="1" w:lastRow="0" w:firstColumn="1" w:lastColumn="0" w:noHBand="0" w:noVBand="1"/>
                  </w:tblPr>
                  <w:tblGrid>
                    <w:gridCol w:w="162"/>
                    <w:gridCol w:w="4825"/>
                  </w:tblGrid>
                  <w:tr w:rsidR="00D146AC" w:rsidRPr="00C27D66" w:rsidTr="00B92DDC">
                    <w:tc>
                      <w:tcPr>
                        <w:tcW w:w="285" w:type="dxa"/>
                        <w:shd w:val="clear" w:color="auto" w:fill="auto"/>
                        <w:hideMark/>
                      </w:tcPr>
                      <w:p w:rsidR="00D146AC" w:rsidRPr="00043955" w:rsidRDefault="00D146AC" w:rsidP="00DA725A">
                        <w:pPr>
                          <w:jc w:val="both"/>
                          <w:rPr>
                            <w:sz w:val="18"/>
                            <w:szCs w:val="18"/>
                          </w:rPr>
                        </w:pPr>
                        <w:r w:rsidRPr="00043955">
                          <w:rPr>
                            <w:sz w:val="18"/>
                            <w:szCs w:val="18"/>
                          </w:rPr>
                          <w:t>(i)</w:t>
                        </w:r>
                      </w:p>
                    </w:tc>
                    <w:tc>
                      <w:tcPr>
                        <w:tcW w:w="9008" w:type="dxa"/>
                        <w:shd w:val="clear" w:color="auto" w:fill="auto"/>
                        <w:hideMark/>
                      </w:tcPr>
                      <w:p w:rsidR="00D146AC" w:rsidRPr="00D82EE4" w:rsidRDefault="00D146AC" w:rsidP="00DA725A">
                        <w:pPr>
                          <w:jc w:val="both"/>
                          <w:rPr>
                            <w:sz w:val="18"/>
                            <w:szCs w:val="18"/>
                            <w:lang w:val="it-IT"/>
                          </w:rPr>
                        </w:pPr>
                        <w:r w:rsidRPr="00D82EE4">
                          <w:rPr>
                            <w:sz w:val="18"/>
                            <w:szCs w:val="18"/>
                            <w:lang w:val="it-IT"/>
                          </w:rPr>
                          <w:t>impactul asupra facilitării utilizării economice și eficiente a infrastructurii;</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91"/>
                    <w:gridCol w:w="4796"/>
                  </w:tblGrid>
                  <w:tr w:rsidR="00D146AC" w:rsidRPr="00C27D66" w:rsidTr="00B92DDC">
                    <w:tc>
                      <w:tcPr>
                        <w:tcW w:w="34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953" w:type="dxa"/>
                        <w:shd w:val="clear" w:color="auto" w:fill="auto"/>
                        <w:hideMark/>
                      </w:tcPr>
                      <w:p w:rsidR="00D146AC" w:rsidRPr="00D82EE4" w:rsidRDefault="00D146AC" w:rsidP="00DA725A">
                        <w:pPr>
                          <w:jc w:val="both"/>
                          <w:rPr>
                            <w:sz w:val="18"/>
                            <w:szCs w:val="18"/>
                            <w:lang w:val="it-IT"/>
                          </w:rPr>
                        </w:pPr>
                        <w:r w:rsidRPr="00D82EE4">
                          <w:rPr>
                            <w:sz w:val="18"/>
                            <w:szCs w:val="18"/>
                            <w:lang w:val="it-IT"/>
                          </w:rPr>
                          <w:t>necesitatea de a ameliora capacitatea prețurilor de rezervă de a reflecta costurile.</w:t>
                        </w: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B0004F" w:rsidRPr="00B0004F" w:rsidRDefault="00B0004F" w:rsidP="00B0004F">
            <w:pPr>
              <w:pStyle w:val="NoSpacing"/>
              <w:jc w:val="center"/>
              <w:rPr>
                <w:sz w:val="18"/>
                <w:szCs w:val="18"/>
                <w:lang w:val="ro-RO"/>
              </w:rPr>
            </w:pPr>
            <w:r w:rsidRPr="00B0004F">
              <w:rPr>
                <w:b/>
                <w:bCs/>
                <w:sz w:val="18"/>
                <w:szCs w:val="18"/>
                <w:lang w:val="ro-RO"/>
              </w:rPr>
              <w:lastRenderedPageBreak/>
              <w:t>Secţiunea 3</w:t>
            </w:r>
          </w:p>
          <w:p w:rsidR="00B0004F" w:rsidRPr="00B0004F" w:rsidRDefault="00B0004F" w:rsidP="00B0004F">
            <w:pPr>
              <w:pStyle w:val="NoSpacing"/>
              <w:jc w:val="center"/>
              <w:rPr>
                <w:sz w:val="18"/>
                <w:szCs w:val="18"/>
                <w:lang w:val="ro-RO"/>
              </w:rPr>
            </w:pPr>
            <w:r w:rsidRPr="00B0004F">
              <w:rPr>
                <w:b/>
                <w:bCs/>
                <w:sz w:val="18"/>
                <w:szCs w:val="18"/>
                <w:lang w:val="ro-RO"/>
              </w:rPr>
              <w:t>Consultările privind reducerile, coeficienţii de</w:t>
            </w:r>
            <w:r w:rsidRPr="00670674">
              <w:rPr>
                <w:sz w:val="18"/>
                <w:szCs w:val="18"/>
                <w:lang w:val="it-IT"/>
              </w:rPr>
              <w:t xml:space="preserve"> </w:t>
            </w:r>
            <w:r w:rsidRPr="00B0004F">
              <w:rPr>
                <w:b/>
                <w:bCs/>
                <w:sz w:val="18"/>
                <w:szCs w:val="18"/>
                <w:lang w:val="ro-RO"/>
              </w:rPr>
              <w:t>multiplicare şi coeficienţii sezonieri</w:t>
            </w:r>
          </w:p>
          <w:p w:rsidR="00B0004F" w:rsidRPr="00B0004F" w:rsidRDefault="00B0004F" w:rsidP="00B0004F">
            <w:pPr>
              <w:pStyle w:val="NoSpacing"/>
              <w:rPr>
                <w:sz w:val="18"/>
                <w:szCs w:val="18"/>
                <w:lang w:val="ro-RO"/>
              </w:rPr>
            </w:pPr>
            <w:r w:rsidRPr="00B0004F">
              <w:rPr>
                <w:b/>
                <w:bCs/>
                <w:sz w:val="18"/>
                <w:szCs w:val="18"/>
                <w:lang w:val="ro-RO"/>
              </w:rPr>
              <w:t>403.</w:t>
            </w:r>
            <w:r w:rsidRPr="00B0004F">
              <w:rPr>
                <w:sz w:val="18"/>
                <w:szCs w:val="18"/>
                <w:lang w:val="ro-RO"/>
              </w:rPr>
              <w:t xml:space="preserve"> În paralel cu consultarea finală desfăşurată în conformitate cu pct.394, Agenţia consultă autorităţile naţionale de reglementare din toate statele membre ale UE, Părţile Contractante ale Comunităţii Energetice conectate în mod direct şi cu părţile interesate, cu privire la următoarele aspecte:</w:t>
            </w:r>
          </w:p>
          <w:p w:rsidR="00B0004F" w:rsidRPr="00B0004F" w:rsidRDefault="00B0004F" w:rsidP="00B0004F">
            <w:pPr>
              <w:pStyle w:val="NoSpacing"/>
              <w:rPr>
                <w:sz w:val="18"/>
                <w:szCs w:val="18"/>
                <w:lang w:val="ro-RO"/>
              </w:rPr>
            </w:pPr>
            <w:r w:rsidRPr="00B0004F">
              <w:rPr>
                <w:sz w:val="18"/>
                <w:szCs w:val="18"/>
                <w:lang w:val="ro-RO"/>
              </w:rPr>
              <w:t>1) nivelul coeficienţilor de multiplicare;</w:t>
            </w:r>
          </w:p>
          <w:p w:rsidR="00B0004F" w:rsidRPr="00B0004F" w:rsidRDefault="00B0004F" w:rsidP="00B0004F">
            <w:pPr>
              <w:pStyle w:val="NoSpacing"/>
              <w:rPr>
                <w:sz w:val="18"/>
                <w:szCs w:val="18"/>
                <w:lang w:val="ro-RO"/>
              </w:rPr>
            </w:pPr>
            <w:r w:rsidRPr="00B0004F">
              <w:rPr>
                <w:sz w:val="18"/>
                <w:szCs w:val="18"/>
                <w:lang w:val="ro-RO"/>
              </w:rPr>
              <w:t>2) nivelul coeficienţilor sezonieri şi calculele prevăzute la pct.360-365, după caz;</w:t>
            </w:r>
          </w:p>
          <w:p w:rsidR="00B0004F" w:rsidRDefault="00B0004F" w:rsidP="00B0004F">
            <w:pPr>
              <w:pStyle w:val="NoSpacing"/>
              <w:rPr>
                <w:sz w:val="18"/>
                <w:szCs w:val="18"/>
                <w:lang w:val="ro-RO"/>
              </w:rPr>
            </w:pPr>
            <w:r w:rsidRPr="00B0004F">
              <w:rPr>
                <w:sz w:val="18"/>
                <w:szCs w:val="18"/>
                <w:lang w:val="ro-RO"/>
              </w:rPr>
              <w:t>3) nivelurile reducerilor stabilite la pct.342 şi 366-370.</w:t>
            </w:r>
          </w:p>
          <w:p w:rsidR="00473387" w:rsidRPr="00B0004F" w:rsidRDefault="00473387" w:rsidP="00B0004F">
            <w:pPr>
              <w:pStyle w:val="NoSpacing"/>
              <w:rPr>
                <w:sz w:val="18"/>
                <w:szCs w:val="18"/>
                <w:lang w:val="ro-RO"/>
              </w:rPr>
            </w:pPr>
          </w:p>
          <w:p w:rsidR="00B0004F" w:rsidRDefault="00B0004F" w:rsidP="00B0004F">
            <w:pPr>
              <w:pStyle w:val="NoSpacing"/>
              <w:rPr>
                <w:b/>
                <w:bCs/>
                <w:sz w:val="18"/>
                <w:szCs w:val="18"/>
                <w:lang w:val="ro-RO"/>
              </w:rPr>
            </w:pPr>
          </w:p>
          <w:p w:rsidR="00B0004F" w:rsidRPr="00B0004F" w:rsidRDefault="00B0004F" w:rsidP="00B0004F">
            <w:pPr>
              <w:pStyle w:val="NoSpacing"/>
              <w:rPr>
                <w:sz w:val="18"/>
                <w:szCs w:val="18"/>
                <w:lang w:val="ro-RO"/>
              </w:rPr>
            </w:pPr>
            <w:r w:rsidRPr="00B0004F">
              <w:rPr>
                <w:b/>
                <w:bCs/>
                <w:sz w:val="18"/>
                <w:szCs w:val="18"/>
                <w:lang w:val="ro-RO"/>
              </w:rPr>
              <w:t>404.</w:t>
            </w:r>
            <w:r w:rsidRPr="00B0004F">
              <w:rPr>
                <w:sz w:val="18"/>
                <w:szCs w:val="18"/>
                <w:lang w:val="ro-RO"/>
              </w:rPr>
              <w:t xml:space="preserve"> După încheierea consultării, Agenţia adoptă o Hotărâre motivată cu privire la toate aspectele menţionate la pct.403, subpunctele 1)-3). Agenţia trebuie să ia în considerare poziţiile autorităţilor naţionale de reglementare din statele membre ale UE conectate în mod direct şi Părţile Contractante ale Comunităţii energetice.</w:t>
            </w:r>
          </w:p>
          <w:p w:rsidR="00B0004F" w:rsidRDefault="00B0004F" w:rsidP="00B0004F">
            <w:pPr>
              <w:pStyle w:val="NoSpacing"/>
              <w:rPr>
                <w:b/>
                <w:bCs/>
                <w:sz w:val="18"/>
                <w:szCs w:val="18"/>
                <w:lang w:val="ro-RO"/>
              </w:rPr>
            </w:pPr>
          </w:p>
          <w:p w:rsidR="00B0004F" w:rsidRPr="00B0004F" w:rsidRDefault="00B0004F" w:rsidP="00B0004F">
            <w:pPr>
              <w:pStyle w:val="NoSpacing"/>
              <w:rPr>
                <w:sz w:val="18"/>
                <w:szCs w:val="18"/>
                <w:lang w:val="ro-RO"/>
              </w:rPr>
            </w:pPr>
            <w:r w:rsidRPr="00B0004F">
              <w:rPr>
                <w:b/>
                <w:bCs/>
                <w:sz w:val="18"/>
                <w:szCs w:val="18"/>
                <w:lang w:val="ro-RO"/>
              </w:rPr>
              <w:t>405.</w:t>
            </w:r>
            <w:r w:rsidRPr="00B0004F">
              <w:rPr>
                <w:sz w:val="18"/>
                <w:szCs w:val="18"/>
                <w:lang w:val="ro-RO"/>
              </w:rPr>
              <w:t xml:space="preserve"> Consultările ulterioare se desfăşoară în fiecare perioadă tarifară începând cu data Hotărârii menţionate la pct.402. După fiecare consultare şi în conformitate cu pct.415, subpunctul 1), Agenţia adoptă şi publică o Hotărâre motivată cu privire la aspectele menţionate la pct.402, subpunctele 1)-3).</w:t>
            </w:r>
          </w:p>
          <w:p w:rsidR="00B0004F" w:rsidRDefault="00B0004F" w:rsidP="00B0004F">
            <w:pPr>
              <w:pStyle w:val="NoSpacing"/>
              <w:rPr>
                <w:b/>
                <w:bCs/>
                <w:sz w:val="18"/>
                <w:szCs w:val="18"/>
                <w:lang w:val="ro-RO"/>
              </w:rPr>
            </w:pPr>
          </w:p>
          <w:p w:rsidR="00B0004F" w:rsidRPr="00B0004F" w:rsidRDefault="00B0004F" w:rsidP="00B0004F">
            <w:pPr>
              <w:pStyle w:val="NoSpacing"/>
              <w:rPr>
                <w:sz w:val="18"/>
                <w:szCs w:val="18"/>
                <w:lang w:val="ro-RO"/>
              </w:rPr>
            </w:pPr>
            <w:r w:rsidRPr="00B0004F">
              <w:rPr>
                <w:b/>
                <w:bCs/>
                <w:sz w:val="18"/>
                <w:szCs w:val="18"/>
                <w:lang w:val="ro-RO"/>
              </w:rPr>
              <w:lastRenderedPageBreak/>
              <w:t>406.</w:t>
            </w:r>
            <w:r w:rsidRPr="00B0004F">
              <w:rPr>
                <w:sz w:val="18"/>
                <w:szCs w:val="18"/>
                <w:lang w:val="ro-RO"/>
              </w:rPr>
              <w:t xml:space="preserve"> Atunci când adoptă Hotărârea menţionată la pct.403-405, Agenţia ia în considerare recomandările primite în cadrul consultării, precum şi următoarele aspecte:</w:t>
            </w:r>
          </w:p>
          <w:p w:rsidR="00B0004F" w:rsidRPr="00B0004F" w:rsidRDefault="00B0004F" w:rsidP="00B0004F">
            <w:pPr>
              <w:pStyle w:val="NoSpacing"/>
              <w:rPr>
                <w:sz w:val="18"/>
                <w:szCs w:val="18"/>
                <w:lang w:val="ro-RO"/>
              </w:rPr>
            </w:pPr>
            <w:r w:rsidRPr="00B0004F">
              <w:rPr>
                <w:sz w:val="18"/>
                <w:szCs w:val="18"/>
                <w:lang w:val="ro-RO"/>
              </w:rPr>
              <w:t>1) referitor la coeficienţii de multiplicare:</w:t>
            </w:r>
          </w:p>
          <w:p w:rsidR="00B0004F" w:rsidRPr="00B0004F" w:rsidRDefault="00B0004F" w:rsidP="00B0004F">
            <w:pPr>
              <w:pStyle w:val="NoSpacing"/>
              <w:rPr>
                <w:sz w:val="18"/>
                <w:szCs w:val="18"/>
                <w:lang w:val="ro-RO"/>
              </w:rPr>
            </w:pPr>
            <w:r w:rsidRPr="00B0004F">
              <w:rPr>
                <w:sz w:val="18"/>
                <w:szCs w:val="18"/>
                <w:lang w:val="ro-RO"/>
              </w:rPr>
              <w:t>a) echilibrul dintre facilitarea comerţului cu gaze naturale pe termen scurt şi tendinţele pe termen lung, în vederea unor investiţii eficiente în sistemul de transport;</w:t>
            </w:r>
          </w:p>
          <w:p w:rsidR="00B0004F" w:rsidRPr="00B0004F" w:rsidRDefault="00B0004F" w:rsidP="00B0004F">
            <w:pPr>
              <w:pStyle w:val="NoSpacing"/>
              <w:rPr>
                <w:sz w:val="18"/>
                <w:szCs w:val="18"/>
                <w:lang w:val="ro-RO"/>
              </w:rPr>
            </w:pPr>
            <w:r w:rsidRPr="00B0004F">
              <w:rPr>
                <w:sz w:val="18"/>
                <w:szCs w:val="18"/>
                <w:lang w:val="ro-RO"/>
              </w:rPr>
              <w:t>b) impactul asupra venitului aferent serviciilor de transport şi asupra recuperării acestuia;</w:t>
            </w:r>
          </w:p>
          <w:p w:rsidR="00B0004F" w:rsidRPr="00B0004F" w:rsidRDefault="00B0004F" w:rsidP="00B0004F">
            <w:pPr>
              <w:pStyle w:val="NoSpacing"/>
              <w:rPr>
                <w:sz w:val="18"/>
                <w:szCs w:val="18"/>
                <w:lang w:val="ro-RO"/>
              </w:rPr>
            </w:pPr>
            <w:r w:rsidRPr="00B0004F">
              <w:rPr>
                <w:sz w:val="18"/>
                <w:szCs w:val="18"/>
                <w:lang w:val="ro-RO"/>
              </w:rPr>
              <w:t>c) necesitatea de a evita subvenţionarea încrucişată între utilizatorii de sistem şi de a spori capacitatea preţurilor de rezervă de a reflecta costurile;</w:t>
            </w:r>
          </w:p>
          <w:p w:rsidR="00B0004F" w:rsidRPr="00B0004F" w:rsidRDefault="00B0004F" w:rsidP="00B0004F">
            <w:pPr>
              <w:pStyle w:val="NoSpacing"/>
              <w:rPr>
                <w:sz w:val="18"/>
                <w:szCs w:val="18"/>
                <w:lang w:val="ro-RO"/>
              </w:rPr>
            </w:pPr>
            <w:r w:rsidRPr="00B0004F">
              <w:rPr>
                <w:sz w:val="18"/>
                <w:szCs w:val="18"/>
                <w:lang w:val="ro-RO"/>
              </w:rPr>
              <w:t>d) situaţiile de congestie fizică şi contractuală;</w:t>
            </w:r>
          </w:p>
          <w:p w:rsidR="00B0004F" w:rsidRPr="00B0004F" w:rsidRDefault="00B0004F" w:rsidP="00B0004F">
            <w:pPr>
              <w:pStyle w:val="NoSpacing"/>
              <w:rPr>
                <w:sz w:val="18"/>
                <w:szCs w:val="18"/>
                <w:lang w:val="ro-RO"/>
              </w:rPr>
            </w:pPr>
            <w:r w:rsidRPr="00B0004F">
              <w:rPr>
                <w:sz w:val="18"/>
                <w:szCs w:val="18"/>
                <w:lang w:val="ro-RO"/>
              </w:rPr>
              <w:t>e) impactul asupra fluxurilor transfrontaliere.</w:t>
            </w:r>
          </w:p>
          <w:p w:rsidR="00B0004F" w:rsidRPr="00B0004F" w:rsidRDefault="00B0004F" w:rsidP="00B0004F">
            <w:pPr>
              <w:pStyle w:val="NoSpacing"/>
              <w:rPr>
                <w:sz w:val="18"/>
                <w:szCs w:val="18"/>
                <w:lang w:val="ro-RO"/>
              </w:rPr>
            </w:pPr>
            <w:r w:rsidRPr="00B0004F">
              <w:rPr>
                <w:sz w:val="18"/>
                <w:szCs w:val="18"/>
                <w:lang w:val="ro-RO"/>
              </w:rPr>
              <w:t>2) referitor la coeficienţii sezonieri:</w:t>
            </w:r>
          </w:p>
          <w:p w:rsidR="00B0004F" w:rsidRPr="00B0004F" w:rsidRDefault="00B0004F" w:rsidP="00B0004F">
            <w:pPr>
              <w:pStyle w:val="NoSpacing"/>
              <w:rPr>
                <w:sz w:val="18"/>
                <w:szCs w:val="18"/>
                <w:lang w:val="ro-RO"/>
              </w:rPr>
            </w:pPr>
            <w:r w:rsidRPr="00B0004F">
              <w:rPr>
                <w:sz w:val="18"/>
                <w:szCs w:val="18"/>
                <w:lang w:val="ro-RO"/>
              </w:rPr>
              <w:t>a) impactul asupra facilitării utilizării eficiente şi economice a infrastructurii;</w:t>
            </w:r>
          </w:p>
          <w:p w:rsidR="00B0004F" w:rsidRPr="00B0004F" w:rsidRDefault="00B0004F" w:rsidP="00B0004F">
            <w:pPr>
              <w:pStyle w:val="NoSpacing"/>
              <w:rPr>
                <w:sz w:val="18"/>
                <w:szCs w:val="18"/>
                <w:lang w:val="ro-RO"/>
              </w:rPr>
            </w:pPr>
            <w:r w:rsidRPr="00B0004F">
              <w:rPr>
                <w:sz w:val="18"/>
                <w:szCs w:val="18"/>
                <w:lang w:val="ro-RO"/>
              </w:rPr>
              <w:t>b) necesitatea de a spori capacitatea preţurilor de rezervă de a reflecta costurile.</w:t>
            </w:r>
          </w:p>
          <w:p w:rsidR="00D146AC" w:rsidRPr="0055150B" w:rsidRDefault="00D146AC" w:rsidP="00DA725A">
            <w:pPr>
              <w:pStyle w:val="NoSpacing"/>
              <w:jc w:val="both"/>
              <w:rPr>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473387" w:rsidRDefault="00473387"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473387" w:rsidRDefault="00473387"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D02688" w:rsidRPr="00E84D74" w:rsidRDefault="00D02688" w:rsidP="00DA725A">
            <w:pPr>
              <w:autoSpaceDE w:val="0"/>
              <w:autoSpaceDN w:val="0"/>
              <w:adjustRightInd w:val="0"/>
              <w:jc w:val="center"/>
              <w:rPr>
                <w:b/>
                <w:bCs/>
                <w:i/>
                <w:iCs/>
                <w:sz w:val="18"/>
                <w:szCs w:val="18"/>
              </w:rPr>
            </w:pPr>
            <w:r w:rsidRPr="00E84D74">
              <w:rPr>
                <w:b/>
                <w:bCs/>
                <w:i/>
                <w:iCs/>
                <w:sz w:val="18"/>
                <w:szCs w:val="18"/>
              </w:rPr>
              <w:lastRenderedPageBreak/>
              <w:t>Article 28</w:t>
            </w:r>
          </w:p>
          <w:p w:rsidR="00D146AC" w:rsidRPr="00E84D74" w:rsidRDefault="00D02688" w:rsidP="00DA725A">
            <w:pPr>
              <w:jc w:val="center"/>
              <w:rPr>
                <w:b/>
                <w:bCs/>
                <w:sz w:val="18"/>
                <w:szCs w:val="18"/>
              </w:rPr>
            </w:pPr>
            <w:r w:rsidRPr="00E84D74">
              <w:rPr>
                <w:b/>
                <w:bCs/>
                <w:sz w:val="18"/>
                <w:szCs w:val="18"/>
              </w:rPr>
              <w:t>Consultation on discounts, multipliers and seasonal factors</w:t>
            </w:r>
          </w:p>
          <w:p w:rsidR="00D02688" w:rsidRPr="00E84D74" w:rsidRDefault="00D02688" w:rsidP="00DA725A">
            <w:pPr>
              <w:autoSpaceDE w:val="0"/>
              <w:autoSpaceDN w:val="0"/>
              <w:adjustRightInd w:val="0"/>
              <w:rPr>
                <w:sz w:val="18"/>
                <w:szCs w:val="18"/>
              </w:rPr>
            </w:pPr>
            <w:r w:rsidRPr="00E84D74">
              <w:rPr>
                <w:sz w:val="18"/>
                <w:szCs w:val="18"/>
              </w:rPr>
              <w:t>1. At the same time as the final consultation carried out in accordance with Article 26(1), the national</w:t>
            </w:r>
            <w:r w:rsidR="00F8429D" w:rsidRPr="00E84D74">
              <w:rPr>
                <w:sz w:val="18"/>
                <w:szCs w:val="18"/>
              </w:rPr>
              <w:t xml:space="preserve"> </w:t>
            </w:r>
            <w:r w:rsidRPr="00E84D74">
              <w:rPr>
                <w:sz w:val="18"/>
                <w:szCs w:val="18"/>
              </w:rPr>
              <w:t>regulatory authority shall conduct a consultation with the national regulatory authorities of all directly</w:t>
            </w:r>
            <w:r w:rsidR="00F8429D" w:rsidRPr="00E84D74">
              <w:rPr>
                <w:sz w:val="18"/>
                <w:szCs w:val="18"/>
              </w:rPr>
              <w:t xml:space="preserve"> </w:t>
            </w:r>
            <w:r w:rsidRPr="00E84D74">
              <w:rPr>
                <w:sz w:val="18"/>
                <w:szCs w:val="18"/>
              </w:rPr>
              <w:t xml:space="preserve">connected Member States </w:t>
            </w:r>
            <w:r w:rsidRPr="00E84D74">
              <w:rPr>
                <w:b/>
                <w:bCs/>
                <w:sz w:val="18"/>
                <w:szCs w:val="18"/>
              </w:rPr>
              <w:t xml:space="preserve">and Contracting Parties </w:t>
            </w:r>
            <w:r w:rsidRPr="00E84D74">
              <w:rPr>
                <w:sz w:val="18"/>
                <w:szCs w:val="18"/>
              </w:rPr>
              <w:t>and the relevant stakeholders on the following:</w:t>
            </w:r>
            <w:r w:rsidR="00F8429D" w:rsidRPr="00E84D74">
              <w:rPr>
                <w:sz w:val="18"/>
                <w:szCs w:val="18"/>
              </w:rPr>
              <w:t xml:space="preserve"> </w:t>
            </w:r>
          </w:p>
          <w:p w:rsidR="00D02688" w:rsidRPr="00E84D74" w:rsidRDefault="00D02688" w:rsidP="00DA725A">
            <w:pPr>
              <w:autoSpaceDE w:val="0"/>
              <w:autoSpaceDN w:val="0"/>
              <w:adjustRightInd w:val="0"/>
              <w:rPr>
                <w:sz w:val="18"/>
                <w:szCs w:val="18"/>
              </w:rPr>
            </w:pPr>
            <w:r w:rsidRPr="00E84D74">
              <w:rPr>
                <w:sz w:val="18"/>
                <w:szCs w:val="18"/>
              </w:rPr>
              <w:t>(a) the level of multipliers;</w:t>
            </w:r>
          </w:p>
          <w:p w:rsidR="00D02688" w:rsidRPr="00E84D74" w:rsidRDefault="00D02688" w:rsidP="00DA725A">
            <w:pPr>
              <w:autoSpaceDE w:val="0"/>
              <w:autoSpaceDN w:val="0"/>
              <w:adjustRightInd w:val="0"/>
              <w:rPr>
                <w:sz w:val="18"/>
                <w:szCs w:val="18"/>
              </w:rPr>
            </w:pPr>
            <w:r w:rsidRPr="00E84D74">
              <w:rPr>
                <w:sz w:val="18"/>
                <w:szCs w:val="18"/>
              </w:rPr>
              <w:t>(b) if applicable, the level of seasonal factors and the calculations set out in Article 15;</w:t>
            </w:r>
          </w:p>
          <w:p w:rsidR="00D02688" w:rsidRPr="00E84D74" w:rsidRDefault="00D02688" w:rsidP="00DA725A">
            <w:pPr>
              <w:autoSpaceDE w:val="0"/>
              <w:autoSpaceDN w:val="0"/>
              <w:adjustRightInd w:val="0"/>
              <w:rPr>
                <w:sz w:val="18"/>
                <w:szCs w:val="18"/>
              </w:rPr>
            </w:pPr>
            <w:r w:rsidRPr="00E84D74">
              <w:rPr>
                <w:sz w:val="18"/>
                <w:szCs w:val="18"/>
              </w:rPr>
              <w:t>(c) the levels of discounts set out in Articles 9(2) and 16.</w:t>
            </w:r>
          </w:p>
          <w:p w:rsidR="00D02688" w:rsidRPr="00E84D74" w:rsidRDefault="00D02688" w:rsidP="00DA725A">
            <w:pPr>
              <w:autoSpaceDE w:val="0"/>
              <w:autoSpaceDN w:val="0"/>
              <w:adjustRightInd w:val="0"/>
              <w:rPr>
                <w:sz w:val="18"/>
                <w:szCs w:val="18"/>
              </w:rPr>
            </w:pPr>
            <w:r w:rsidRPr="00E84D74">
              <w:rPr>
                <w:sz w:val="18"/>
                <w:szCs w:val="18"/>
              </w:rPr>
              <w:t>After the end of the consultation a motivated decision shall be taken in accordance with Article 41(6)(a)</w:t>
            </w:r>
          </w:p>
          <w:p w:rsidR="00D02688" w:rsidRPr="00E84D74" w:rsidRDefault="00D02688" w:rsidP="00DA725A">
            <w:pPr>
              <w:autoSpaceDE w:val="0"/>
              <w:autoSpaceDN w:val="0"/>
              <w:adjustRightInd w:val="0"/>
              <w:rPr>
                <w:sz w:val="18"/>
                <w:szCs w:val="18"/>
              </w:rPr>
            </w:pPr>
            <w:r w:rsidRPr="00E84D74">
              <w:rPr>
                <w:sz w:val="18"/>
                <w:szCs w:val="18"/>
              </w:rPr>
              <w:t>of Directive 2009/73/EC on the aspects referred to in points (a) to (c) of this paragraph. Each national</w:t>
            </w:r>
            <w:r w:rsidR="00F8429D" w:rsidRPr="00E84D74">
              <w:rPr>
                <w:sz w:val="18"/>
                <w:szCs w:val="18"/>
              </w:rPr>
              <w:t xml:space="preserve"> </w:t>
            </w:r>
            <w:r w:rsidRPr="00E84D74">
              <w:rPr>
                <w:sz w:val="18"/>
                <w:szCs w:val="18"/>
              </w:rPr>
              <w:t>regulatory authority shall consider the positions of national regulatory authorities of directly connected</w:t>
            </w:r>
          </w:p>
          <w:p w:rsidR="00D02688" w:rsidRPr="00E84D74" w:rsidRDefault="00D02688" w:rsidP="00DA725A">
            <w:pPr>
              <w:autoSpaceDE w:val="0"/>
              <w:autoSpaceDN w:val="0"/>
              <w:adjustRightInd w:val="0"/>
              <w:rPr>
                <w:sz w:val="18"/>
                <w:szCs w:val="18"/>
              </w:rPr>
            </w:pPr>
            <w:r w:rsidRPr="00E84D74">
              <w:rPr>
                <w:sz w:val="18"/>
                <w:szCs w:val="18"/>
              </w:rPr>
              <w:t xml:space="preserve">Member States </w:t>
            </w:r>
            <w:r w:rsidRPr="00E84D74">
              <w:rPr>
                <w:b/>
                <w:bCs/>
                <w:sz w:val="18"/>
                <w:szCs w:val="18"/>
              </w:rPr>
              <w:t>and Contracting Parties</w:t>
            </w:r>
            <w:r w:rsidRPr="00E84D74">
              <w:rPr>
                <w:sz w:val="18"/>
                <w:szCs w:val="18"/>
              </w:rPr>
              <w:t>.</w:t>
            </w:r>
          </w:p>
          <w:p w:rsidR="00D02688" w:rsidRPr="00E84D74" w:rsidRDefault="00D02688" w:rsidP="00DA725A">
            <w:pPr>
              <w:autoSpaceDE w:val="0"/>
              <w:autoSpaceDN w:val="0"/>
              <w:adjustRightInd w:val="0"/>
              <w:rPr>
                <w:sz w:val="18"/>
                <w:szCs w:val="18"/>
              </w:rPr>
            </w:pPr>
            <w:r w:rsidRPr="00E84D74">
              <w:rPr>
                <w:sz w:val="18"/>
                <w:szCs w:val="18"/>
              </w:rPr>
              <w:t>2. The subsequent consultations shall be conducted every tariff period as from the date of the decision</w:t>
            </w:r>
            <w:r w:rsidR="00F8429D" w:rsidRPr="00E84D74">
              <w:rPr>
                <w:sz w:val="18"/>
                <w:szCs w:val="18"/>
              </w:rPr>
              <w:t xml:space="preserve"> </w:t>
            </w:r>
            <w:r w:rsidRPr="00E84D74">
              <w:rPr>
                <w:sz w:val="18"/>
                <w:szCs w:val="18"/>
              </w:rPr>
              <w:t>referred to in paragraph 1. After each consultation and as set out in Article 32(a), the national regulatory</w:t>
            </w:r>
            <w:r w:rsidR="00F8429D" w:rsidRPr="00E84D74">
              <w:rPr>
                <w:sz w:val="18"/>
                <w:szCs w:val="18"/>
              </w:rPr>
              <w:t xml:space="preserve"> </w:t>
            </w:r>
            <w:r w:rsidRPr="00E84D74">
              <w:rPr>
                <w:sz w:val="18"/>
                <w:szCs w:val="18"/>
              </w:rPr>
              <w:t>authority shall take and publish a motivated decision on the aspects referred to in paragraph 1(a), (b) and (c).</w:t>
            </w:r>
          </w:p>
          <w:p w:rsidR="00F8429D" w:rsidRPr="00E84D74" w:rsidRDefault="00F8429D" w:rsidP="00DA725A">
            <w:pPr>
              <w:autoSpaceDE w:val="0"/>
              <w:autoSpaceDN w:val="0"/>
              <w:adjustRightInd w:val="0"/>
              <w:rPr>
                <w:sz w:val="18"/>
                <w:szCs w:val="18"/>
              </w:rPr>
            </w:pPr>
          </w:p>
          <w:p w:rsidR="00D02688" w:rsidRPr="00E84D74" w:rsidRDefault="00D02688" w:rsidP="00DA725A">
            <w:pPr>
              <w:autoSpaceDE w:val="0"/>
              <w:autoSpaceDN w:val="0"/>
              <w:adjustRightInd w:val="0"/>
              <w:rPr>
                <w:sz w:val="18"/>
                <w:szCs w:val="18"/>
              </w:rPr>
            </w:pPr>
            <w:r w:rsidRPr="00E84D74">
              <w:rPr>
                <w:sz w:val="18"/>
                <w:szCs w:val="18"/>
              </w:rPr>
              <w:lastRenderedPageBreak/>
              <w:t>3. When adopting the decision referred to in paragraphs 1 and 2, the national regulatory authority shall</w:t>
            </w:r>
          </w:p>
          <w:p w:rsidR="00D02688" w:rsidRPr="00E84D74" w:rsidRDefault="00D02688" w:rsidP="00DA725A">
            <w:pPr>
              <w:autoSpaceDE w:val="0"/>
              <w:autoSpaceDN w:val="0"/>
              <w:adjustRightInd w:val="0"/>
              <w:rPr>
                <w:sz w:val="18"/>
                <w:szCs w:val="18"/>
              </w:rPr>
            </w:pPr>
            <w:r w:rsidRPr="00E84D74">
              <w:rPr>
                <w:sz w:val="18"/>
                <w:szCs w:val="18"/>
              </w:rPr>
              <w:t>take into account the consultation responses received and the following aspects:</w:t>
            </w:r>
          </w:p>
          <w:p w:rsidR="00D02688" w:rsidRPr="00E84D74" w:rsidRDefault="00D02688" w:rsidP="00DA725A">
            <w:pPr>
              <w:autoSpaceDE w:val="0"/>
              <w:autoSpaceDN w:val="0"/>
              <w:adjustRightInd w:val="0"/>
              <w:rPr>
                <w:sz w:val="18"/>
                <w:szCs w:val="18"/>
              </w:rPr>
            </w:pPr>
            <w:r w:rsidRPr="00E84D74">
              <w:rPr>
                <w:sz w:val="18"/>
                <w:szCs w:val="18"/>
              </w:rPr>
              <w:t>(a) for multipliers:</w:t>
            </w:r>
          </w:p>
          <w:p w:rsidR="005D5301" w:rsidRPr="00E84D74" w:rsidRDefault="00D02688" w:rsidP="00DA725A">
            <w:pPr>
              <w:autoSpaceDE w:val="0"/>
              <w:autoSpaceDN w:val="0"/>
              <w:adjustRightInd w:val="0"/>
              <w:rPr>
                <w:sz w:val="18"/>
                <w:szCs w:val="18"/>
              </w:rPr>
            </w:pPr>
            <w:r w:rsidRPr="00E84D74">
              <w:rPr>
                <w:sz w:val="18"/>
                <w:szCs w:val="18"/>
              </w:rPr>
              <w:t>(i) the balance between facilitating short-term gas trade and providing long-term signals for efficient</w:t>
            </w:r>
            <w:r w:rsidR="005D5301" w:rsidRPr="00E84D74">
              <w:rPr>
                <w:sz w:val="18"/>
                <w:szCs w:val="18"/>
              </w:rPr>
              <w:t xml:space="preserve"> investment in the transmission system;</w:t>
            </w:r>
          </w:p>
          <w:p w:rsidR="005D5301" w:rsidRPr="00E84D74" w:rsidRDefault="005D5301" w:rsidP="00DA725A">
            <w:pPr>
              <w:autoSpaceDE w:val="0"/>
              <w:autoSpaceDN w:val="0"/>
              <w:adjustRightInd w:val="0"/>
              <w:rPr>
                <w:sz w:val="18"/>
                <w:szCs w:val="18"/>
              </w:rPr>
            </w:pPr>
            <w:r w:rsidRPr="00E84D74">
              <w:rPr>
                <w:sz w:val="18"/>
                <w:szCs w:val="18"/>
              </w:rPr>
              <w:t>(ii) the impact on the transmission services revenue and its recovery;</w:t>
            </w:r>
          </w:p>
          <w:p w:rsidR="005D5301" w:rsidRPr="00E84D74" w:rsidRDefault="005D5301" w:rsidP="00DA725A">
            <w:pPr>
              <w:autoSpaceDE w:val="0"/>
              <w:autoSpaceDN w:val="0"/>
              <w:adjustRightInd w:val="0"/>
              <w:rPr>
                <w:sz w:val="18"/>
                <w:szCs w:val="18"/>
              </w:rPr>
            </w:pPr>
            <w:r w:rsidRPr="00E84D74">
              <w:rPr>
                <w:sz w:val="18"/>
                <w:szCs w:val="18"/>
              </w:rPr>
              <w:t>(iii) the need to avoid cross-subsidisation between network users and to enhance cost-reflectivity</w:t>
            </w:r>
          </w:p>
          <w:p w:rsidR="005D5301" w:rsidRPr="00E84D74" w:rsidRDefault="005D5301" w:rsidP="00DA725A">
            <w:pPr>
              <w:autoSpaceDE w:val="0"/>
              <w:autoSpaceDN w:val="0"/>
              <w:adjustRightInd w:val="0"/>
              <w:rPr>
                <w:sz w:val="18"/>
                <w:szCs w:val="18"/>
              </w:rPr>
            </w:pPr>
            <w:r w:rsidRPr="00E84D74">
              <w:rPr>
                <w:sz w:val="18"/>
                <w:szCs w:val="18"/>
              </w:rPr>
              <w:t>of reserve prices;</w:t>
            </w:r>
          </w:p>
          <w:p w:rsidR="005D5301" w:rsidRPr="00E84D74" w:rsidRDefault="005D5301" w:rsidP="00DA725A">
            <w:pPr>
              <w:autoSpaceDE w:val="0"/>
              <w:autoSpaceDN w:val="0"/>
              <w:adjustRightInd w:val="0"/>
              <w:rPr>
                <w:sz w:val="18"/>
                <w:szCs w:val="18"/>
              </w:rPr>
            </w:pPr>
            <w:r w:rsidRPr="00E84D74">
              <w:rPr>
                <w:sz w:val="18"/>
                <w:szCs w:val="18"/>
              </w:rPr>
              <w:t>(iv) situations of physical and contractual congestion;</w:t>
            </w:r>
          </w:p>
          <w:p w:rsidR="005D5301" w:rsidRPr="00E84D74" w:rsidRDefault="005D5301" w:rsidP="00DA725A">
            <w:pPr>
              <w:autoSpaceDE w:val="0"/>
              <w:autoSpaceDN w:val="0"/>
              <w:adjustRightInd w:val="0"/>
              <w:rPr>
                <w:sz w:val="18"/>
                <w:szCs w:val="18"/>
              </w:rPr>
            </w:pPr>
            <w:r w:rsidRPr="00E84D74">
              <w:rPr>
                <w:sz w:val="18"/>
                <w:szCs w:val="18"/>
              </w:rPr>
              <w:t>(v) the impact on cross-border flows;</w:t>
            </w:r>
          </w:p>
          <w:p w:rsidR="005D5301" w:rsidRPr="00E84D74" w:rsidRDefault="005D5301" w:rsidP="00DA725A">
            <w:pPr>
              <w:autoSpaceDE w:val="0"/>
              <w:autoSpaceDN w:val="0"/>
              <w:adjustRightInd w:val="0"/>
              <w:rPr>
                <w:sz w:val="18"/>
                <w:szCs w:val="18"/>
              </w:rPr>
            </w:pPr>
            <w:r w:rsidRPr="00E84D74">
              <w:rPr>
                <w:sz w:val="18"/>
                <w:szCs w:val="18"/>
              </w:rPr>
              <w:t>(b) for seasonal factors:</w:t>
            </w:r>
          </w:p>
          <w:p w:rsidR="005D5301" w:rsidRPr="00E84D74" w:rsidRDefault="005D5301" w:rsidP="00DA725A">
            <w:pPr>
              <w:autoSpaceDE w:val="0"/>
              <w:autoSpaceDN w:val="0"/>
              <w:adjustRightInd w:val="0"/>
              <w:rPr>
                <w:sz w:val="18"/>
                <w:szCs w:val="18"/>
              </w:rPr>
            </w:pPr>
            <w:r w:rsidRPr="00E84D74">
              <w:rPr>
                <w:sz w:val="18"/>
                <w:szCs w:val="18"/>
              </w:rPr>
              <w:t>(i) the impact on facilitating the economic and efficient utilisation of the infrastructure;</w:t>
            </w:r>
          </w:p>
          <w:p w:rsidR="00D02688" w:rsidRPr="00E84D74" w:rsidRDefault="005D5301" w:rsidP="00DA725A">
            <w:pPr>
              <w:jc w:val="both"/>
              <w:rPr>
                <w:b/>
                <w:sz w:val="18"/>
                <w:szCs w:val="18"/>
              </w:rPr>
            </w:pPr>
            <w:r w:rsidRPr="00E84D74">
              <w:rPr>
                <w:sz w:val="18"/>
                <w:szCs w:val="18"/>
              </w:rPr>
              <w:t>(ii) the need to improve the cost-reflectivity of reserve prices.</w:t>
            </w:r>
          </w:p>
        </w:tc>
      </w:tr>
      <w:tr w:rsidR="00D146AC" w:rsidRPr="00043955" w:rsidTr="00FC3840">
        <w:trPr>
          <w:trHeight w:val="1240"/>
        </w:trPr>
        <w:tc>
          <w:tcPr>
            <w:tcW w:w="5245" w:type="dxa"/>
          </w:tcPr>
          <w:p w:rsidR="00D146AC" w:rsidRPr="00D82EE4" w:rsidRDefault="00D146AC" w:rsidP="006447DE">
            <w:pPr>
              <w:shd w:val="clear" w:color="auto" w:fill="FFFFFF"/>
              <w:jc w:val="center"/>
              <w:rPr>
                <w:b/>
                <w:bCs/>
                <w:sz w:val="18"/>
                <w:szCs w:val="18"/>
                <w:lang w:val="it-IT"/>
              </w:rPr>
            </w:pPr>
            <w:r w:rsidRPr="00D82EE4">
              <w:rPr>
                <w:b/>
                <w:bCs/>
                <w:sz w:val="18"/>
                <w:szCs w:val="18"/>
                <w:lang w:val="it-IT"/>
              </w:rPr>
              <w:lastRenderedPageBreak/>
              <w:t>CAPITOLUL VIII</w:t>
            </w:r>
          </w:p>
          <w:p w:rsidR="00D146AC" w:rsidRPr="00D82EE4" w:rsidRDefault="00D146AC" w:rsidP="006447DE">
            <w:pPr>
              <w:shd w:val="clear" w:color="auto" w:fill="FFFFFF"/>
              <w:jc w:val="center"/>
              <w:rPr>
                <w:b/>
                <w:bCs/>
                <w:sz w:val="18"/>
                <w:szCs w:val="18"/>
                <w:lang w:val="it-IT"/>
              </w:rPr>
            </w:pPr>
            <w:r w:rsidRPr="00D82EE4">
              <w:rPr>
                <w:b/>
                <w:bCs/>
                <w:sz w:val="18"/>
                <w:szCs w:val="18"/>
                <w:lang w:val="it-IT"/>
              </w:rPr>
              <w:t>CERINȚE PRIVIND PUBLICAREA</w:t>
            </w:r>
          </w:p>
          <w:p w:rsidR="00D146AC" w:rsidRPr="00D82EE4" w:rsidRDefault="00D146AC" w:rsidP="006447DE">
            <w:pPr>
              <w:shd w:val="clear" w:color="auto" w:fill="FFFFFF"/>
              <w:jc w:val="center"/>
              <w:rPr>
                <w:i/>
                <w:iCs/>
                <w:sz w:val="18"/>
                <w:szCs w:val="18"/>
                <w:lang w:val="it-IT"/>
              </w:rPr>
            </w:pPr>
            <w:r w:rsidRPr="00D82EE4">
              <w:rPr>
                <w:i/>
                <w:iCs/>
                <w:sz w:val="18"/>
                <w:szCs w:val="18"/>
                <w:lang w:val="it-IT"/>
              </w:rPr>
              <w:t>Articolul 29</w:t>
            </w:r>
          </w:p>
          <w:p w:rsidR="00D146AC" w:rsidRPr="00D82EE4" w:rsidRDefault="00D146AC" w:rsidP="006447DE">
            <w:pPr>
              <w:shd w:val="clear" w:color="auto" w:fill="FFFFFF"/>
              <w:jc w:val="center"/>
              <w:rPr>
                <w:b/>
                <w:bCs/>
                <w:sz w:val="18"/>
                <w:szCs w:val="18"/>
                <w:lang w:val="it-IT"/>
              </w:rPr>
            </w:pPr>
            <w:r w:rsidRPr="00D82EE4">
              <w:rPr>
                <w:b/>
                <w:bCs/>
                <w:sz w:val="18"/>
                <w:szCs w:val="18"/>
                <w:lang w:val="it-IT"/>
              </w:rPr>
              <w:t>Informații care trebuie publicate înainte de licitația anuală a capacității anuale</w:t>
            </w:r>
          </w:p>
          <w:p w:rsidR="00D146AC" w:rsidRPr="00D82EE4" w:rsidRDefault="00D146AC" w:rsidP="00DA725A">
            <w:pPr>
              <w:shd w:val="clear" w:color="auto" w:fill="FFFFFF"/>
              <w:jc w:val="both"/>
              <w:rPr>
                <w:sz w:val="18"/>
                <w:szCs w:val="18"/>
                <w:lang w:val="it-IT"/>
              </w:rPr>
            </w:pPr>
            <w:r w:rsidRPr="00D82EE4">
              <w:rPr>
                <w:sz w:val="18"/>
                <w:szCs w:val="18"/>
                <w:lang w:val="it-IT"/>
              </w:rPr>
              <w:t>Pentru punctele de interconectare și, în cazul în care autoritatea națională de reglementare ia decizia de a aplica Regulamentul (UE) 2017/459, pentru alte puncte decât punctele de interconectare, următoarele informații trebuie publicate înainte de licitația anuală a capacității anuale, în conformitate cu cerințele articolelor 31 și 32, de către autoritatea națională de reglementare sau de către operatorul (operatorii) de transport și de sistem, conform deciziei autorității naționale de reglementare: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pentru capacitate fermă:</w:t>
                  </w:r>
                </w:p>
                <w:tbl>
                  <w:tblPr>
                    <w:tblW w:w="5000" w:type="pct"/>
                    <w:tblLayout w:type="fixed"/>
                    <w:tblCellMar>
                      <w:left w:w="0" w:type="dxa"/>
                      <w:right w:w="0" w:type="dxa"/>
                    </w:tblCellMar>
                    <w:tblLook w:val="04A0" w:firstRow="1" w:lastRow="0" w:firstColumn="1" w:lastColumn="0" w:noHBand="0" w:noVBand="1"/>
                  </w:tblPr>
                  <w:tblGrid>
                    <w:gridCol w:w="103"/>
                    <w:gridCol w:w="4885"/>
                  </w:tblGrid>
                  <w:tr w:rsidR="00D146AC" w:rsidRPr="00043955" w:rsidTr="00B92DDC">
                    <w:tc>
                      <w:tcPr>
                        <w:tcW w:w="176"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0" w:type="dxa"/>
                        <w:shd w:val="clear" w:color="auto" w:fill="auto"/>
                        <w:hideMark/>
                      </w:tcPr>
                      <w:p w:rsidR="00D146AC" w:rsidRPr="00043955" w:rsidRDefault="00D146AC" w:rsidP="00DA725A">
                        <w:pPr>
                          <w:jc w:val="both"/>
                          <w:rPr>
                            <w:sz w:val="18"/>
                            <w:szCs w:val="18"/>
                          </w:rPr>
                        </w:pPr>
                        <w:r w:rsidRPr="00043955">
                          <w:rPr>
                            <w:sz w:val="18"/>
                            <w:szCs w:val="18"/>
                          </w:rPr>
                          <w:t>prețurile de rezervă aplicabile cel puțin până la sfârșitul anului gazier care începe după licitația anuală a capacității anuale;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C27D66"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D82EE4" w:rsidRDefault="00D146AC" w:rsidP="00DA725A">
                        <w:pPr>
                          <w:jc w:val="both"/>
                          <w:rPr>
                            <w:sz w:val="18"/>
                            <w:szCs w:val="18"/>
                            <w:lang w:val="it-IT"/>
                          </w:rPr>
                        </w:pPr>
                        <w:r w:rsidRPr="00D82EE4">
                          <w:rPr>
                            <w:sz w:val="18"/>
                            <w:szCs w:val="18"/>
                            <w:lang w:val="it-IT"/>
                          </w:rPr>
                          <w:t>coeficienții de multiplicare și coeficienții sezonieri aplicați prețurilor de rezervă pentru produsele de capacitate standard neanuală;</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1"/>
                    <w:gridCol w:w="4787"/>
                  </w:tblGrid>
                  <w:tr w:rsidR="00D146AC" w:rsidRPr="00C27D66" w:rsidTr="00B92DDC">
                    <w:tc>
                      <w:tcPr>
                        <w:tcW w:w="358"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8938" w:type="dxa"/>
                        <w:shd w:val="clear" w:color="auto" w:fill="auto"/>
                        <w:hideMark/>
                      </w:tcPr>
                      <w:p w:rsidR="00D146AC" w:rsidRPr="00D82EE4" w:rsidRDefault="00D146AC" w:rsidP="00DA725A">
                        <w:pPr>
                          <w:jc w:val="both"/>
                          <w:rPr>
                            <w:sz w:val="18"/>
                            <w:szCs w:val="18"/>
                            <w:lang w:val="it-IT"/>
                          </w:rPr>
                        </w:pPr>
                        <w:r w:rsidRPr="00D82EE4">
                          <w:rPr>
                            <w:sz w:val="18"/>
                            <w:szCs w:val="18"/>
                            <w:lang w:val="it-IT"/>
                          </w:rPr>
                          <w:t>justificarea autorității naționale de reglementare privind nivelul coeficienților de multiplicare;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70"/>
                    <w:gridCol w:w="4718"/>
                  </w:tblGrid>
                  <w:tr w:rsidR="00D146AC" w:rsidRPr="00C27D66" w:rsidTr="00B92DDC">
                    <w:tc>
                      <w:tcPr>
                        <w:tcW w:w="487" w:type="dxa"/>
                        <w:shd w:val="clear" w:color="auto" w:fill="auto"/>
                        <w:hideMark/>
                      </w:tcPr>
                      <w:p w:rsidR="00D146AC" w:rsidRPr="00043955" w:rsidRDefault="00D146AC" w:rsidP="00DA725A">
                        <w:pPr>
                          <w:jc w:val="both"/>
                          <w:rPr>
                            <w:sz w:val="18"/>
                            <w:szCs w:val="18"/>
                          </w:rPr>
                        </w:pPr>
                        <w:r w:rsidRPr="00043955">
                          <w:rPr>
                            <w:sz w:val="18"/>
                            <w:szCs w:val="18"/>
                          </w:rPr>
                          <w:t>(iv)</w:t>
                        </w:r>
                      </w:p>
                    </w:tc>
                    <w:tc>
                      <w:tcPr>
                        <w:tcW w:w="8809" w:type="dxa"/>
                        <w:shd w:val="clear" w:color="auto" w:fill="auto"/>
                        <w:hideMark/>
                      </w:tcPr>
                      <w:p w:rsidR="00D146AC" w:rsidRPr="00D82EE4" w:rsidRDefault="00D146AC" w:rsidP="00DA725A">
                        <w:pPr>
                          <w:jc w:val="both"/>
                          <w:rPr>
                            <w:sz w:val="18"/>
                            <w:szCs w:val="18"/>
                            <w:lang w:val="it-IT"/>
                          </w:rPr>
                        </w:pPr>
                        <w:r w:rsidRPr="00D82EE4">
                          <w:rPr>
                            <w:sz w:val="18"/>
                            <w:szCs w:val="18"/>
                            <w:lang w:val="it-IT"/>
                          </w:rPr>
                          <w:t>dacă se aplică coeficienți sezonieri, justificarea aplicării acestora.</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pentru capacitate întreruptibilă:</w:t>
                  </w:r>
                </w:p>
                <w:tbl>
                  <w:tblPr>
                    <w:tblW w:w="5000" w:type="pct"/>
                    <w:tblLayout w:type="fixed"/>
                    <w:tblCellMar>
                      <w:left w:w="0" w:type="dxa"/>
                      <w:right w:w="0" w:type="dxa"/>
                    </w:tblCellMar>
                    <w:tblLook w:val="04A0" w:firstRow="1" w:lastRow="0" w:firstColumn="1" w:lastColumn="0" w:noHBand="0" w:noVBand="1"/>
                  </w:tblPr>
                  <w:tblGrid>
                    <w:gridCol w:w="103"/>
                    <w:gridCol w:w="4884"/>
                  </w:tblGrid>
                  <w:tr w:rsidR="00D146AC" w:rsidRPr="00043955" w:rsidTr="00B92DDC">
                    <w:tc>
                      <w:tcPr>
                        <w:tcW w:w="176" w:type="dxa"/>
                        <w:shd w:val="clear" w:color="auto" w:fill="auto"/>
                        <w:hideMark/>
                      </w:tcPr>
                      <w:p w:rsidR="00D146AC" w:rsidRPr="00043955" w:rsidRDefault="00D146AC" w:rsidP="00DA725A">
                        <w:pPr>
                          <w:jc w:val="both"/>
                          <w:rPr>
                            <w:sz w:val="18"/>
                            <w:szCs w:val="18"/>
                          </w:rPr>
                        </w:pPr>
                        <w:r w:rsidRPr="00043955">
                          <w:rPr>
                            <w:sz w:val="18"/>
                            <w:szCs w:val="18"/>
                          </w:rPr>
                          <w:lastRenderedPageBreak/>
                          <w:t>(i)</w:t>
                        </w:r>
                      </w:p>
                    </w:tc>
                    <w:tc>
                      <w:tcPr>
                        <w:tcW w:w="9117" w:type="dxa"/>
                        <w:shd w:val="clear" w:color="auto" w:fill="auto"/>
                        <w:hideMark/>
                      </w:tcPr>
                      <w:p w:rsidR="00D146AC" w:rsidRPr="00043955" w:rsidRDefault="00D146AC" w:rsidP="00DA725A">
                        <w:pPr>
                          <w:jc w:val="both"/>
                          <w:rPr>
                            <w:sz w:val="18"/>
                            <w:szCs w:val="18"/>
                          </w:rPr>
                        </w:pPr>
                        <w:r w:rsidRPr="00043955">
                          <w:rPr>
                            <w:sz w:val="18"/>
                            <w:szCs w:val="18"/>
                          </w:rPr>
                          <w:t>prețurile de rezervă aplicabile cel puțin până la sfârșitul anului gazier care începe după licitația anuală a capacității anuale;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4"/>
                    <w:gridCol w:w="4943"/>
                  </w:tblGrid>
                  <w:tr w:rsidR="00D146AC" w:rsidRPr="00C27D66" w:rsidTr="00B92DDC">
                    <w:tc>
                      <w:tcPr>
                        <w:tcW w:w="64"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229" w:type="dxa"/>
                        <w:shd w:val="clear" w:color="auto" w:fill="auto"/>
                        <w:hideMark/>
                      </w:tcPr>
                      <w:p w:rsidR="00D146AC" w:rsidRPr="00D82EE4" w:rsidRDefault="00D146AC" w:rsidP="00DA725A">
                        <w:pPr>
                          <w:jc w:val="both"/>
                          <w:rPr>
                            <w:sz w:val="18"/>
                            <w:szCs w:val="18"/>
                            <w:lang w:val="it-IT"/>
                          </w:rPr>
                        </w:pPr>
                        <w:r w:rsidRPr="00D82EE4">
                          <w:rPr>
                            <w:sz w:val="18"/>
                            <w:szCs w:val="18"/>
                            <w:lang w:val="it-IT"/>
                          </w:rPr>
                          <w:t>o evaluare a probabilității de întrerupere, care să includă:</w:t>
                        </w:r>
                      </w:p>
                      <w:tbl>
                        <w:tblPr>
                          <w:tblW w:w="5000" w:type="pct"/>
                          <w:tblLayout w:type="fixed"/>
                          <w:tblCellMar>
                            <w:left w:w="0" w:type="dxa"/>
                            <w:right w:w="0" w:type="dxa"/>
                          </w:tblCellMar>
                          <w:tblLook w:val="04A0" w:firstRow="1" w:lastRow="0" w:firstColumn="1" w:lastColumn="0" w:noHBand="0" w:noVBand="1"/>
                        </w:tblPr>
                        <w:tblGrid>
                          <w:gridCol w:w="81"/>
                          <w:gridCol w:w="4862"/>
                        </w:tblGrid>
                        <w:tr w:rsidR="00D146AC" w:rsidRPr="00C27D66"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1.</w:t>
                              </w:r>
                            </w:p>
                          </w:tc>
                          <w:tc>
                            <w:tcPr>
                              <w:tcW w:w="9094" w:type="dxa"/>
                              <w:shd w:val="clear" w:color="auto" w:fill="auto"/>
                              <w:hideMark/>
                            </w:tcPr>
                            <w:p w:rsidR="00D146AC" w:rsidRPr="00D82EE4" w:rsidRDefault="00D146AC" w:rsidP="00DA725A">
                              <w:pPr>
                                <w:jc w:val="both"/>
                                <w:rPr>
                                  <w:sz w:val="18"/>
                                  <w:szCs w:val="18"/>
                                  <w:lang w:val="it-IT"/>
                                </w:rPr>
                              </w:pPr>
                              <w:r w:rsidRPr="00D82EE4">
                                <w:rPr>
                                  <w:sz w:val="18"/>
                                  <w:szCs w:val="18"/>
                                  <w:lang w:val="it-IT"/>
                                </w:rPr>
                                <w:t>lista tuturor tipurilor de produse de capacitate standard pentru capacitate întreruptibilă oferită, inclusiv probabilitatea de întrerupere corespunzătoare și nivelul discountului aplicat;</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3"/>
                          <w:gridCol w:w="4860"/>
                        </w:tblGrid>
                        <w:tr w:rsidR="00D146AC" w:rsidRPr="00C27D66" w:rsidTr="00B92DDC">
                          <w:tc>
                            <w:tcPr>
                              <w:tcW w:w="138" w:type="dxa"/>
                              <w:shd w:val="clear" w:color="auto" w:fill="auto"/>
                              <w:hideMark/>
                            </w:tcPr>
                            <w:p w:rsidR="00D146AC" w:rsidRPr="00043955" w:rsidRDefault="00D146AC" w:rsidP="00DA725A">
                              <w:pPr>
                                <w:jc w:val="both"/>
                                <w:rPr>
                                  <w:sz w:val="18"/>
                                  <w:szCs w:val="18"/>
                                </w:rPr>
                              </w:pPr>
                              <w:r w:rsidRPr="00043955">
                                <w:rPr>
                                  <w:sz w:val="18"/>
                                  <w:szCs w:val="18"/>
                                </w:rPr>
                                <w:t>2.</w:t>
                              </w:r>
                            </w:p>
                          </w:tc>
                          <w:tc>
                            <w:tcPr>
                              <w:tcW w:w="9091" w:type="dxa"/>
                              <w:shd w:val="clear" w:color="auto" w:fill="auto"/>
                              <w:hideMark/>
                            </w:tcPr>
                            <w:p w:rsidR="00D146AC" w:rsidRPr="00D82EE4" w:rsidRDefault="00D146AC" w:rsidP="00DA725A">
                              <w:pPr>
                                <w:jc w:val="both"/>
                                <w:rPr>
                                  <w:sz w:val="18"/>
                                  <w:szCs w:val="18"/>
                                  <w:lang w:val="it-IT"/>
                                </w:rPr>
                              </w:pPr>
                              <w:r w:rsidRPr="00D82EE4">
                                <w:rPr>
                                  <w:sz w:val="18"/>
                                  <w:szCs w:val="18"/>
                                  <w:lang w:val="it-IT"/>
                                </w:rPr>
                                <w:t>explicația modului în care se calculează probabilitatea de întrerupere pentru fiecare tip de produs menționat la alineatul (1);</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2"/>
                        </w:tblGrid>
                        <w:tr w:rsidR="00D146AC" w:rsidRPr="00C27D66"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3.</w:t>
                              </w:r>
                            </w:p>
                          </w:tc>
                          <w:tc>
                            <w:tcPr>
                              <w:tcW w:w="9094" w:type="dxa"/>
                              <w:shd w:val="clear" w:color="auto" w:fill="auto"/>
                              <w:hideMark/>
                            </w:tcPr>
                            <w:p w:rsidR="00D146AC" w:rsidRPr="00D82EE4" w:rsidRDefault="00D146AC" w:rsidP="00DA725A">
                              <w:pPr>
                                <w:jc w:val="both"/>
                                <w:rPr>
                                  <w:sz w:val="18"/>
                                  <w:szCs w:val="18"/>
                                  <w:lang w:val="it-IT"/>
                                </w:rPr>
                              </w:pPr>
                              <w:r w:rsidRPr="00D82EE4">
                                <w:rPr>
                                  <w:sz w:val="18"/>
                                  <w:szCs w:val="18"/>
                                  <w:lang w:val="it-IT"/>
                                </w:rPr>
                                <w:t>datele istorice sau previzionate sau ambele tipuri de date, utilizate pentru estimarea probabilității de întrerupere menționate la alineatul (2).</w:t>
                              </w:r>
                            </w:p>
                          </w:tc>
                        </w:tr>
                      </w:tbl>
                      <w:p w:rsidR="00D146AC" w:rsidRPr="00D82EE4" w:rsidRDefault="00D146AC"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2401CA" w:rsidRPr="00B44F8B" w:rsidRDefault="002401CA" w:rsidP="002401CA">
            <w:pPr>
              <w:pStyle w:val="NoSpacing"/>
              <w:jc w:val="center"/>
              <w:rPr>
                <w:sz w:val="18"/>
                <w:lang w:val="ro-RO"/>
              </w:rPr>
            </w:pPr>
            <w:r w:rsidRPr="00B44F8B">
              <w:rPr>
                <w:b/>
                <w:bCs/>
                <w:sz w:val="18"/>
                <w:lang w:val="ro-RO"/>
              </w:rPr>
              <w:lastRenderedPageBreak/>
              <w:t>Capitolul VIII</w:t>
            </w:r>
          </w:p>
          <w:p w:rsidR="002401CA" w:rsidRPr="00B44F8B" w:rsidRDefault="002401CA" w:rsidP="002401CA">
            <w:pPr>
              <w:pStyle w:val="NoSpacing"/>
              <w:jc w:val="center"/>
              <w:rPr>
                <w:sz w:val="18"/>
                <w:lang w:val="ro-RO"/>
              </w:rPr>
            </w:pPr>
            <w:r w:rsidRPr="00B44F8B">
              <w:rPr>
                <w:b/>
                <w:bCs/>
                <w:sz w:val="18"/>
                <w:lang w:val="ro-RO"/>
              </w:rPr>
              <w:t>CERINŢE PRIVIND PUBLICAREA</w:t>
            </w:r>
          </w:p>
          <w:p w:rsidR="002401CA" w:rsidRPr="00B44F8B" w:rsidRDefault="002401CA" w:rsidP="002401CA">
            <w:pPr>
              <w:pStyle w:val="NoSpacing"/>
              <w:jc w:val="center"/>
              <w:rPr>
                <w:sz w:val="18"/>
                <w:lang w:val="ro-RO"/>
              </w:rPr>
            </w:pPr>
            <w:r w:rsidRPr="00B44F8B">
              <w:rPr>
                <w:b/>
                <w:bCs/>
                <w:sz w:val="18"/>
                <w:lang w:val="ro-RO"/>
              </w:rPr>
              <w:t>Secţiunea 1</w:t>
            </w:r>
          </w:p>
          <w:p w:rsidR="002401CA" w:rsidRPr="00B44F8B" w:rsidRDefault="002401CA" w:rsidP="002401CA">
            <w:pPr>
              <w:pStyle w:val="NoSpacing"/>
              <w:jc w:val="center"/>
              <w:rPr>
                <w:sz w:val="18"/>
                <w:lang w:val="ro-RO"/>
              </w:rPr>
            </w:pPr>
            <w:r w:rsidRPr="00B44F8B">
              <w:rPr>
                <w:b/>
                <w:bCs/>
                <w:sz w:val="18"/>
                <w:lang w:val="ro-RO"/>
              </w:rPr>
              <w:t>Informaţii care trebuie publicate înainte de licitaţia</w:t>
            </w:r>
            <w:r w:rsidRPr="00670674">
              <w:rPr>
                <w:sz w:val="18"/>
                <w:lang w:val="it-IT"/>
              </w:rPr>
              <w:t xml:space="preserve"> </w:t>
            </w:r>
            <w:r w:rsidRPr="00B44F8B">
              <w:rPr>
                <w:b/>
                <w:bCs/>
                <w:sz w:val="18"/>
                <w:lang w:val="ro-RO"/>
              </w:rPr>
              <w:t>anuală a capacităţii anuale</w:t>
            </w:r>
          </w:p>
          <w:p w:rsidR="00B44F8B" w:rsidRDefault="00B44F8B" w:rsidP="002401CA">
            <w:pPr>
              <w:pStyle w:val="NoSpacing"/>
              <w:rPr>
                <w:b/>
                <w:bCs/>
                <w:sz w:val="18"/>
                <w:lang w:val="ro-RO"/>
              </w:rPr>
            </w:pPr>
          </w:p>
          <w:p w:rsidR="002401CA" w:rsidRPr="00B44F8B" w:rsidRDefault="002401CA" w:rsidP="002401CA">
            <w:pPr>
              <w:pStyle w:val="NoSpacing"/>
              <w:rPr>
                <w:sz w:val="18"/>
                <w:lang w:val="ro-RO"/>
              </w:rPr>
            </w:pPr>
            <w:r w:rsidRPr="00B44F8B">
              <w:rPr>
                <w:b/>
                <w:bCs/>
                <w:sz w:val="18"/>
                <w:lang w:val="ro-RO"/>
              </w:rPr>
              <w:t>407.</w:t>
            </w:r>
            <w:r w:rsidRPr="00B44F8B">
              <w:rPr>
                <w:sz w:val="18"/>
                <w:lang w:val="ro-RO"/>
              </w:rPr>
              <w:t xml:space="preserve"> Pentru punctele de interconectare şi, în cazul în care Agenţia ia decizia de a aplica Titlul IV a prezentului Cod pentru alte puncte decât punctele de interconectare, următoarele informaţii trebuie publicate înainte de licitaţia anuală a capacităţii anuale, în conformitate cu cerinţele pct.412-418, de către Agenţie sau de către OST desemnat de Agenţie:</w:t>
            </w:r>
          </w:p>
          <w:p w:rsidR="002401CA" w:rsidRPr="00B44F8B" w:rsidRDefault="002401CA" w:rsidP="002401CA">
            <w:pPr>
              <w:pStyle w:val="NoSpacing"/>
              <w:rPr>
                <w:sz w:val="18"/>
                <w:lang w:val="ro-RO"/>
              </w:rPr>
            </w:pPr>
            <w:r w:rsidRPr="00B44F8B">
              <w:rPr>
                <w:sz w:val="18"/>
                <w:lang w:val="ro-RO"/>
              </w:rPr>
              <w:t>1) pentru PCS pentru capacitate fermă:</w:t>
            </w:r>
          </w:p>
          <w:p w:rsidR="002401CA" w:rsidRPr="00B44F8B" w:rsidRDefault="002401CA" w:rsidP="002401CA">
            <w:pPr>
              <w:pStyle w:val="NoSpacing"/>
              <w:rPr>
                <w:sz w:val="18"/>
                <w:lang w:val="ro-RO"/>
              </w:rPr>
            </w:pPr>
            <w:r w:rsidRPr="00B44F8B">
              <w:rPr>
                <w:sz w:val="18"/>
                <w:lang w:val="ro-RO"/>
              </w:rPr>
              <w:t>a) preţurile de rezervă aplicabile cel puţin până la sfârşitul anului gazier care începe după licitaţia anuală a capacităţii anuale;</w:t>
            </w:r>
          </w:p>
          <w:p w:rsidR="002401CA" w:rsidRPr="00B44F8B" w:rsidRDefault="002401CA" w:rsidP="002401CA">
            <w:pPr>
              <w:pStyle w:val="NoSpacing"/>
              <w:rPr>
                <w:sz w:val="18"/>
                <w:lang w:val="ro-RO"/>
              </w:rPr>
            </w:pPr>
            <w:r w:rsidRPr="00B44F8B">
              <w:rPr>
                <w:sz w:val="18"/>
                <w:lang w:val="ro-RO"/>
              </w:rPr>
              <w:t>b) coeficienţii de multiplicare şi coeficienţii sezonieri aplicaţi preţurilor de rezervă pentru PCS non-anuală;</w:t>
            </w:r>
          </w:p>
          <w:p w:rsidR="002401CA" w:rsidRPr="00B44F8B" w:rsidRDefault="002401CA" w:rsidP="002401CA">
            <w:pPr>
              <w:pStyle w:val="NoSpacing"/>
              <w:rPr>
                <w:sz w:val="18"/>
                <w:lang w:val="ro-RO"/>
              </w:rPr>
            </w:pPr>
            <w:r w:rsidRPr="00B44F8B">
              <w:rPr>
                <w:sz w:val="18"/>
                <w:lang w:val="ro-RO"/>
              </w:rPr>
              <w:t>c) argumentarea Agenţiei privind nivelul coeficienţilor de multiplicare;</w:t>
            </w:r>
          </w:p>
          <w:p w:rsidR="002401CA" w:rsidRPr="00B44F8B" w:rsidRDefault="002401CA" w:rsidP="002401CA">
            <w:pPr>
              <w:pStyle w:val="NoSpacing"/>
              <w:rPr>
                <w:sz w:val="18"/>
                <w:lang w:val="ro-RO"/>
              </w:rPr>
            </w:pPr>
            <w:r w:rsidRPr="00B44F8B">
              <w:rPr>
                <w:sz w:val="18"/>
                <w:lang w:val="ro-RO"/>
              </w:rPr>
              <w:t>d) dacă se aplică coeficienţi sezonieri, argumentarea aplicării acestora.</w:t>
            </w:r>
          </w:p>
          <w:p w:rsidR="002401CA" w:rsidRPr="00B44F8B" w:rsidRDefault="002401CA" w:rsidP="002401CA">
            <w:pPr>
              <w:pStyle w:val="NoSpacing"/>
              <w:rPr>
                <w:sz w:val="18"/>
                <w:lang w:val="ro-RO"/>
              </w:rPr>
            </w:pPr>
            <w:r w:rsidRPr="00B44F8B">
              <w:rPr>
                <w:sz w:val="18"/>
                <w:lang w:val="ro-RO"/>
              </w:rPr>
              <w:t>2) pentru PCS pentru capacitate întreruptibilă:</w:t>
            </w:r>
          </w:p>
          <w:p w:rsidR="002401CA" w:rsidRPr="00B44F8B" w:rsidRDefault="002401CA" w:rsidP="002401CA">
            <w:pPr>
              <w:pStyle w:val="NoSpacing"/>
              <w:rPr>
                <w:sz w:val="18"/>
                <w:lang w:val="ro-RO"/>
              </w:rPr>
            </w:pPr>
            <w:r w:rsidRPr="00B44F8B">
              <w:rPr>
                <w:sz w:val="18"/>
                <w:lang w:val="ro-RO"/>
              </w:rPr>
              <w:t>a) preţurile de rezervă aplicabile cel puţin până la sfârşitul anului gazier care începe după licitaţia anuală a capacităţii anuale;</w:t>
            </w:r>
          </w:p>
          <w:p w:rsidR="002401CA" w:rsidRPr="00B44F8B" w:rsidRDefault="002401CA" w:rsidP="002401CA">
            <w:pPr>
              <w:pStyle w:val="NoSpacing"/>
              <w:rPr>
                <w:sz w:val="18"/>
                <w:lang w:val="ro-RO"/>
              </w:rPr>
            </w:pPr>
            <w:r w:rsidRPr="00B44F8B">
              <w:rPr>
                <w:sz w:val="18"/>
                <w:lang w:val="ro-RO"/>
              </w:rPr>
              <w:t>b) o evaluare a probabilităţii de întrerupere, care să includă:</w:t>
            </w:r>
          </w:p>
          <w:p w:rsidR="002401CA" w:rsidRPr="00B44F8B" w:rsidRDefault="002401CA" w:rsidP="002401CA">
            <w:pPr>
              <w:pStyle w:val="NoSpacing"/>
              <w:rPr>
                <w:sz w:val="18"/>
                <w:lang w:val="ro-RO"/>
              </w:rPr>
            </w:pPr>
            <w:r w:rsidRPr="00B44F8B">
              <w:rPr>
                <w:sz w:val="18"/>
                <w:lang w:val="ro-RO"/>
              </w:rPr>
              <w:lastRenderedPageBreak/>
              <w:t>(1) lista tuturor tipurilor de PCS pentru capacitate întreruptibilă oferită, inclusiv probabilitatea de întrerupere corespunzătoare şi nivelul reducerii aplicate;</w:t>
            </w:r>
          </w:p>
          <w:p w:rsidR="002401CA" w:rsidRPr="00B44F8B" w:rsidRDefault="002401CA" w:rsidP="002401CA">
            <w:pPr>
              <w:pStyle w:val="NoSpacing"/>
              <w:rPr>
                <w:sz w:val="18"/>
                <w:lang w:val="ro-RO"/>
              </w:rPr>
            </w:pPr>
            <w:r w:rsidRPr="00B44F8B">
              <w:rPr>
                <w:sz w:val="18"/>
                <w:lang w:val="ro-RO"/>
              </w:rPr>
              <w:t>(2) explicaţia modului în care se calculează probabilitatea de întrerupere pentru fiecare tip de produs menţionat la alin.(1);</w:t>
            </w:r>
          </w:p>
          <w:p w:rsidR="002401CA" w:rsidRPr="00B44F8B" w:rsidRDefault="002401CA" w:rsidP="002401CA">
            <w:pPr>
              <w:pStyle w:val="NoSpacing"/>
              <w:rPr>
                <w:sz w:val="18"/>
                <w:lang w:val="ro-RO"/>
              </w:rPr>
            </w:pPr>
            <w:r w:rsidRPr="00B44F8B">
              <w:rPr>
                <w:sz w:val="18"/>
                <w:lang w:val="ro-RO"/>
              </w:rPr>
              <w:t>(3) datele istorice sau prognozate sau ambele tipuri de date, utilizate pentru estimarea probabilităţii de întrerupere menţionate la alin.(2).</w:t>
            </w:r>
          </w:p>
          <w:p w:rsidR="00D146AC" w:rsidRPr="00043955" w:rsidRDefault="00D146AC" w:rsidP="00DA725A">
            <w:pPr>
              <w:pStyle w:val="NoSpacing"/>
              <w:jc w:val="both"/>
              <w:rPr>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1B438F" w:rsidRPr="00E84D74" w:rsidRDefault="001B438F" w:rsidP="00DA725A">
            <w:pPr>
              <w:autoSpaceDE w:val="0"/>
              <w:autoSpaceDN w:val="0"/>
              <w:adjustRightInd w:val="0"/>
              <w:jc w:val="center"/>
              <w:rPr>
                <w:b/>
                <w:bCs/>
                <w:sz w:val="18"/>
                <w:szCs w:val="18"/>
              </w:rPr>
            </w:pPr>
            <w:r w:rsidRPr="00E84D74">
              <w:rPr>
                <w:b/>
                <w:bCs/>
                <w:sz w:val="18"/>
                <w:szCs w:val="18"/>
              </w:rPr>
              <w:t>CHAPTER VIII</w:t>
            </w:r>
          </w:p>
          <w:p w:rsidR="00D146AC" w:rsidRPr="00E84D74" w:rsidRDefault="001B438F" w:rsidP="00DA725A">
            <w:pPr>
              <w:jc w:val="center"/>
              <w:rPr>
                <w:b/>
                <w:bCs/>
                <w:sz w:val="18"/>
                <w:szCs w:val="18"/>
              </w:rPr>
            </w:pPr>
            <w:r w:rsidRPr="00E84D74">
              <w:rPr>
                <w:b/>
                <w:bCs/>
                <w:sz w:val="18"/>
                <w:szCs w:val="18"/>
              </w:rPr>
              <w:t>PUBLICATION REQUIREMENTS</w:t>
            </w:r>
          </w:p>
          <w:p w:rsidR="001B438F" w:rsidRPr="00E84D74" w:rsidRDefault="001B438F" w:rsidP="00DA725A">
            <w:pPr>
              <w:autoSpaceDE w:val="0"/>
              <w:autoSpaceDN w:val="0"/>
              <w:adjustRightInd w:val="0"/>
              <w:jc w:val="center"/>
              <w:rPr>
                <w:b/>
                <w:bCs/>
                <w:i/>
                <w:iCs/>
                <w:sz w:val="18"/>
                <w:szCs w:val="18"/>
              </w:rPr>
            </w:pPr>
            <w:r w:rsidRPr="00E84D74">
              <w:rPr>
                <w:b/>
                <w:bCs/>
                <w:i/>
                <w:iCs/>
                <w:sz w:val="18"/>
                <w:szCs w:val="18"/>
              </w:rPr>
              <w:t>Article 29</w:t>
            </w:r>
          </w:p>
          <w:p w:rsidR="001B438F" w:rsidRPr="00E84D74" w:rsidRDefault="001B438F" w:rsidP="00DA725A">
            <w:pPr>
              <w:jc w:val="center"/>
              <w:rPr>
                <w:b/>
                <w:bCs/>
                <w:sz w:val="18"/>
                <w:szCs w:val="18"/>
              </w:rPr>
            </w:pPr>
            <w:r w:rsidRPr="00E84D74">
              <w:rPr>
                <w:b/>
                <w:bCs/>
                <w:sz w:val="18"/>
                <w:szCs w:val="18"/>
              </w:rPr>
              <w:t>Information to be published before the annual yearly capacity auction</w:t>
            </w:r>
          </w:p>
          <w:p w:rsidR="001B438F" w:rsidRPr="00E84D74" w:rsidRDefault="001B438F" w:rsidP="00DA725A">
            <w:pPr>
              <w:autoSpaceDE w:val="0"/>
              <w:autoSpaceDN w:val="0"/>
              <w:adjustRightInd w:val="0"/>
              <w:rPr>
                <w:sz w:val="18"/>
                <w:szCs w:val="18"/>
              </w:rPr>
            </w:pPr>
            <w:r w:rsidRPr="00E84D74">
              <w:rPr>
                <w:sz w:val="18"/>
                <w:szCs w:val="18"/>
              </w:rPr>
              <w:t>For interconnection points and, where the national regulatory authority takes a decision to apply Regulation</w:t>
            </w:r>
          </w:p>
          <w:p w:rsidR="001B438F" w:rsidRPr="00E84D74" w:rsidRDefault="001B438F" w:rsidP="00DA725A">
            <w:pPr>
              <w:autoSpaceDE w:val="0"/>
              <w:autoSpaceDN w:val="0"/>
              <w:adjustRightInd w:val="0"/>
              <w:rPr>
                <w:sz w:val="18"/>
                <w:szCs w:val="18"/>
              </w:rPr>
            </w:pPr>
            <w:r w:rsidRPr="00E84D74">
              <w:rPr>
                <w:sz w:val="18"/>
                <w:szCs w:val="18"/>
              </w:rPr>
              <w:t>(EU) 2017/459, points other than interconnection points, the following information shall be published</w:t>
            </w:r>
            <w:r w:rsidR="00BE4FBC" w:rsidRPr="00E84D74">
              <w:rPr>
                <w:sz w:val="18"/>
                <w:szCs w:val="18"/>
              </w:rPr>
              <w:t xml:space="preserve"> </w:t>
            </w:r>
            <w:r w:rsidRPr="00E84D74">
              <w:rPr>
                <w:sz w:val="18"/>
                <w:szCs w:val="18"/>
              </w:rPr>
              <w:t>before the annual yearly capacity auction in accordance with the requirements set out in Articles</w:t>
            </w:r>
            <w:r w:rsidR="00BE4FBC" w:rsidRPr="00E84D74">
              <w:rPr>
                <w:sz w:val="18"/>
                <w:szCs w:val="18"/>
              </w:rPr>
              <w:t xml:space="preserve"> </w:t>
            </w:r>
            <w:r w:rsidRPr="00E84D74">
              <w:rPr>
                <w:sz w:val="18"/>
                <w:szCs w:val="18"/>
              </w:rPr>
              <w:t xml:space="preserve">31 and 32 by the national regulatory authority or the transmission system </w:t>
            </w:r>
            <w:r w:rsidR="00BE4FBC" w:rsidRPr="00E84D74">
              <w:rPr>
                <w:sz w:val="18"/>
                <w:szCs w:val="18"/>
              </w:rPr>
              <w:t xml:space="preserve"> </w:t>
            </w:r>
            <w:r w:rsidRPr="00E84D74">
              <w:rPr>
                <w:sz w:val="18"/>
                <w:szCs w:val="18"/>
              </w:rPr>
              <w:t>operator(s), as decided by the</w:t>
            </w:r>
            <w:r w:rsidR="00BE4FBC" w:rsidRPr="00E84D74">
              <w:rPr>
                <w:sz w:val="18"/>
                <w:szCs w:val="18"/>
              </w:rPr>
              <w:t xml:space="preserve"> </w:t>
            </w:r>
            <w:r w:rsidRPr="00E84D74">
              <w:rPr>
                <w:sz w:val="18"/>
                <w:szCs w:val="18"/>
              </w:rPr>
              <w:t>national regulatory authority:</w:t>
            </w:r>
          </w:p>
          <w:p w:rsidR="00694A28" w:rsidRPr="00E84D74" w:rsidRDefault="00694A28" w:rsidP="00DA725A">
            <w:pPr>
              <w:autoSpaceDE w:val="0"/>
              <w:autoSpaceDN w:val="0"/>
              <w:adjustRightInd w:val="0"/>
              <w:rPr>
                <w:sz w:val="18"/>
                <w:szCs w:val="18"/>
              </w:rPr>
            </w:pPr>
          </w:p>
          <w:p w:rsidR="001B438F" w:rsidRPr="00E84D74" w:rsidRDefault="001B438F" w:rsidP="00DA725A">
            <w:pPr>
              <w:autoSpaceDE w:val="0"/>
              <w:autoSpaceDN w:val="0"/>
              <w:adjustRightInd w:val="0"/>
              <w:rPr>
                <w:sz w:val="18"/>
                <w:szCs w:val="18"/>
              </w:rPr>
            </w:pPr>
            <w:r w:rsidRPr="00E84D74">
              <w:rPr>
                <w:sz w:val="18"/>
                <w:szCs w:val="18"/>
              </w:rPr>
              <w:t>(a) for standard capacity products for firm capacity:</w:t>
            </w:r>
          </w:p>
          <w:p w:rsidR="001B438F" w:rsidRPr="00E84D74" w:rsidRDefault="001B438F" w:rsidP="00DA725A">
            <w:pPr>
              <w:autoSpaceDE w:val="0"/>
              <w:autoSpaceDN w:val="0"/>
              <w:adjustRightInd w:val="0"/>
              <w:rPr>
                <w:sz w:val="18"/>
                <w:szCs w:val="18"/>
              </w:rPr>
            </w:pPr>
            <w:r w:rsidRPr="00E84D74">
              <w:rPr>
                <w:sz w:val="18"/>
                <w:szCs w:val="18"/>
              </w:rPr>
              <w:t>(i) the reserve prices applicable until at least the end of the gas year beginning after the annual</w:t>
            </w:r>
            <w:r w:rsidR="004000F6" w:rsidRPr="00E84D74">
              <w:rPr>
                <w:sz w:val="18"/>
                <w:szCs w:val="18"/>
              </w:rPr>
              <w:t xml:space="preserve"> </w:t>
            </w:r>
            <w:r w:rsidRPr="00E84D74">
              <w:rPr>
                <w:sz w:val="18"/>
                <w:szCs w:val="18"/>
              </w:rPr>
              <w:t>yearly capacity auction;</w:t>
            </w:r>
          </w:p>
          <w:p w:rsidR="001B438F" w:rsidRPr="00E84D74" w:rsidRDefault="001B438F" w:rsidP="00DA725A">
            <w:pPr>
              <w:autoSpaceDE w:val="0"/>
              <w:autoSpaceDN w:val="0"/>
              <w:adjustRightInd w:val="0"/>
              <w:rPr>
                <w:sz w:val="18"/>
                <w:szCs w:val="18"/>
              </w:rPr>
            </w:pPr>
            <w:r w:rsidRPr="00E84D74">
              <w:rPr>
                <w:sz w:val="18"/>
                <w:szCs w:val="18"/>
              </w:rPr>
              <w:t>(ii) the multipliers and seasonal factors applied to reserve prices for non-yearly standard capacity</w:t>
            </w:r>
            <w:r w:rsidR="004000F6" w:rsidRPr="00E84D74">
              <w:rPr>
                <w:sz w:val="18"/>
                <w:szCs w:val="18"/>
              </w:rPr>
              <w:t xml:space="preserve"> </w:t>
            </w:r>
            <w:r w:rsidRPr="00E84D74">
              <w:rPr>
                <w:sz w:val="18"/>
                <w:szCs w:val="18"/>
              </w:rPr>
              <w:t>products;</w:t>
            </w:r>
          </w:p>
          <w:p w:rsidR="001B438F" w:rsidRPr="00E84D74" w:rsidRDefault="001B438F" w:rsidP="00DA725A">
            <w:pPr>
              <w:autoSpaceDE w:val="0"/>
              <w:autoSpaceDN w:val="0"/>
              <w:adjustRightInd w:val="0"/>
              <w:rPr>
                <w:sz w:val="18"/>
                <w:szCs w:val="18"/>
              </w:rPr>
            </w:pPr>
            <w:r w:rsidRPr="00E84D74">
              <w:rPr>
                <w:sz w:val="18"/>
                <w:szCs w:val="18"/>
              </w:rPr>
              <w:t>(iii) the justification of the national regulatory authority for the level of multipliers;</w:t>
            </w:r>
          </w:p>
          <w:p w:rsidR="001B438F" w:rsidRPr="00E84D74" w:rsidRDefault="001B438F" w:rsidP="00DA725A">
            <w:pPr>
              <w:autoSpaceDE w:val="0"/>
              <w:autoSpaceDN w:val="0"/>
              <w:adjustRightInd w:val="0"/>
              <w:rPr>
                <w:sz w:val="18"/>
                <w:szCs w:val="18"/>
              </w:rPr>
            </w:pPr>
            <w:r w:rsidRPr="00E84D74">
              <w:rPr>
                <w:sz w:val="18"/>
                <w:szCs w:val="18"/>
              </w:rPr>
              <w:t>(iv) where seasonal factors are applied, the justification for their application.</w:t>
            </w:r>
          </w:p>
          <w:p w:rsidR="005956D3" w:rsidRPr="00E84D74" w:rsidRDefault="005956D3" w:rsidP="00DA725A">
            <w:pPr>
              <w:autoSpaceDE w:val="0"/>
              <w:autoSpaceDN w:val="0"/>
              <w:adjustRightInd w:val="0"/>
              <w:rPr>
                <w:sz w:val="18"/>
                <w:szCs w:val="18"/>
              </w:rPr>
            </w:pPr>
          </w:p>
          <w:p w:rsidR="001B438F" w:rsidRPr="00E84D74" w:rsidRDefault="001B438F" w:rsidP="00DA725A">
            <w:pPr>
              <w:autoSpaceDE w:val="0"/>
              <w:autoSpaceDN w:val="0"/>
              <w:adjustRightInd w:val="0"/>
              <w:rPr>
                <w:sz w:val="18"/>
                <w:szCs w:val="18"/>
              </w:rPr>
            </w:pPr>
            <w:r w:rsidRPr="00E84D74">
              <w:rPr>
                <w:sz w:val="18"/>
                <w:szCs w:val="18"/>
              </w:rPr>
              <w:t>(b) for standard capacity products for interruptible capacity:</w:t>
            </w:r>
          </w:p>
          <w:p w:rsidR="001B438F" w:rsidRPr="00E84D74" w:rsidRDefault="001B438F" w:rsidP="00DA725A">
            <w:pPr>
              <w:autoSpaceDE w:val="0"/>
              <w:autoSpaceDN w:val="0"/>
              <w:adjustRightInd w:val="0"/>
              <w:rPr>
                <w:sz w:val="18"/>
                <w:szCs w:val="18"/>
              </w:rPr>
            </w:pPr>
            <w:r w:rsidRPr="00E84D74">
              <w:rPr>
                <w:sz w:val="18"/>
                <w:szCs w:val="18"/>
              </w:rPr>
              <w:t>(i) the reserve prices applicable until at least the end of the gas year beginning after the annual</w:t>
            </w:r>
            <w:r w:rsidR="004000F6" w:rsidRPr="00E84D74">
              <w:rPr>
                <w:sz w:val="18"/>
                <w:szCs w:val="18"/>
              </w:rPr>
              <w:t xml:space="preserve"> </w:t>
            </w:r>
            <w:r w:rsidRPr="00E84D74">
              <w:rPr>
                <w:sz w:val="18"/>
                <w:szCs w:val="18"/>
              </w:rPr>
              <w:t>yearly capacity auction;</w:t>
            </w:r>
          </w:p>
          <w:p w:rsidR="001B438F" w:rsidRPr="00E84D74" w:rsidRDefault="001B438F" w:rsidP="00DA725A">
            <w:pPr>
              <w:autoSpaceDE w:val="0"/>
              <w:autoSpaceDN w:val="0"/>
              <w:adjustRightInd w:val="0"/>
              <w:rPr>
                <w:sz w:val="18"/>
                <w:szCs w:val="18"/>
              </w:rPr>
            </w:pPr>
            <w:r w:rsidRPr="00E84D74">
              <w:rPr>
                <w:sz w:val="18"/>
                <w:szCs w:val="18"/>
              </w:rPr>
              <w:t>(ii) an assessment of the probability of interruption including:</w:t>
            </w:r>
          </w:p>
          <w:p w:rsidR="001B438F" w:rsidRPr="00E84D74" w:rsidRDefault="001B438F" w:rsidP="00DA725A">
            <w:pPr>
              <w:autoSpaceDE w:val="0"/>
              <w:autoSpaceDN w:val="0"/>
              <w:adjustRightInd w:val="0"/>
              <w:rPr>
                <w:sz w:val="18"/>
                <w:szCs w:val="18"/>
              </w:rPr>
            </w:pPr>
            <w:r w:rsidRPr="00E84D74">
              <w:rPr>
                <w:sz w:val="18"/>
                <w:szCs w:val="18"/>
              </w:rPr>
              <w:t>(1) the list of all types of standard capacity products for interruptible capacity offered including</w:t>
            </w:r>
            <w:r w:rsidR="00401742" w:rsidRPr="00E84D74">
              <w:rPr>
                <w:sz w:val="18"/>
                <w:szCs w:val="18"/>
              </w:rPr>
              <w:t xml:space="preserve"> </w:t>
            </w:r>
            <w:r w:rsidRPr="00E84D74">
              <w:rPr>
                <w:sz w:val="18"/>
                <w:szCs w:val="18"/>
              </w:rPr>
              <w:t>the respective probability of interruption and the level of discount applied;</w:t>
            </w:r>
          </w:p>
          <w:p w:rsidR="005956D3" w:rsidRPr="00E84D74" w:rsidRDefault="005956D3" w:rsidP="00DA725A">
            <w:pPr>
              <w:autoSpaceDE w:val="0"/>
              <w:autoSpaceDN w:val="0"/>
              <w:adjustRightInd w:val="0"/>
              <w:rPr>
                <w:sz w:val="18"/>
                <w:szCs w:val="18"/>
              </w:rPr>
            </w:pPr>
          </w:p>
          <w:p w:rsidR="001B438F" w:rsidRPr="00E84D74" w:rsidRDefault="001B438F" w:rsidP="00DA725A">
            <w:pPr>
              <w:autoSpaceDE w:val="0"/>
              <w:autoSpaceDN w:val="0"/>
              <w:adjustRightInd w:val="0"/>
              <w:rPr>
                <w:sz w:val="18"/>
                <w:szCs w:val="18"/>
              </w:rPr>
            </w:pPr>
            <w:r w:rsidRPr="00E84D74">
              <w:rPr>
                <w:sz w:val="18"/>
                <w:szCs w:val="18"/>
              </w:rPr>
              <w:t>(2) the explanation of how the probability of interruption is calculated for each type of</w:t>
            </w:r>
            <w:r w:rsidR="005956D3" w:rsidRPr="00E84D74">
              <w:rPr>
                <w:sz w:val="18"/>
                <w:szCs w:val="18"/>
              </w:rPr>
              <w:t xml:space="preserve"> </w:t>
            </w:r>
            <w:r w:rsidRPr="00E84D74">
              <w:rPr>
                <w:sz w:val="18"/>
                <w:szCs w:val="18"/>
              </w:rPr>
              <w:t>product referred to in point (1);</w:t>
            </w:r>
          </w:p>
          <w:p w:rsidR="005956D3" w:rsidRPr="00E84D74" w:rsidRDefault="005956D3" w:rsidP="00DA725A">
            <w:pPr>
              <w:autoSpaceDE w:val="0"/>
              <w:autoSpaceDN w:val="0"/>
              <w:adjustRightInd w:val="0"/>
              <w:rPr>
                <w:sz w:val="18"/>
                <w:szCs w:val="18"/>
              </w:rPr>
            </w:pPr>
          </w:p>
          <w:p w:rsidR="001B438F" w:rsidRPr="00E84D74" w:rsidRDefault="001B438F" w:rsidP="00DA725A">
            <w:pPr>
              <w:autoSpaceDE w:val="0"/>
              <w:autoSpaceDN w:val="0"/>
              <w:adjustRightInd w:val="0"/>
              <w:rPr>
                <w:b/>
                <w:sz w:val="18"/>
                <w:szCs w:val="18"/>
              </w:rPr>
            </w:pPr>
            <w:r w:rsidRPr="00E84D74">
              <w:rPr>
                <w:sz w:val="18"/>
                <w:szCs w:val="18"/>
              </w:rPr>
              <w:t>(3) the historical or forecasted data, or both, used for the estimation of the probability of</w:t>
            </w:r>
            <w:r w:rsidR="005956D3" w:rsidRPr="00E84D74">
              <w:rPr>
                <w:sz w:val="18"/>
                <w:szCs w:val="18"/>
              </w:rPr>
              <w:t xml:space="preserve"> </w:t>
            </w:r>
            <w:r w:rsidRPr="00E84D74">
              <w:rPr>
                <w:sz w:val="18"/>
                <w:szCs w:val="18"/>
              </w:rPr>
              <w:t>interruption referred to in point (2).</w:t>
            </w:r>
          </w:p>
        </w:tc>
      </w:tr>
      <w:tr w:rsidR="00D146AC" w:rsidRPr="00043955" w:rsidTr="00FC3840">
        <w:trPr>
          <w:trHeight w:val="1240"/>
        </w:trPr>
        <w:tc>
          <w:tcPr>
            <w:tcW w:w="5245" w:type="dxa"/>
          </w:tcPr>
          <w:p w:rsidR="00D146AC" w:rsidRPr="000B25FB" w:rsidRDefault="00D146AC" w:rsidP="00DA725A">
            <w:pPr>
              <w:shd w:val="clear" w:color="auto" w:fill="FFFFFF"/>
              <w:jc w:val="both"/>
              <w:rPr>
                <w:i/>
                <w:iCs/>
                <w:sz w:val="18"/>
                <w:szCs w:val="18"/>
                <w:lang w:val="it-IT"/>
              </w:rPr>
            </w:pPr>
            <w:r w:rsidRPr="00245F66">
              <w:rPr>
                <w:i/>
                <w:iCs/>
                <w:szCs w:val="18"/>
                <w:lang w:val="it-IT"/>
              </w:rPr>
              <w:lastRenderedPageBreak/>
              <w:t>Articolul 30</w:t>
            </w:r>
          </w:p>
          <w:p w:rsidR="00D146AC" w:rsidRPr="000B25FB" w:rsidRDefault="00D146AC" w:rsidP="00DA725A">
            <w:pPr>
              <w:shd w:val="clear" w:color="auto" w:fill="FFFFFF"/>
              <w:jc w:val="both"/>
              <w:rPr>
                <w:b/>
                <w:bCs/>
                <w:sz w:val="18"/>
                <w:szCs w:val="18"/>
                <w:lang w:val="it-IT"/>
              </w:rPr>
            </w:pPr>
            <w:r w:rsidRPr="000B25FB">
              <w:rPr>
                <w:b/>
                <w:bCs/>
                <w:sz w:val="18"/>
                <w:szCs w:val="18"/>
                <w:lang w:val="it-IT"/>
              </w:rPr>
              <w:t>Informații publicate înainte de perioada tarifară</w:t>
            </w:r>
          </w:p>
          <w:p w:rsidR="00D146AC" w:rsidRPr="000B25FB" w:rsidRDefault="00D146AC" w:rsidP="00DA725A">
            <w:pPr>
              <w:shd w:val="clear" w:color="auto" w:fill="FFFFFF"/>
              <w:jc w:val="both"/>
              <w:rPr>
                <w:sz w:val="18"/>
                <w:szCs w:val="18"/>
                <w:lang w:val="it-IT"/>
              </w:rPr>
            </w:pPr>
            <w:r w:rsidRPr="000B25FB">
              <w:rPr>
                <w:sz w:val="18"/>
                <w:szCs w:val="18"/>
                <w:lang w:val="it-IT"/>
              </w:rPr>
              <w:t>(1)   Următoarele informații sunt publicate înainte de perioada tarifară, în conformitate cu cerințele articolelor 31 și 32, de către autoritatea națională de reglementare sau de către operatorul (operatorii) de transport și de sistem, conform deciziei autorității naționale de reglementare: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B25FB" w:rsidRDefault="00D146AC" w:rsidP="00DA725A">
                  <w:pPr>
                    <w:jc w:val="both"/>
                    <w:rPr>
                      <w:sz w:val="18"/>
                      <w:szCs w:val="18"/>
                    </w:rPr>
                  </w:pPr>
                  <w:r w:rsidRPr="000B25FB">
                    <w:rPr>
                      <w:sz w:val="18"/>
                      <w:szCs w:val="18"/>
                    </w:rPr>
                    <w:t>(a)</w:t>
                  </w:r>
                </w:p>
              </w:tc>
              <w:tc>
                <w:tcPr>
                  <w:tcW w:w="9296" w:type="dxa"/>
                  <w:shd w:val="clear" w:color="auto" w:fill="FFFFFF"/>
                  <w:hideMark/>
                </w:tcPr>
                <w:p w:rsidR="00D146AC" w:rsidRPr="000B25FB" w:rsidRDefault="00D146AC" w:rsidP="00DA725A">
                  <w:pPr>
                    <w:jc w:val="both"/>
                    <w:rPr>
                      <w:sz w:val="18"/>
                      <w:szCs w:val="18"/>
                      <w:lang w:val="it-IT"/>
                    </w:rPr>
                  </w:pPr>
                  <w:r w:rsidRPr="000B25FB">
                    <w:rPr>
                      <w:sz w:val="18"/>
                      <w:szCs w:val="18"/>
                      <w:lang w:val="it-IT"/>
                    </w:rPr>
                    <w:t>informații privind parametrii utilizați în cadrul metodologiei aplicate de stabilire a prețurilor de referință, care sunt legați de caracteristicile tehnice ale sistemului de transport, precum:</w:t>
                  </w:r>
                </w:p>
                <w:tbl>
                  <w:tblPr>
                    <w:tblW w:w="5000" w:type="pct"/>
                    <w:tblLayout w:type="fixed"/>
                    <w:tblCellMar>
                      <w:left w:w="0" w:type="dxa"/>
                      <w:right w:w="0" w:type="dxa"/>
                    </w:tblCellMar>
                    <w:tblLook w:val="04A0" w:firstRow="1" w:lastRow="0" w:firstColumn="1" w:lastColumn="0" w:noHBand="0" w:noVBand="1"/>
                  </w:tblPr>
                  <w:tblGrid>
                    <w:gridCol w:w="166"/>
                    <w:gridCol w:w="4822"/>
                  </w:tblGrid>
                  <w:tr w:rsidR="00D146AC" w:rsidRPr="00C27D66" w:rsidTr="00B92DDC">
                    <w:tc>
                      <w:tcPr>
                        <w:tcW w:w="294" w:type="dxa"/>
                        <w:shd w:val="clear" w:color="auto" w:fill="auto"/>
                        <w:hideMark/>
                      </w:tcPr>
                      <w:p w:rsidR="00D146AC" w:rsidRPr="000B25FB" w:rsidRDefault="00D146AC" w:rsidP="00DA725A">
                        <w:pPr>
                          <w:jc w:val="both"/>
                          <w:rPr>
                            <w:sz w:val="18"/>
                            <w:szCs w:val="18"/>
                          </w:rPr>
                        </w:pPr>
                        <w:r w:rsidRPr="000B25FB">
                          <w:rPr>
                            <w:sz w:val="18"/>
                            <w:szCs w:val="18"/>
                          </w:rPr>
                          <w:t>(i)</w:t>
                        </w:r>
                      </w:p>
                    </w:tc>
                    <w:tc>
                      <w:tcPr>
                        <w:tcW w:w="9002" w:type="dxa"/>
                        <w:shd w:val="clear" w:color="auto" w:fill="auto"/>
                        <w:hideMark/>
                      </w:tcPr>
                      <w:p w:rsidR="00D146AC" w:rsidRDefault="00D146AC" w:rsidP="00DA725A">
                        <w:pPr>
                          <w:jc w:val="both"/>
                          <w:rPr>
                            <w:sz w:val="18"/>
                            <w:szCs w:val="18"/>
                            <w:lang w:val="it-IT"/>
                          </w:rPr>
                        </w:pPr>
                        <w:r w:rsidRPr="000B25FB">
                          <w:rPr>
                            <w:sz w:val="18"/>
                            <w:szCs w:val="18"/>
                            <w:lang w:val="it-IT"/>
                          </w:rPr>
                          <w:t>capacitatea tehnică în punctele de intrare și de ieșire și ipotezele conexe;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83"/>
                    <w:gridCol w:w="4805"/>
                  </w:tblGrid>
                  <w:tr w:rsidR="00D146AC" w:rsidRPr="00C27D66" w:rsidTr="00B92DDC">
                    <w:tc>
                      <w:tcPr>
                        <w:tcW w:w="325" w:type="dxa"/>
                        <w:shd w:val="clear" w:color="auto" w:fill="auto"/>
                        <w:hideMark/>
                      </w:tcPr>
                      <w:p w:rsidR="00D146AC" w:rsidRPr="000B25FB" w:rsidRDefault="00D146AC" w:rsidP="00DA725A">
                        <w:pPr>
                          <w:jc w:val="both"/>
                          <w:rPr>
                            <w:sz w:val="18"/>
                            <w:szCs w:val="18"/>
                          </w:rPr>
                        </w:pPr>
                        <w:r w:rsidRPr="000B25FB">
                          <w:rPr>
                            <w:sz w:val="18"/>
                            <w:szCs w:val="18"/>
                          </w:rPr>
                          <w:t>(ii)</w:t>
                        </w:r>
                      </w:p>
                    </w:tc>
                    <w:tc>
                      <w:tcPr>
                        <w:tcW w:w="8971" w:type="dxa"/>
                        <w:shd w:val="clear" w:color="auto" w:fill="auto"/>
                        <w:hideMark/>
                      </w:tcPr>
                      <w:p w:rsidR="00D146AC" w:rsidRDefault="00D146AC" w:rsidP="00DA725A">
                        <w:pPr>
                          <w:jc w:val="both"/>
                          <w:rPr>
                            <w:sz w:val="18"/>
                            <w:szCs w:val="18"/>
                            <w:lang w:val="it-IT"/>
                          </w:rPr>
                        </w:pPr>
                        <w:r w:rsidRPr="000B25FB">
                          <w:rPr>
                            <w:sz w:val="18"/>
                            <w:szCs w:val="18"/>
                            <w:lang w:val="it-IT"/>
                          </w:rPr>
                          <w:t>capacitatea contactată estimată în punctele de intrare și de ieșire și ipotezele conexe;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4"/>
                  </w:tblGrid>
                  <w:tr w:rsidR="00D146AC" w:rsidRPr="00C27D66" w:rsidTr="00B92DDC">
                    <w:tc>
                      <w:tcPr>
                        <w:tcW w:w="270" w:type="dxa"/>
                        <w:shd w:val="clear" w:color="auto" w:fill="auto"/>
                        <w:hideMark/>
                      </w:tcPr>
                      <w:p w:rsidR="00D146AC" w:rsidRPr="000B25FB" w:rsidRDefault="00D146AC" w:rsidP="00DA725A">
                        <w:pPr>
                          <w:jc w:val="both"/>
                          <w:rPr>
                            <w:sz w:val="18"/>
                            <w:szCs w:val="18"/>
                          </w:rPr>
                        </w:pPr>
                        <w:r w:rsidRPr="000B25FB">
                          <w:rPr>
                            <w:sz w:val="18"/>
                            <w:szCs w:val="18"/>
                          </w:rPr>
                          <w:t>(iii)</w:t>
                        </w:r>
                      </w:p>
                    </w:tc>
                    <w:tc>
                      <w:tcPr>
                        <w:tcW w:w="9026" w:type="dxa"/>
                        <w:shd w:val="clear" w:color="auto" w:fill="auto"/>
                        <w:hideMark/>
                      </w:tcPr>
                      <w:p w:rsidR="00D146AC" w:rsidRDefault="00D146AC" w:rsidP="00DA725A">
                        <w:pPr>
                          <w:jc w:val="both"/>
                          <w:rPr>
                            <w:sz w:val="18"/>
                            <w:szCs w:val="18"/>
                            <w:lang w:val="it-IT"/>
                          </w:rPr>
                        </w:pPr>
                        <w:r w:rsidRPr="000B25FB">
                          <w:rPr>
                            <w:sz w:val="18"/>
                            <w:szCs w:val="18"/>
                            <w:lang w:val="it-IT"/>
                          </w:rPr>
                          <w:t>cantitatea și direcția fluxului de gaze pentru punctele de intrare și de ieșire și pentru ipotezele conexe, cum ar fi scenariile de cerere și ofertă pentru fluxul de gaze în perioada de vârf;</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32"/>
                    <w:gridCol w:w="4756"/>
                  </w:tblGrid>
                  <w:tr w:rsidR="00D146AC" w:rsidRPr="000B25FB" w:rsidTr="00B92DDC">
                    <w:tc>
                      <w:tcPr>
                        <w:tcW w:w="417" w:type="dxa"/>
                        <w:shd w:val="clear" w:color="auto" w:fill="auto"/>
                        <w:hideMark/>
                      </w:tcPr>
                      <w:p w:rsidR="00D146AC" w:rsidRPr="000B25FB" w:rsidRDefault="00D146AC" w:rsidP="00DA725A">
                        <w:pPr>
                          <w:jc w:val="both"/>
                          <w:rPr>
                            <w:sz w:val="18"/>
                            <w:szCs w:val="18"/>
                          </w:rPr>
                        </w:pPr>
                        <w:r w:rsidRPr="000B25FB">
                          <w:rPr>
                            <w:sz w:val="18"/>
                            <w:szCs w:val="18"/>
                          </w:rPr>
                          <w:t>(iv)</w:t>
                        </w:r>
                      </w:p>
                    </w:tc>
                    <w:tc>
                      <w:tcPr>
                        <w:tcW w:w="8879" w:type="dxa"/>
                        <w:shd w:val="clear" w:color="auto" w:fill="auto"/>
                        <w:hideMark/>
                      </w:tcPr>
                      <w:p w:rsidR="00D146AC" w:rsidRPr="000B25FB" w:rsidRDefault="00D146AC" w:rsidP="00DA725A">
                        <w:pPr>
                          <w:jc w:val="both"/>
                          <w:rPr>
                            <w:sz w:val="18"/>
                            <w:szCs w:val="18"/>
                          </w:rPr>
                        </w:pPr>
                        <w:r w:rsidRPr="000B25FB">
                          <w:rPr>
                            <w:sz w:val="18"/>
                            <w:szCs w:val="18"/>
                          </w:rPr>
                          <w:t>reprezentarea structurală a rețelei de transport cu un nivel adecvat de detaliu;</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2"/>
                    <w:gridCol w:w="4866"/>
                  </w:tblGrid>
                  <w:tr w:rsidR="00D146AC" w:rsidRPr="00C27D66" w:rsidTr="00B92DDC">
                    <w:tc>
                      <w:tcPr>
                        <w:tcW w:w="210" w:type="dxa"/>
                        <w:shd w:val="clear" w:color="auto" w:fill="auto"/>
                        <w:hideMark/>
                      </w:tcPr>
                      <w:p w:rsidR="00D146AC" w:rsidRPr="000B25FB" w:rsidRDefault="00D146AC" w:rsidP="00DA725A">
                        <w:pPr>
                          <w:jc w:val="both"/>
                          <w:rPr>
                            <w:sz w:val="18"/>
                            <w:szCs w:val="18"/>
                          </w:rPr>
                        </w:pPr>
                        <w:r w:rsidRPr="000B25FB">
                          <w:rPr>
                            <w:sz w:val="18"/>
                            <w:szCs w:val="18"/>
                          </w:rPr>
                          <w:t>(v)</w:t>
                        </w:r>
                      </w:p>
                    </w:tc>
                    <w:tc>
                      <w:tcPr>
                        <w:tcW w:w="9086" w:type="dxa"/>
                        <w:shd w:val="clear" w:color="auto" w:fill="auto"/>
                        <w:hideMark/>
                      </w:tcPr>
                      <w:p w:rsidR="00D146AC" w:rsidRPr="000B25FB" w:rsidRDefault="00D146AC" w:rsidP="00DA725A">
                        <w:pPr>
                          <w:jc w:val="both"/>
                          <w:rPr>
                            <w:sz w:val="18"/>
                            <w:szCs w:val="18"/>
                            <w:lang w:val="it-IT"/>
                          </w:rPr>
                        </w:pPr>
                        <w:r w:rsidRPr="000B25FB">
                          <w:rPr>
                            <w:sz w:val="18"/>
                            <w:szCs w:val="18"/>
                            <w:lang w:val="it-IT"/>
                          </w:rPr>
                          <w:t>informații tehnice suplimentare cu privire la rețeaua de transport, cum ar fi lungimea și diametrul conductelor și puterea stațiilor de comprimare a gazelor.</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B25FB" w:rsidRDefault="00D146AC" w:rsidP="00DA725A">
                  <w:pPr>
                    <w:jc w:val="both"/>
                    <w:rPr>
                      <w:sz w:val="18"/>
                      <w:szCs w:val="18"/>
                    </w:rPr>
                  </w:pPr>
                  <w:r w:rsidRPr="000B25FB">
                    <w:rPr>
                      <w:sz w:val="18"/>
                      <w:szCs w:val="18"/>
                    </w:rPr>
                    <w:lastRenderedPageBreak/>
                    <w:t>(b)</w:t>
                  </w:r>
                </w:p>
              </w:tc>
              <w:tc>
                <w:tcPr>
                  <w:tcW w:w="9293" w:type="dxa"/>
                  <w:shd w:val="clear" w:color="auto" w:fill="FFFFFF"/>
                  <w:hideMark/>
                </w:tcPr>
                <w:p w:rsidR="00D146AC" w:rsidRPr="000B25FB" w:rsidRDefault="00D146AC" w:rsidP="00DA725A">
                  <w:pPr>
                    <w:jc w:val="both"/>
                    <w:rPr>
                      <w:sz w:val="18"/>
                      <w:szCs w:val="18"/>
                    </w:rPr>
                  </w:pPr>
                  <w:r w:rsidRPr="000B25FB">
                    <w:rPr>
                      <w:sz w:val="18"/>
                      <w:szCs w:val="18"/>
                    </w:rPr>
                    <w:t>următoarele informații:</w:t>
                  </w:r>
                </w:p>
                <w:tbl>
                  <w:tblPr>
                    <w:tblW w:w="5000" w:type="pct"/>
                    <w:tblLayout w:type="fixed"/>
                    <w:tblCellMar>
                      <w:left w:w="0" w:type="dxa"/>
                      <w:right w:w="0" w:type="dxa"/>
                    </w:tblCellMar>
                    <w:tblLook w:val="04A0" w:firstRow="1" w:lastRow="0" w:firstColumn="1" w:lastColumn="0" w:noHBand="0" w:noVBand="1"/>
                  </w:tblPr>
                  <w:tblGrid>
                    <w:gridCol w:w="123"/>
                    <w:gridCol w:w="4864"/>
                  </w:tblGrid>
                  <w:tr w:rsidR="00D146AC" w:rsidRPr="00C27D66" w:rsidTr="00B92DDC">
                    <w:tc>
                      <w:tcPr>
                        <w:tcW w:w="212" w:type="dxa"/>
                        <w:shd w:val="clear" w:color="auto" w:fill="auto"/>
                        <w:hideMark/>
                      </w:tcPr>
                      <w:p w:rsidR="00D146AC" w:rsidRPr="000B25FB" w:rsidRDefault="00D146AC" w:rsidP="00DA725A">
                        <w:pPr>
                          <w:jc w:val="both"/>
                          <w:rPr>
                            <w:sz w:val="18"/>
                            <w:szCs w:val="18"/>
                          </w:rPr>
                        </w:pPr>
                        <w:r w:rsidRPr="000B25FB">
                          <w:rPr>
                            <w:sz w:val="18"/>
                            <w:szCs w:val="18"/>
                          </w:rPr>
                          <w:t>(i)</w:t>
                        </w:r>
                      </w:p>
                    </w:tc>
                    <w:tc>
                      <w:tcPr>
                        <w:tcW w:w="9081" w:type="dxa"/>
                        <w:shd w:val="clear" w:color="auto" w:fill="auto"/>
                        <w:hideMark/>
                      </w:tcPr>
                      <w:p w:rsidR="00D146AC" w:rsidRPr="000B25FB" w:rsidRDefault="00D146AC" w:rsidP="00DA725A">
                        <w:pPr>
                          <w:jc w:val="both"/>
                          <w:rPr>
                            <w:sz w:val="18"/>
                            <w:szCs w:val="18"/>
                            <w:lang w:val="it-IT"/>
                          </w:rPr>
                        </w:pPr>
                        <w:r w:rsidRPr="000B25FB">
                          <w:rPr>
                            <w:sz w:val="18"/>
                            <w:szCs w:val="18"/>
                            <w:lang w:val="it-IT"/>
                          </w:rPr>
                          <w:t>venitul autorizat și venitul-țintă, sau ambele tipuri de venit, ale operatorului de transport și de sistem;</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65"/>
                    <w:gridCol w:w="4822"/>
                  </w:tblGrid>
                  <w:tr w:rsidR="00D146AC" w:rsidRPr="00C27D66" w:rsidTr="00B92DDC">
                    <w:tc>
                      <w:tcPr>
                        <w:tcW w:w="291" w:type="dxa"/>
                        <w:shd w:val="clear" w:color="auto" w:fill="auto"/>
                        <w:hideMark/>
                      </w:tcPr>
                      <w:p w:rsidR="00D146AC" w:rsidRPr="000B25FB" w:rsidRDefault="00D146AC" w:rsidP="00DA725A">
                        <w:pPr>
                          <w:jc w:val="both"/>
                          <w:rPr>
                            <w:sz w:val="18"/>
                            <w:szCs w:val="18"/>
                          </w:rPr>
                        </w:pPr>
                        <w:r w:rsidRPr="000B25FB">
                          <w:rPr>
                            <w:sz w:val="18"/>
                            <w:szCs w:val="18"/>
                          </w:rPr>
                          <w:t>(ii)</w:t>
                        </w:r>
                      </w:p>
                    </w:tc>
                    <w:tc>
                      <w:tcPr>
                        <w:tcW w:w="9002" w:type="dxa"/>
                        <w:shd w:val="clear" w:color="auto" w:fill="auto"/>
                        <w:hideMark/>
                      </w:tcPr>
                      <w:p w:rsidR="00D146AC" w:rsidRPr="000B25FB" w:rsidRDefault="00D146AC" w:rsidP="00DA725A">
                        <w:pPr>
                          <w:jc w:val="both"/>
                          <w:rPr>
                            <w:sz w:val="18"/>
                            <w:szCs w:val="18"/>
                            <w:lang w:val="it-IT"/>
                          </w:rPr>
                        </w:pPr>
                        <w:r w:rsidRPr="000B25FB">
                          <w:rPr>
                            <w:sz w:val="18"/>
                            <w:szCs w:val="18"/>
                            <w:lang w:val="it-IT"/>
                          </w:rPr>
                          <w:t>informații referitoare la modificările, de la un an la altul, ale venitului menționat la punctul (i);</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2"/>
                    <w:gridCol w:w="4935"/>
                  </w:tblGrid>
                  <w:tr w:rsidR="00D146AC" w:rsidRPr="000B25FB" w:rsidTr="00B92DDC">
                    <w:tc>
                      <w:tcPr>
                        <w:tcW w:w="79" w:type="dxa"/>
                        <w:shd w:val="clear" w:color="auto" w:fill="auto"/>
                        <w:hideMark/>
                      </w:tcPr>
                      <w:p w:rsidR="00D146AC" w:rsidRPr="000B25FB" w:rsidRDefault="00D146AC" w:rsidP="00DA725A">
                        <w:pPr>
                          <w:jc w:val="both"/>
                          <w:rPr>
                            <w:sz w:val="18"/>
                            <w:szCs w:val="18"/>
                          </w:rPr>
                        </w:pPr>
                        <w:r w:rsidRPr="000B25FB">
                          <w:rPr>
                            <w:sz w:val="18"/>
                            <w:szCs w:val="18"/>
                          </w:rPr>
                          <w:t>(iii)</w:t>
                        </w:r>
                      </w:p>
                    </w:tc>
                    <w:tc>
                      <w:tcPr>
                        <w:tcW w:w="9214" w:type="dxa"/>
                        <w:shd w:val="clear" w:color="auto" w:fill="auto"/>
                        <w:hideMark/>
                      </w:tcPr>
                      <w:p w:rsidR="00D146AC" w:rsidRPr="000B25FB" w:rsidRDefault="00D146AC" w:rsidP="00DA725A">
                        <w:pPr>
                          <w:jc w:val="both"/>
                          <w:rPr>
                            <w:sz w:val="18"/>
                            <w:szCs w:val="18"/>
                          </w:rPr>
                        </w:pPr>
                        <w:r w:rsidRPr="000B25FB">
                          <w:rPr>
                            <w:sz w:val="18"/>
                            <w:szCs w:val="18"/>
                          </w:rPr>
                          <w:t>următorii parametri:</w:t>
                        </w:r>
                      </w:p>
                      <w:tbl>
                        <w:tblPr>
                          <w:tblW w:w="5000" w:type="pct"/>
                          <w:tblLayout w:type="fixed"/>
                          <w:tblCellMar>
                            <w:left w:w="0" w:type="dxa"/>
                            <w:right w:w="0" w:type="dxa"/>
                          </w:tblCellMar>
                          <w:tblLook w:val="04A0" w:firstRow="1" w:lastRow="0" w:firstColumn="1" w:lastColumn="0" w:noHBand="0" w:noVBand="1"/>
                        </w:tblPr>
                        <w:tblGrid>
                          <w:gridCol w:w="120"/>
                          <w:gridCol w:w="4815"/>
                        </w:tblGrid>
                        <w:tr w:rsidR="00D146AC" w:rsidRPr="000B25FB" w:rsidTr="00B92DDC">
                          <w:tc>
                            <w:tcPr>
                              <w:tcW w:w="207" w:type="dxa"/>
                              <w:shd w:val="clear" w:color="auto" w:fill="auto"/>
                              <w:hideMark/>
                            </w:tcPr>
                            <w:p w:rsidR="00D146AC" w:rsidRPr="000B25FB" w:rsidRDefault="00D146AC" w:rsidP="00DA725A">
                              <w:pPr>
                                <w:jc w:val="both"/>
                                <w:rPr>
                                  <w:sz w:val="18"/>
                                  <w:szCs w:val="18"/>
                                </w:rPr>
                              </w:pPr>
                              <w:r w:rsidRPr="000B25FB">
                                <w:rPr>
                                  <w:sz w:val="18"/>
                                  <w:szCs w:val="18"/>
                                </w:rPr>
                                <w:t>1.</w:t>
                              </w:r>
                            </w:p>
                          </w:tc>
                          <w:tc>
                            <w:tcPr>
                              <w:tcW w:w="9007" w:type="dxa"/>
                              <w:shd w:val="clear" w:color="auto" w:fill="auto"/>
                              <w:hideMark/>
                            </w:tcPr>
                            <w:p w:rsidR="00D146AC" w:rsidRPr="000B25FB" w:rsidRDefault="00D146AC" w:rsidP="00DA725A">
                              <w:pPr>
                                <w:jc w:val="both"/>
                                <w:rPr>
                                  <w:sz w:val="18"/>
                                  <w:szCs w:val="18"/>
                                </w:rPr>
                              </w:pPr>
                              <w:r w:rsidRPr="000B25FB">
                                <w:rPr>
                                  <w:sz w:val="18"/>
                                  <w:szCs w:val="18"/>
                                </w:rPr>
                                <w:t>tipurile de active incluse în baza reglementată a activelor și valoarea lor agregată;</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70"/>
                          <w:gridCol w:w="4765"/>
                        </w:tblGrid>
                        <w:tr w:rsidR="00D146AC" w:rsidRPr="00C27D66" w:rsidTr="00B92DDC">
                          <w:tc>
                            <w:tcPr>
                              <w:tcW w:w="302" w:type="dxa"/>
                              <w:shd w:val="clear" w:color="auto" w:fill="auto"/>
                              <w:hideMark/>
                            </w:tcPr>
                            <w:p w:rsidR="00D146AC" w:rsidRPr="000B25FB" w:rsidRDefault="00D146AC" w:rsidP="00DA725A">
                              <w:pPr>
                                <w:jc w:val="both"/>
                                <w:rPr>
                                  <w:sz w:val="18"/>
                                  <w:szCs w:val="18"/>
                                </w:rPr>
                              </w:pPr>
                              <w:r w:rsidRPr="000B25FB">
                                <w:rPr>
                                  <w:sz w:val="18"/>
                                  <w:szCs w:val="18"/>
                                </w:rPr>
                                <w:t>2.</w:t>
                              </w:r>
                            </w:p>
                          </w:tc>
                          <w:tc>
                            <w:tcPr>
                              <w:tcW w:w="8912" w:type="dxa"/>
                              <w:shd w:val="clear" w:color="auto" w:fill="auto"/>
                              <w:hideMark/>
                            </w:tcPr>
                            <w:p w:rsidR="00D146AC" w:rsidRPr="000B25FB" w:rsidRDefault="00D146AC" w:rsidP="00DA725A">
                              <w:pPr>
                                <w:jc w:val="both"/>
                                <w:rPr>
                                  <w:sz w:val="18"/>
                                  <w:szCs w:val="18"/>
                                  <w:lang w:val="it-IT"/>
                                </w:rPr>
                              </w:pPr>
                              <w:r w:rsidRPr="000B25FB">
                                <w:rPr>
                                  <w:sz w:val="18"/>
                                  <w:szCs w:val="18"/>
                                  <w:lang w:val="it-IT"/>
                                </w:rPr>
                                <w:t>costul de capital și metodologia de calculare a acestuia;</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0"/>
                          <w:gridCol w:w="4905"/>
                        </w:tblGrid>
                        <w:tr w:rsidR="00D146AC" w:rsidRPr="00C27D66" w:rsidTr="00B92DDC">
                          <w:tc>
                            <w:tcPr>
                              <w:tcW w:w="39" w:type="dxa"/>
                              <w:shd w:val="clear" w:color="auto" w:fill="auto"/>
                              <w:hideMark/>
                            </w:tcPr>
                            <w:p w:rsidR="00D146AC" w:rsidRPr="000B25FB" w:rsidRDefault="00D146AC" w:rsidP="00DA725A">
                              <w:pPr>
                                <w:jc w:val="both"/>
                                <w:rPr>
                                  <w:sz w:val="18"/>
                                  <w:szCs w:val="18"/>
                                </w:rPr>
                              </w:pPr>
                              <w:r w:rsidRPr="000B25FB">
                                <w:rPr>
                                  <w:sz w:val="18"/>
                                  <w:szCs w:val="18"/>
                                </w:rPr>
                                <w:t>3.</w:t>
                              </w:r>
                            </w:p>
                          </w:tc>
                          <w:tc>
                            <w:tcPr>
                              <w:tcW w:w="9175" w:type="dxa"/>
                              <w:shd w:val="clear" w:color="auto" w:fill="auto"/>
                              <w:hideMark/>
                            </w:tcPr>
                            <w:p w:rsidR="00D146AC" w:rsidRPr="000B25FB" w:rsidRDefault="00D146AC" w:rsidP="00DA725A">
                              <w:pPr>
                                <w:jc w:val="both"/>
                                <w:rPr>
                                  <w:sz w:val="18"/>
                                  <w:szCs w:val="18"/>
                                </w:rPr>
                              </w:pPr>
                              <w:r w:rsidRPr="000B25FB">
                                <w:rPr>
                                  <w:sz w:val="18"/>
                                  <w:szCs w:val="18"/>
                                </w:rPr>
                                <w:t>cheltuielile de capital, inclusiv:</w:t>
                              </w:r>
                            </w:p>
                            <w:tbl>
                              <w:tblPr>
                                <w:tblW w:w="5000" w:type="pct"/>
                                <w:tblLayout w:type="fixed"/>
                                <w:tblCellMar>
                                  <w:left w:w="0" w:type="dxa"/>
                                  <w:right w:w="0" w:type="dxa"/>
                                </w:tblCellMar>
                                <w:tblLook w:val="04A0" w:firstRow="1" w:lastRow="0" w:firstColumn="1" w:lastColumn="0" w:noHBand="0" w:noVBand="1"/>
                              </w:tblPr>
                              <w:tblGrid>
                                <w:gridCol w:w="234"/>
                                <w:gridCol w:w="4671"/>
                              </w:tblGrid>
                              <w:tr w:rsidR="00D146AC" w:rsidRPr="00C27D66" w:rsidTr="00B92DDC">
                                <w:tc>
                                  <w:tcPr>
                                    <w:tcW w:w="421" w:type="dxa"/>
                                    <w:shd w:val="clear" w:color="auto" w:fill="auto"/>
                                    <w:hideMark/>
                                  </w:tcPr>
                                  <w:p w:rsidR="00D146AC" w:rsidRPr="000B25FB" w:rsidRDefault="00D146AC" w:rsidP="00DA725A">
                                    <w:pPr>
                                      <w:jc w:val="both"/>
                                      <w:rPr>
                                        <w:sz w:val="18"/>
                                        <w:szCs w:val="18"/>
                                      </w:rPr>
                                    </w:pPr>
                                    <w:r w:rsidRPr="000B25FB">
                                      <w:rPr>
                                        <w:sz w:val="18"/>
                                        <w:szCs w:val="18"/>
                                      </w:rPr>
                                      <w:t>(a)</w:t>
                                    </w:r>
                                  </w:p>
                                </w:tc>
                                <w:tc>
                                  <w:tcPr>
                                    <w:tcW w:w="8754" w:type="dxa"/>
                                    <w:shd w:val="clear" w:color="auto" w:fill="auto"/>
                                    <w:hideMark/>
                                  </w:tcPr>
                                  <w:p w:rsidR="00D146AC" w:rsidRPr="000B25FB" w:rsidRDefault="00D146AC" w:rsidP="00DA725A">
                                    <w:pPr>
                                      <w:jc w:val="both"/>
                                      <w:rPr>
                                        <w:sz w:val="18"/>
                                        <w:szCs w:val="18"/>
                                        <w:lang w:val="it-IT"/>
                                      </w:rPr>
                                    </w:pPr>
                                    <w:r w:rsidRPr="000B25FB">
                                      <w:rPr>
                                        <w:sz w:val="18"/>
                                        <w:szCs w:val="18"/>
                                        <w:lang w:val="it-IT"/>
                                      </w:rPr>
                                      <w:t>metodologiile de determinare a valorii inițiale a activelor;</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44"/>
                                <w:gridCol w:w="4561"/>
                              </w:tblGrid>
                              <w:tr w:rsidR="00D146AC" w:rsidRPr="00C27D66" w:rsidTr="00B92DDC">
                                <w:tc>
                                  <w:tcPr>
                                    <w:tcW w:w="628" w:type="dxa"/>
                                    <w:shd w:val="clear" w:color="auto" w:fill="auto"/>
                                    <w:hideMark/>
                                  </w:tcPr>
                                  <w:p w:rsidR="00D146AC" w:rsidRPr="000B25FB" w:rsidRDefault="00D146AC" w:rsidP="00DA725A">
                                    <w:pPr>
                                      <w:jc w:val="both"/>
                                      <w:rPr>
                                        <w:sz w:val="18"/>
                                        <w:szCs w:val="18"/>
                                      </w:rPr>
                                    </w:pPr>
                                    <w:r w:rsidRPr="000B25FB">
                                      <w:rPr>
                                        <w:sz w:val="18"/>
                                        <w:szCs w:val="18"/>
                                      </w:rPr>
                                      <w:t>(b)</w:t>
                                    </w:r>
                                  </w:p>
                                </w:tc>
                                <w:tc>
                                  <w:tcPr>
                                    <w:tcW w:w="8547" w:type="dxa"/>
                                    <w:shd w:val="clear" w:color="auto" w:fill="auto"/>
                                    <w:hideMark/>
                                  </w:tcPr>
                                  <w:p w:rsidR="00D146AC" w:rsidRPr="000B25FB" w:rsidRDefault="00D146AC" w:rsidP="00DA725A">
                                    <w:pPr>
                                      <w:jc w:val="both"/>
                                      <w:rPr>
                                        <w:sz w:val="18"/>
                                        <w:szCs w:val="18"/>
                                        <w:lang w:val="it-IT"/>
                                      </w:rPr>
                                    </w:pPr>
                                    <w:r w:rsidRPr="000B25FB">
                                      <w:rPr>
                                        <w:sz w:val="18"/>
                                        <w:szCs w:val="18"/>
                                        <w:lang w:val="it-IT"/>
                                      </w:rPr>
                                      <w:t>metodologiile de reevaluare a activelor;</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05"/>
                                <w:gridCol w:w="4600"/>
                              </w:tblGrid>
                              <w:tr w:rsidR="00D146AC" w:rsidRPr="000B25FB" w:rsidTr="00B92DDC">
                                <w:tc>
                                  <w:tcPr>
                                    <w:tcW w:w="556" w:type="dxa"/>
                                    <w:shd w:val="clear" w:color="auto" w:fill="auto"/>
                                    <w:hideMark/>
                                  </w:tcPr>
                                  <w:p w:rsidR="00D146AC" w:rsidRPr="000B25FB" w:rsidRDefault="00D146AC" w:rsidP="00DA725A">
                                    <w:pPr>
                                      <w:jc w:val="both"/>
                                      <w:rPr>
                                        <w:sz w:val="18"/>
                                        <w:szCs w:val="18"/>
                                      </w:rPr>
                                    </w:pPr>
                                    <w:r w:rsidRPr="000B25FB">
                                      <w:rPr>
                                        <w:sz w:val="18"/>
                                        <w:szCs w:val="18"/>
                                      </w:rPr>
                                      <w:t>(c)</w:t>
                                    </w:r>
                                  </w:p>
                                </w:tc>
                                <w:tc>
                                  <w:tcPr>
                                    <w:tcW w:w="8619" w:type="dxa"/>
                                    <w:shd w:val="clear" w:color="auto" w:fill="auto"/>
                                    <w:hideMark/>
                                  </w:tcPr>
                                  <w:p w:rsidR="00D146AC" w:rsidRPr="000B25FB" w:rsidRDefault="00D146AC" w:rsidP="00DA725A">
                                    <w:pPr>
                                      <w:jc w:val="both"/>
                                      <w:rPr>
                                        <w:sz w:val="18"/>
                                        <w:szCs w:val="18"/>
                                      </w:rPr>
                                    </w:pPr>
                                    <w:r w:rsidRPr="000B25FB">
                                      <w:rPr>
                                        <w:sz w:val="18"/>
                                        <w:szCs w:val="18"/>
                                      </w:rPr>
                                      <w:t>explicații privind evoluția valorii activelor;</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76"/>
                                <w:gridCol w:w="4629"/>
                              </w:tblGrid>
                              <w:tr w:rsidR="00D146AC" w:rsidRPr="00C27D66" w:rsidTr="00B92DDC">
                                <w:tc>
                                  <w:tcPr>
                                    <w:tcW w:w="500" w:type="dxa"/>
                                    <w:shd w:val="clear" w:color="auto" w:fill="auto"/>
                                    <w:hideMark/>
                                  </w:tcPr>
                                  <w:p w:rsidR="00D146AC" w:rsidRPr="000B25FB" w:rsidRDefault="00D146AC" w:rsidP="00DA725A">
                                    <w:pPr>
                                      <w:jc w:val="both"/>
                                      <w:rPr>
                                        <w:sz w:val="18"/>
                                        <w:szCs w:val="18"/>
                                      </w:rPr>
                                    </w:pPr>
                                    <w:r w:rsidRPr="000B25FB">
                                      <w:rPr>
                                        <w:sz w:val="18"/>
                                        <w:szCs w:val="18"/>
                                      </w:rPr>
                                      <w:t>(d)</w:t>
                                    </w:r>
                                  </w:p>
                                </w:tc>
                                <w:tc>
                                  <w:tcPr>
                                    <w:tcW w:w="8675" w:type="dxa"/>
                                    <w:shd w:val="clear" w:color="auto" w:fill="auto"/>
                                    <w:hideMark/>
                                  </w:tcPr>
                                  <w:p w:rsidR="00D146AC" w:rsidRPr="000B25FB" w:rsidRDefault="00D146AC" w:rsidP="00DA725A">
                                    <w:pPr>
                                      <w:jc w:val="both"/>
                                      <w:rPr>
                                        <w:sz w:val="18"/>
                                        <w:szCs w:val="18"/>
                                        <w:lang w:val="it-IT"/>
                                      </w:rPr>
                                    </w:pPr>
                                    <w:r w:rsidRPr="000B25FB">
                                      <w:rPr>
                                        <w:sz w:val="18"/>
                                        <w:szCs w:val="18"/>
                                        <w:lang w:val="it-IT"/>
                                      </w:rPr>
                                      <w:t>perioadele de depreciere și sumele per tip de activ.</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55"/>
                          <w:gridCol w:w="4580"/>
                        </w:tblGrid>
                        <w:tr w:rsidR="00D146AC" w:rsidRPr="000B25FB" w:rsidTr="00B92DDC">
                          <w:tc>
                            <w:tcPr>
                              <w:tcW w:w="648" w:type="dxa"/>
                              <w:shd w:val="clear" w:color="auto" w:fill="auto"/>
                              <w:hideMark/>
                            </w:tcPr>
                            <w:p w:rsidR="00D146AC" w:rsidRPr="000B25FB" w:rsidRDefault="00D146AC" w:rsidP="00DA725A">
                              <w:pPr>
                                <w:jc w:val="both"/>
                                <w:rPr>
                                  <w:sz w:val="18"/>
                                  <w:szCs w:val="18"/>
                                </w:rPr>
                              </w:pPr>
                              <w:r w:rsidRPr="000B25FB">
                                <w:rPr>
                                  <w:sz w:val="18"/>
                                  <w:szCs w:val="18"/>
                                </w:rPr>
                                <w:t>4.</w:t>
                              </w:r>
                            </w:p>
                          </w:tc>
                          <w:tc>
                            <w:tcPr>
                              <w:tcW w:w="8566" w:type="dxa"/>
                              <w:shd w:val="clear" w:color="auto" w:fill="auto"/>
                              <w:hideMark/>
                            </w:tcPr>
                            <w:p w:rsidR="00D146AC" w:rsidRPr="000B25FB" w:rsidRDefault="00D146AC" w:rsidP="00DA725A">
                              <w:pPr>
                                <w:jc w:val="both"/>
                                <w:rPr>
                                  <w:sz w:val="18"/>
                                  <w:szCs w:val="18"/>
                                </w:rPr>
                              </w:pPr>
                              <w:r w:rsidRPr="000B25FB">
                                <w:rPr>
                                  <w:sz w:val="18"/>
                                  <w:szCs w:val="18"/>
                                </w:rPr>
                                <w:t>cheltuielile operaționale;</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0"/>
                          <w:gridCol w:w="4785"/>
                        </w:tblGrid>
                        <w:tr w:rsidR="00D146AC" w:rsidRPr="000B25FB" w:rsidTr="00B92DDC">
                          <w:tc>
                            <w:tcPr>
                              <w:tcW w:w="264" w:type="dxa"/>
                              <w:shd w:val="clear" w:color="auto" w:fill="auto"/>
                              <w:hideMark/>
                            </w:tcPr>
                            <w:p w:rsidR="00D146AC" w:rsidRPr="000B25FB" w:rsidRDefault="00D146AC" w:rsidP="00DA725A">
                              <w:pPr>
                                <w:jc w:val="both"/>
                                <w:rPr>
                                  <w:sz w:val="18"/>
                                  <w:szCs w:val="18"/>
                                </w:rPr>
                              </w:pPr>
                              <w:r w:rsidRPr="000B25FB">
                                <w:rPr>
                                  <w:sz w:val="18"/>
                                  <w:szCs w:val="18"/>
                                </w:rPr>
                                <w:t>5.</w:t>
                              </w:r>
                            </w:p>
                          </w:tc>
                          <w:tc>
                            <w:tcPr>
                              <w:tcW w:w="8950" w:type="dxa"/>
                              <w:shd w:val="clear" w:color="auto" w:fill="auto"/>
                              <w:hideMark/>
                            </w:tcPr>
                            <w:p w:rsidR="00D146AC" w:rsidRPr="000B25FB" w:rsidRDefault="00D146AC" w:rsidP="00DA725A">
                              <w:pPr>
                                <w:jc w:val="both"/>
                                <w:rPr>
                                  <w:sz w:val="18"/>
                                  <w:szCs w:val="18"/>
                                </w:rPr>
                              </w:pPr>
                              <w:r w:rsidRPr="000B25FB">
                                <w:rPr>
                                  <w:sz w:val="18"/>
                                  <w:szCs w:val="18"/>
                                </w:rPr>
                                <w:t>mecanismele de stimulare și obiectivele în materie de eficiență;</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80"/>
                          <w:gridCol w:w="4455"/>
                        </w:tblGrid>
                        <w:tr w:rsidR="00D146AC" w:rsidRPr="000B25FB" w:rsidTr="00B92DDC">
                          <w:tc>
                            <w:tcPr>
                              <w:tcW w:w="882" w:type="dxa"/>
                              <w:shd w:val="clear" w:color="auto" w:fill="auto"/>
                              <w:hideMark/>
                            </w:tcPr>
                            <w:p w:rsidR="00D146AC" w:rsidRPr="000B25FB" w:rsidRDefault="00D146AC" w:rsidP="00DA725A">
                              <w:pPr>
                                <w:jc w:val="both"/>
                                <w:rPr>
                                  <w:sz w:val="18"/>
                                  <w:szCs w:val="18"/>
                                </w:rPr>
                              </w:pPr>
                              <w:r w:rsidRPr="000B25FB">
                                <w:rPr>
                                  <w:sz w:val="18"/>
                                  <w:szCs w:val="18"/>
                                </w:rPr>
                                <w:t>6.</w:t>
                              </w:r>
                            </w:p>
                          </w:tc>
                          <w:tc>
                            <w:tcPr>
                              <w:tcW w:w="8332" w:type="dxa"/>
                              <w:shd w:val="clear" w:color="auto" w:fill="auto"/>
                              <w:hideMark/>
                            </w:tcPr>
                            <w:p w:rsidR="00D146AC" w:rsidRPr="000B25FB" w:rsidRDefault="00D146AC" w:rsidP="00DA725A">
                              <w:pPr>
                                <w:jc w:val="both"/>
                                <w:rPr>
                                  <w:sz w:val="18"/>
                                  <w:szCs w:val="18"/>
                                </w:rPr>
                              </w:pPr>
                              <w:r w:rsidRPr="000B25FB">
                                <w:rPr>
                                  <w:sz w:val="18"/>
                                  <w:szCs w:val="18"/>
                                </w:rPr>
                                <w:t>indicii de inflație.</w:t>
                              </w:r>
                            </w:p>
                          </w:tc>
                        </w:tr>
                      </w:tbl>
                      <w:p w:rsidR="00D146AC" w:rsidRPr="000B25FB" w:rsidRDefault="00D146AC" w:rsidP="00DA725A">
                        <w:pPr>
                          <w:jc w:val="both"/>
                          <w:rPr>
                            <w:sz w:val="18"/>
                            <w:szCs w:val="18"/>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36"/>
                    <w:gridCol w:w="4551"/>
                  </w:tblGrid>
                  <w:tr w:rsidR="00D146AC" w:rsidRPr="000B25FB" w:rsidTr="00B92DDC">
                    <w:tc>
                      <w:tcPr>
                        <w:tcW w:w="798" w:type="dxa"/>
                        <w:shd w:val="clear" w:color="auto" w:fill="auto"/>
                        <w:hideMark/>
                      </w:tcPr>
                      <w:p w:rsidR="00D146AC" w:rsidRPr="000B25FB" w:rsidRDefault="00D146AC" w:rsidP="00DA725A">
                        <w:pPr>
                          <w:jc w:val="both"/>
                          <w:rPr>
                            <w:sz w:val="18"/>
                            <w:szCs w:val="18"/>
                          </w:rPr>
                        </w:pPr>
                        <w:r w:rsidRPr="000B25FB">
                          <w:rPr>
                            <w:sz w:val="18"/>
                            <w:szCs w:val="18"/>
                          </w:rPr>
                          <w:t>(iv)</w:t>
                        </w:r>
                      </w:p>
                    </w:tc>
                    <w:tc>
                      <w:tcPr>
                        <w:tcW w:w="8495" w:type="dxa"/>
                        <w:shd w:val="clear" w:color="auto" w:fill="auto"/>
                        <w:hideMark/>
                      </w:tcPr>
                      <w:p w:rsidR="00D146AC" w:rsidRPr="000B25FB" w:rsidRDefault="00D146AC" w:rsidP="00DA725A">
                        <w:pPr>
                          <w:jc w:val="both"/>
                          <w:rPr>
                            <w:sz w:val="18"/>
                            <w:szCs w:val="18"/>
                          </w:rPr>
                        </w:pPr>
                        <w:r w:rsidRPr="000B25FB">
                          <w:rPr>
                            <w:sz w:val="18"/>
                            <w:szCs w:val="18"/>
                          </w:rPr>
                          <w:t>venitul aferent serviciilor de transport;</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2"/>
                    <w:gridCol w:w="4945"/>
                  </w:tblGrid>
                  <w:tr w:rsidR="00D146AC" w:rsidRPr="00C27D66" w:rsidTr="00B92DDC">
                    <w:tc>
                      <w:tcPr>
                        <w:tcW w:w="61" w:type="dxa"/>
                        <w:shd w:val="clear" w:color="auto" w:fill="auto"/>
                        <w:hideMark/>
                      </w:tcPr>
                      <w:p w:rsidR="00D146AC" w:rsidRPr="000B25FB" w:rsidRDefault="00D146AC" w:rsidP="00DA725A">
                        <w:pPr>
                          <w:jc w:val="both"/>
                          <w:rPr>
                            <w:sz w:val="18"/>
                            <w:szCs w:val="18"/>
                          </w:rPr>
                        </w:pPr>
                        <w:r w:rsidRPr="000B25FB">
                          <w:rPr>
                            <w:sz w:val="18"/>
                            <w:szCs w:val="18"/>
                          </w:rPr>
                          <w:t>(v)</w:t>
                        </w:r>
                      </w:p>
                    </w:tc>
                    <w:tc>
                      <w:tcPr>
                        <w:tcW w:w="9232" w:type="dxa"/>
                        <w:shd w:val="clear" w:color="auto" w:fill="auto"/>
                        <w:hideMark/>
                      </w:tcPr>
                      <w:p w:rsidR="00D146AC" w:rsidRPr="000B25FB" w:rsidRDefault="00D146AC" w:rsidP="00DA725A">
                        <w:pPr>
                          <w:jc w:val="both"/>
                          <w:rPr>
                            <w:sz w:val="18"/>
                            <w:szCs w:val="18"/>
                            <w:lang w:val="it-IT"/>
                          </w:rPr>
                        </w:pPr>
                        <w:r w:rsidRPr="000B25FB">
                          <w:rPr>
                            <w:sz w:val="18"/>
                            <w:szCs w:val="18"/>
                            <w:lang w:val="it-IT"/>
                          </w:rPr>
                          <w:t>următoarele raporturi pentru venitul menționat la punctul (iv):</w:t>
                        </w:r>
                      </w:p>
                      <w:tbl>
                        <w:tblPr>
                          <w:tblW w:w="5000" w:type="pct"/>
                          <w:tblLayout w:type="fixed"/>
                          <w:tblCellMar>
                            <w:left w:w="0" w:type="dxa"/>
                            <w:right w:w="0" w:type="dxa"/>
                          </w:tblCellMar>
                          <w:tblLook w:val="04A0" w:firstRow="1" w:lastRow="0" w:firstColumn="1" w:lastColumn="0" w:noHBand="0" w:noVBand="1"/>
                        </w:tblPr>
                        <w:tblGrid>
                          <w:gridCol w:w="81"/>
                          <w:gridCol w:w="4864"/>
                        </w:tblGrid>
                        <w:tr w:rsidR="00D146AC" w:rsidRPr="00C27D66"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1.</w:t>
                              </w:r>
                            </w:p>
                          </w:tc>
                          <w:tc>
                            <w:tcPr>
                              <w:tcW w:w="9097" w:type="dxa"/>
                              <w:shd w:val="clear" w:color="auto" w:fill="auto"/>
                              <w:hideMark/>
                            </w:tcPr>
                            <w:p w:rsidR="00D146AC" w:rsidRDefault="00D146AC" w:rsidP="00DA725A">
                              <w:pPr>
                                <w:jc w:val="both"/>
                                <w:rPr>
                                  <w:sz w:val="18"/>
                                  <w:szCs w:val="18"/>
                                  <w:lang w:val="it-IT"/>
                                </w:rPr>
                              </w:pPr>
                              <w:r w:rsidRPr="000B25FB">
                                <w:rPr>
                                  <w:sz w:val="18"/>
                                  <w:szCs w:val="18"/>
                                  <w:lang w:val="it-IT"/>
                                </w:rPr>
                                <w:t>raportul capacitate/produse, adică defalcarea între venitul generat de tarifele de transport bazate pe capacitate și venitul generat de tarifele de transport volumetrice;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4"/>
                        </w:tblGrid>
                        <w:tr w:rsidR="00D146AC" w:rsidRPr="00C27D66"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2.</w:t>
                              </w:r>
                            </w:p>
                          </w:tc>
                          <w:tc>
                            <w:tcPr>
                              <w:tcW w:w="9097" w:type="dxa"/>
                              <w:shd w:val="clear" w:color="auto" w:fill="auto"/>
                              <w:hideMark/>
                            </w:tcPr>
                            <w:p w:rsidR="00D146AC" w:rsidRDefault="00D146AC" w:rsidP="00DA725A">
                              <w:pPr>
                                <w:jc w:val="both"/>
                                <w:rPr>
                                  <w:sz w:val="18"/>
                                  <w:szCs w:val="18"/>
                                  <w:lang w:val="it-IT"/>
                                </w:rPr>
                              </w:pPr>
                              <w:r w:rsidRPr="000B25FB">
                                <w:rPr>
                                  <w:sz w:val="18"/>
                                  <w:szCs w:val="18"/>
                                  <w:lang w:val="it-IT"/>
                                </w:rPr>
                                <w:t>raportul intrare/ieșire, adică defalcarea între venitul generat de tarifele de transport bazate pe capacitate în toate punctele de intrare și venitul generat de tarifele de transport bazate pe capacitate în toate punctele de ieșire;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4"/>
                        </w:tblGrid>
                        <w:tr w:rsidR="00D146AC" w:rsidRPr="00C27D66"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3.</w:t>
                              </w:r>
                            </w:p>
                          </w:tc>
                          <w:tc>
                            <w:tcPr>
                              <w:tcW w:w="9097" w:type="dxa"/>
                              <w:shd w:val="clear" w:color="auto" w:fill="auto"/>
                              <w:hideMark/>
                            </w:tcPr>
                            <w:p w:rsidR="00D146AC" w:rsidRDefault="00D146AC" w:rsidP="00DA725A">
                              <w:pPr>
                                <w:jc w:val="both"/>
                                <w:rPr>
                                  <w:sz w:val="18"/>
                                  <w:szCs w:val="18"/>
                                  <w:lang w:val="it-IT"/>
                                </w:rPr>
                              </w:pPr>
                              <w:r w:rsidRPr="000B25FB">
                                <w:rPr>
                                  <w:sz w:val="18"/>
                                  <w:szCs w:val="18"/>
                                  <w:lang w:val="it-IT"/>
                                </w:rPr>
                                <w:t>raportul dintre utilizarea rețelei în interiorul sistemului și utilizarea rețelei între sisteme, adică defalcarea dintre venitul generat din utilizarea rețelei în interiorul sistemului atât în punctele de intrare, cât și în punctele de ieșire, și venitul generat din utilizarea rețelei între sisteme atât în punctele de intrare, cât și în punctele de ieșire, calculate în conformitate cu articolul 5.</w:t>
                              </w:r>
                            </w:p>
                            <w:p w:rsidR="009671F8" w:rsidRPr="000B25FB" w:rsidRDefault="009671F8" w:rsidP="00DA725A">
                              <w:pPr>
                                <w:jc w:val="both"/>
                                <w:rPr>
                                  <w:sz w:val="18"/>
                                  <w:szCs w:val="18"/>
                                  <w:lang w:val="it-IT"/>
                                </w:rPr>
                              </w:pP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0"/>
                    <w:gridCol w:w="4937"/>
                  </w:tblGrid>
                  <w:tr w:rsidR="00D146AC" w:rsidRPr="00C27D66" w:rsidTr="00B92DDC">
                    <w:tc>
                      <w:tcPr>
                        <w:tcW w:w="76" w:type="dxa"/>
                        <w:shd w:val="clear" w:color="auto" w:fill="auto"/>
                        <w:hideMark/>
                      </w:tcPr>
                      <w:p w:rsidR="00D146AC" w:rsidRPr="000B25FB" w:rsidRDefault="00D146AC" w:rsidP="00DA725A">
                        <w:pPr>
                          <w:jc w:val="both"/>
                          <w:rPr>
                            <w:sz w:val="18"/>
                            <w:szCs w:val="18"/>
                          </w:rPr>
                        </w:pPr>
                        <w:r w:rsidRPr="000B25FB">
                          <w:rPr>
                            <w:sz w:val="18"/>
                            <w:szCs w:val="18"/>
                          </w:rPr>
                          <w:t>(vi)</w:t>
                        </w:r>
                      </w:p>
                    </w:tc>
                    <w:tc>
                      <w:tcPr>
                        <w:tcW w:w="9217" w:type="dxa"/>
                        <w:shd w:val="clear" w:color="auto" w:fill="auto"/>
                        <w:hideMark/>
                      </w:tcPr>
                      <w:p w:rsidR="00D146AC" w:rsidRDefault="00D146AC" w:rsidP="00DA725A">
                        <w:pPr>
                          <w:jc w:val="both"/>
                          <w:rPr>
                            <w:sz w:val="18"/>
                            <w:szCs w:val="18"/>
                          </w:rPr>
                        </w:pPr>
                        <w:r w:rsidRPr="000B25FB">
                          <w:rPr>
                            <w:sz w:val="18"/>
                            <w:szCs w:val="18"/>
                          </w:rPr>
                          <w:t>în cazul și în măsura în care operatorul de transport și de sistem funcționează în cadrul unui regim de tarifare fără plafonarea prețului, următoarele informații referitoare la reconcilierea contului de regularizare:</w:t>
                        </w:r>
                      </w:p>
                      <w:p w:rsidR="009671F8" w:rsidRPr="000B25FB" w:rsidRDefault="009671F8" w:rsidP="00DA725A">
                        <w:pPr>
                          <w:jc w:val="both"/>
                          <w:rPr>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56"/>
                        </w:tblGrid>
                        <w:tr w:rsidR="00D146AC" w:rsidRPr="000B25FB"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1.</w:t>
                              </w:r>
                            </w:p>
                          </w:tc>
                          <w:tc>
                            <w:tcPr>
                              <w:tcW w:w="9082" w:type="dxa"/>
                              <w:shd w:val="clear" w:color="auto" w:fill="auto"/>
                              <w:hideMark/>
                            </w:tcPr>
                            <w:p w:rsidR="00D146AC" w:rsidRDefault="00D146AC" w:rsidP="00DA725A">
                              <w:pPr>
                                <w:jc w:val="both"/>
                                <w:rPr>
                                  <w:sz w:val="18"/>
                                  <w:szCs w:val="18"/>
                                </w:rPr>
                              </w:pPr>
                              <w:r w:rsidRPr="000B25FB">
                                <w:rPr>
                                  <w:sz w:val="18"/>
                                  <w:szCs w:val="18"/>
                                </w:rPr>
                                <w:t>venitul real obținut, sumele recuperate parțial sau în exces din venitul autorizat și partea din aceste sume atribuită contului de regularizare și, dacă este cazul, subconturilor din cadrul respectivului cont de regularizare;</w:t>
                              </w:r>
                            </w:p>
                            <w:p w:rsidR="009671F8" w:rsidRPr="000B25FB" w:rsidRDefault="009671F8" w:rsidP="00DA725A">
                              <w:pPr>
                                <w:jc w:val="both"/>
                                <w:rPr>
                                  <w:sz w:val="18"/>
                                  <w:szCs w:val="18"/>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2"/>
                          <w:gridCol w:w="4795"/>
                        </w:tblGrid>
                        <w:tr w:rsidR="00D146AC" w:rsidRPr="00C27D66" w:rsidTr="00B92DDC">
                          <w:tc>
                            <w:tcPr>
                              <w:tcW w:w="248" w:type="dxa"/>
                              <w:shd w:val="clear" w:color="auto" w:fill="auto"/>
                              <w:hideMark/>
                            </w:tcPr>
                            <w:p w:rsidR="00D146AC" w:rsidRPr="000B25FB" w:rsidRDefault="00D146AC" w:rsidP="00DA725A">
                              <w:pPr>
                                <w:jc w:val="both"/>
                                <w:rPr>
                                  <w:sz w:val="18"/>
                                  <w:szCs w:val="18"/>
                                </w:rPr>
                              </w:pPr>
                              <w:r w:rsidRPr="000B25FB">
                                <w:rPr>
                                  <w:sz w:val="18"/>
                                  <w:szCs w:val="18"/>
                                </w:rPr>
                                <w:t>2.</w:t>
                              </w:r>
                            </w:p>
                          </w:tc>
                          <w:tc>
                            <w:tcPr>
                              <w:tcW w:w="8969" w:type="dxa"/>
                              <w:shd w:val="clear" w:color="auto" w:fill="auto"/>
                              <w:hideMark/>
                            </w:tcPr>
                            <w:p w:rsidR="00D146AC" w:rsidRPr="000B25FB" w:rsidRDefault="00D146AC" w:rsidP="00DA725A">
                              <w:pPr>
                                <w:jc w:val="both"/>
                                <w:rPr>
                                  <w:sz w:val="18"/>
                                  <w:szCs w:val="18"/>
                                  <w:lang w:val="it-IT"/>
                                </w:rPr>
                              </w:pPr>
                              <w:r w:rsidRPr="000B25FB">
                                <w:rPr>
                                  <w:sz w:val="18"/>
                                  <w:szCs w:val="18"/>
                                  <w:lang w:val="it-IT"/>
                                </w:rPr>
                                <w:t>perioada de reconciliere și mecanismele de stimulare implementate.</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71"/>
                    <w:gridCol w:w="4516"/>
                  </w:tblGrid>
                  <w:tr w:rsidR="00D146AC" w:rsidRPr="00C27D66" w:rsidTr="00B92DDC">
                    <w:tc>
                      <w:tcPr>
                        <w:tcW w:w="863" w:type="dxa"/>
                        <w:shd w:val="clear" w:color="auto" w:fill="auto"/>
                        <w:hideMark/>
                      </w:tcPr>
                      <w:p w:rsidR="00D146AC" w:rsidRPr="000B25FB" w:rsidRDefault="00D146AC" w:rsidP="00DA725A">
                        <w:pPr>
                          <w:jc w:val="both"/>
                          <w:rPr>
                            <w:sz w:val="18"/>
                            <w:szCs w:val="18"/>
                          </w:rPr>
                        </w:pPr>
                        <w:r w:rsidRPr="000B25FB">
                          <w:rPr>
                            <w:sz w:val="18"/>
                            <w:szCs w:val="18"/>
                          </w:rPr>
                          <w:lastRenderedPageBreak/>
                          <w:t>(vii)</w:t>
                        </w:r>
                      </w:p>
                    </w:tc>
                    <w:tc>
                      <w:tcPr>
                        <w:tcW w:w="8430" w:type="dxa"/>
                        <w:shd w:val="clear" w:color="auto" w:fill="auto"/>
                        <w:hideMark/>
                      </w:tcPr>
                      <w:p w:rsidR="00D146AC" w:rsidRPr="000B25FB" w:rsidRDefault="00D146AC" w:rsidP="00DA725A">
                        <w:pPr>
                          <w:jc w:val="both"/>
                          <w:rPr>
                            <w:sz w:val="18"/>
                            <w:szCs w:val="18"/>
                            <w:lang w:val="it-IT"/>
                          </w:rPr>
                        </w:pPr>
                        <w:r w:rsidRPr="000B25FB">
                          <w:rPr>
                            <w:sz w:val="18"/>
                            <w:szCs w:val="18"/>
                            <w:lang w:val="it-IT"/>
                          </w:rPr>
                          <w:t>utilizarea preconizată a primei de licitație.</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B25FB" w:rsidRDefault="00D146AC" w:rsidP="00DA725A">
                  <w:pPr>
                    <w:jc w:val="both"/>
                    <w:rPr>
                      <w:sz w:val="18"/>
                      <w:szCs w:val="18"/>
                    </w:rPr>
                  </w:pPr>
                  <w:r w:rsidRPr="000B25FB">
                    <w:rPr>
                      <w:sz w:val="18"/>
                      <w:szCs w:val="18"/>
                    </w:rPr>
                    <w:t>(c)</w:t>
                  </w:r>
                </w:p>
              </w:tc>
              <w:tc>
                <w:tcPr>
                  <w:tcW w:w="9296" w:type="dxa"/>
                  <w:shd w:val="clear" w:color="auto" w:fill="FFFFFF"/>
                  <w:hideMark/>
                </w:tcPr>
                <w:p w:rsidR="00D146AC" w:rsidRDefault="00D146AC" w:rsidP="00DA725A">
                  <w:pPr>
                    <w:jc w:val="both"/>
                    <w:rPr>
                      <w:sz w:val="18"/>
                      <w:szCs w:val="18"/>
                      <w:lang w:val="it-IT"/>
                    </w:rPr>
                  </w:pPr>
                  <w:r w:rsidRPr="000B25FB">
                    <w:rPr>
                      <w:sz w:val="18"/>
                      <w:szCs w:val="18"/>
                      <w:lang w:val="it-IT"/>
                    </w:rPr>
                    <w:t>următoarele informații privind tarifele de transport și alte tarife decât cele de transport, însoțite de informații relevante legate de determinarea acestora:</w:t>
                  </w:r>
                </w:p>
                <w:p w:rsidR="009671F8" w:rsidRDefault="009671F8" w:rsidP="00DA725A">
                  <w:pPr>
                    <w:jc w:val="both"/>
                    <w:rPr>
                      <w:sz w:val="18"/>
                      <w:szCs w:val="18"/>
                      <w:lang w:val="it-IT"/>
                    </w:rPr>
                  </w:pPr>
                </w:p>
                <w:p w:rsidR="009671F8" w:rsidRDefault="009671F8" w:rsidP="00DA725A">
                  <w:pPr>
                    <w:jc w:val="both"/>
                    <w:rPr>
                      <w:sz w:val="18"/>
                      <w:szCs w:val="18"/>
                      <w:lang w:val="it-IT"/>
                    </w:rPr>
                  </w:pPr>
                </w:p>
                <w:p w:rsidR="009671F8" w:rsidRPr="000B25FB" w:rsidRDefault="009671F8"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24"/>
                    <w:gridCol w:w="4864"/>
                  </w:tblGrid>
                  <w:tr w:rsidR="00D146AC" w:rsidRPr="00C27D66" w:rsidTr="00B92DDC">
                    <w:tc>
                      <w:tcPr>
                        <w:tcW w:w="214" w:type="dxa"/>
                        <w:shd w:val="clear" w:color="auto" w:fill="auto"/>
                        <w:hideMark/>
                      </w:tcPr>
                      <w:p w:rsidR="00D146AC" w:rsidRPr="000B25FB" w:rsidRDefault="00D146AC" w:rsidP="00DA725A">
                        <w:pPr>
                          <w:jc w:val="both"/>
                          <w:rPr>
                            <w:sz w:val="18"/>
                            <w:szCs w:val="18"/>
                          </w:rPr>
                        </w:pPr>
                        <w:r w:rsidRPr="000B25FB">
                          <w:rPr>
                            <w:sz w:val="18"/>
                            <w:szCs w:val="18"/>
                          </w:rPr>
                          <w:t>(i)</w:t>
                        </w:r>
                      </w:p>
                    </w:tc>
                    <w:tc>
                      <w:tcPr>
                        <w:tcW w:w="9082" w:type="dxa"/>
                        <w:shd w:val="clear" w:color="auto" w:fill="auto"/>
                        <w:hideMark/>
                      </w:tcPr>
                      <w:p w:rsidR="00D146AC" w:rsidRPr="000B25FB" w:rsidRDefault="00D146AC" w:rsidP="00DA725A">
                        <w:pPr>
                          <w:jc w:val="both"/>
                          <w:rPr>
                            <w:sz w:val="18"/>
                            <w:szCs w:val="18"/>
                            <w:lang w:val="it-IT"/>
                          </w:rPr>
                        </w:pPr>
                        <w:r w:rsidRPr="000B25FB">
                          <w:rPr>
                            <w:sz w:val="18"/>
                            <w:szCs w:val="18"/>
                            <w:lang w:val="it-IT"/>
                          </w:rPr>
                          <w:t>în cazul în care sunt aplicate, tarifele de transport volumetrice menționate la articolul 4 alineatul (3);</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B25FB" w:rsidTr="00B92DDC">
                    <w:tc>
                      <w:tcPr>
                        <w:tcW w:w="220" w:type="dxa"/>
                        <w:shd w:val="clear" w:color="auto" w:fill="auto"/>
                        <w:hideMark/>
                      </w:tcPr>
                      <w:p w:rsidR="00D146AC" w:rsidRPr="000B25FB" w:rsidRDefault="00D146AC" w:rsidP="00DA725A">
                        <w:pPr>
                          <w:jc w:val="both"/>
                          <w:rPr>
                            <w:sz w:val="18"/>
                            <w:szCs w:val="18"/>
                          </w:rPr>
                        </w:pPr>
                        <w:r w:rsidRPr="000B25FB">
                          <w:rPr>
                            <w:sz w:val="18"/>
                            <w:szCs w:val="18"/>
                          </w:rPr>
                          <w:t>(ii)</w:t>
                        </w:r>
                      </w:p>
                    </w:tc>
                    <w:tc>
                      <w:tcPr>
                        <w:tcW w:w="9076" w:type="dxa"/>
                        <w:shd w:val="clear" w:color="auto" w:fill="auto"/>
                        <w:hideMark/>
                      </w:tcPr>
                      <w:p w:rsidR="00D146AC" w:rsidRDefault="00D146AC" w:rsidP="00DA725A">
                        <w:pPr>
                          <w:jc w:val="both"/>
                          <w:rPr>
                            <w:sz w:val="18"/>
                            <w:szCs w:val="18"/>
                          </w:rPr>
                        </w:pPr>
                        <w:r w:rsidRPr="000B25FB">
                          <w:rPr>
                            <w:sz w:val="18"/>
                            <w:szCs w:val="18"/>
                          </w:rPr>
                          <w:t>în cazul în care sunt aplicate, alte tarife decât cele de transport aferente altor servicii decât cele de transport menționate la articolul 4 alineatul (4);</w:t>
                        </w:r>
                      </w:p>
                      <w:p w:rsidR="009671F8" w:rsidRPr="000B25FB" w:rsidRDefault="009671F8" w:rsidP="00DA725A">
                        <w:pPr>
                          <w:jc w:val="both"/>
                          <w:rPr>
                            <w:sz w:val="18"/>
                            <w:szCs w:val="18"/>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96"/>
                    <w:gridCol w:w="4792"/>
                  </w:tblGrid>
                  <w:tr w:rsidR="00D146AC" w:rsidRPr="00C27D66" w:rsidTr="00B92DDC">
                    <w:tc>
                      <w:tcPr>
                        <w:tcW w:w="349" w:type="dxa"/>
                        <w:shd w:val="clear" w:color="auto" w:fill="auto"/>
                        <w:hideMark/>
                      </w:tcPr>
                      <w:p w:rsidR="00D146AC" w:rsidRPr="000B25FB" w:rsidRDefault="00D146AC" w:rsidP="00DA725A">
                        <w:pPr>
                          <w:jc w:val="both"/>
                          <w:rPr>
                            <w:sz w:val="18"/>
                            <w:szCs w:val="18"/>
                          </w:rPr>
                        </w:pPr>
                        <w:r w:rsidRPr="000B25FB">
                          <w:rPr>
                            <w:sz w:val="18"/>
                            <w:szCs w:val="18"/>
                          </w:rPr>
                          <w:t>(iii)</w:t>
                        </w:r>
                      </w:p>
                    </w:tc>
                    <w:tc>
                      <w:tcPr>
                        <w:tcW w:w="8947" w:type="dxa"/>
                        <w:shd w:val="clear" w:color="auto" w:fill="auto"/>
                        <w:hideMark/>
                      </w:tcPr>
                      <w:p w:rsidR="00D146AC" w:rsidRPr="000B25FB" w:rsidRDefault="00D146AC" w:rsidP="00DA725A">
                        <w:pPr>
                          <w:jc w:val="both"/>
                          <w:rPr>
                            <w:sz w:val="18"/>
                            <w:szCs w:val="18"/>
                            <w:lang w:val="it-IT"/>
                          </w:rPr>
                        </w:pPr>
                        <w:r w:rsidRPr="000B25FB">
                          <w:rPr>
                            <w:sz w:val="18"/>
                            <w:szCs w:val="18"/>
                            <w:lang w:val="it-IT"/>
                          </w:rPr>
                          <w:t>prețurile de referință și alte prețuri aplicabile în alte puncte decât cele menționate la articolul 29.</w:t>
                        </w:r>
                      </w:p>
                    </w:tc>
                  </w:tr>
                </w:tbl>
                <w:p w:rsidR="00D146AC" w:rsidRPr="000B25FB" w:rsidRDefault="00D146AC" w:rsidP="00DA725A">
                  <w:pPr>
                    <w:jc w:val="both"/>
                    <w:rPr>
                      <w:sz w:val="18"/>
                      <w:szCs w:val="18"/>
                      <w:lang w:val="it-IT"/>
                    </w:rPr>
                  </w:pPr>
                </w:p>
              </w:tc>
            </w:tr>
          </w:tbl>
          <w:p w:rsidR="009671F8" w:rsidRPr="00485F66" w:rsidRDefault="009671F8" w:rsidP="00DA725A">
            <w:pPr>
              <w:shd w:val="clear" w:color="auto" w:fill="FFFFFF"/>
              <w:jc w:val="both"/>
              <w:rPr>
                <w:sz w:val="18"/>
                <w:szCs w:val="18"/>
                <w:lang w:val="it-IT"/>
              </w:rPr>
            </w:pPr>
          </w:p>
          <w:p w:rsidR="00D146AC" w:rsidRPr="000B25FB" w:rsidRDefault="00D146AC" w:rsidP="00DA725A">
            <w:pPr>
              <w:shd w:val="clear" w:color="auto" w:fill="FFFFFF"/>
              <w:jc w:val="both"/>
              <w:rPr>
                <w:sz w:val="18"/>
                <w:szCs w:val="18"/>
              </w:rPr>
            </w:pPr>
            <w:r w:rsidRPr="000B25FB">
              <w:rPr>
                <w:sz w:val="18"/>
                <w:szCs w:val="18"/>
              </w:rPr>
              <w:t>(2)   În plus, trebuie publicate următoarele informații cu privire la tarifele de transport: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B25FB" w:rsidTr="00B92DDC">
              <w:tc>
                <w:tcPr>
                  <w:tcW w:w="59" w:type="dxa"/>
                  <w:shd w:val="clear" w:color="auto" w:fill="FFFFFF"/>
                  <w:hideMark/>
                </w:tcPr>
                <w:p w:rsidR="00D146AC" w:rsidRPr="000B25FB" w:rsidRDefault="00D146AC" w:rsidP="00DA725A">
                  <w:pPr>
                    <w:jc w:val="both"/>
                    <w:rPr>
                      <w:sz w:val="18"/>
                      <w:szCs w:val="18"/>
                    </w:rPr>
                  </w:pPr>
                  <w:r w:rsidRPr="000B25FB">
                    <w:rPr>
                      <w:sz w:val="18"/>
                      <w:szCs w:val="18"/>
                    </w:rPr>
                    <w:t>(a)</w:t>
                  </w:r>
                </w:p>
              </w:tc>
              <w:tc>
                <w:tcPr>
                  <w:tcW w:w="9296" w:type="dxa"/>
                  <w:shd w:val="clear" w:color="auto" w:fill="FFFFFF"/>
                  <w:hideMark/>
                </w:tcPr>
                <w:p w:rsidR="00D146AC" w:rsidRPr="000B25FB" w:rsidRDefault="00D146AC" w:rsidP="00DA725A">
                  <w:pPr>
                    <w:jc w:val="both"/>
                    <w:rPr>
                      <w:sz w:val="18"/>
                      <w:szCs w:val="18"/>
                    </w:rPr>
                  </w:pPr>
                  <w:r w:rsidRPr="000B25FB">
                    <w:rPr>
                      <w:sz w:val="18"/>
                      <w:szCs w:val="18"/>
                    </w:rPr>
                    <w:t>explicații privind:</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D146AC" w:rsidRPr="000B25FB" w:rsidTr="00B92DDC">
                    <w:tc>
                      <w:tcPr>
                        <w:tcW w:w="170" w:type="dxa"/>
                        <w:shd w:val="clear" w:color="auto" w:fill="auto"/>
                        <w:hideMark/>
                      </w:tcPr>
                      <w:p w:rsidR="00D146AC" w:rsidRPr="000B25FB" w:rsidRDefault="00D146AC" w:rsidP="00DA725A">
                        <w:pPr>
                          <w:jc w:val="both"/>
                          <w:rPr>
                            <w:sz w:val="18"/>
                            <w:szCs w:val="18"/>
                          </w:rPr>
                        </w:pPr>
                        <w:r w:rsidRPr="000B25FB">
                          <w:rPr>
                            <w:sz w:val="18"/>
                            <w:szCs w:val="18"/>
                          </w:rPr>
                          <w:t>(i)</w:t>
                        </w:r>
                      </w:p>
                    </w:tc>
                    <w:tc>
                      <w:tcPr>
                        <w:tcW w:w="9126" w:type="dxa"/>
                        <w:shd w:val="clear" w:color="auto" w:fill="auto"/>
                        <w:hideMark/>
                      </w:tcPr>
                      <w:p w:rsidR="00D146AC" w:rsidRPr="000B25FB" w:rsidRDefault="00D146AC" w:rsidP="00DA725A">
                        <w:pPr>
                          <w:jc w:val="both"/>
                          <w:rPr>
                            <w:sz w:val="18"/>
                            <w:szCs w:val="18"/>
                          </w:rPr>
                        </w:pPr>
                        <w:r w:rsidRPr="000B25FB">
                          <w:rPr>
                            <w:sz w:val="18"/>
                            <w:szCs w:val="18"/>
                          </w:rPr>
                          <w:t>diferența în ceea ce privește nivelul tarifelor de transport pentru același tip de serviciu de transport, aplicabil în perioada tarifară în curs și în perioada tarifară pentru care se publică informațiile;</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B25FB" w:rsidTr="00B92DDC">
                    <w:tc>
                      <w:tcPr>
                        <w:tcW w:w="220" w:type="dxa"/>
                        <w:shd w:val="clear" w:color="auto" w:fill="auto"/>
                        <w:hideMark/>
                      </w:tcPr>
                      <w:p w:rsidR="00D146AC" w:rsidRPr="000B25FB" w:rsidRDefault="00D146AC" w:rsidP="00DA725A">
                        <w:pPr>
                          <w:jc w:val="both"/>
                          <w:rPr>
                            <w:sz w:val="18"/>
                            <w:szCs w:val="18"/>
                          </w:rPr>
                        </w:pPr>
                        <w:r w:rsidRPr="000B25FB">
                          <w:rPr>
                            <w:sz w:val="18"/>
                            <w:szCs w:val="18"/>
                          </w:rPr>
                          <w:t>(ii)</w:t>
                        </w:r>
                      </w:p>
                    </w:tc>
                    <w:tc>
                      <w:tcPr>
                        <w:tcW w:w="9076" w:type="dxa"/>
                        <w:shd w:val="clear" w:color="auto" w:fill="auto"/>
                        <w:hideMark/>
                      </w:tcPr>
                      <w:p w:rsidR="00D146AC" w:rsidRPr="000B25FB" w:rsidRDefault="00D146AC" w:rsidP="00DA725A">
                        <w:pPr>
                          <w:jc w:val="both"/>
                          <w:rPr>
                            <w:sz w:val="18"/>
                            <w:szCs w:val="18"/>
                          </w:rPr>
                        </w:pPr>
                        <w:r w:rsidRPr="000B25FB">
                          <w:rPr>
                            <w:sz w:val="18"/>
                            <w:szCs w:val="18"/>
                          </w:rPr>
                          <w:t>diferența estimată în ceea ce privește nivelul tarifelor de transport pentru același tip de servicii de transport, aplicabil în perioada tarifară pentru care se publică informațiile și în fiecare perioadă tarifară din cadrul perioadei de regularizare rămase;</w:t>
                        </w:r>
                      </w:p>
                    </w:tc>
                  </w:tr>
                </w:tbl>
                <w:p w:rsidR="00D146AC" w:rsidRPr="000B25FB" w:rsidRDefault="00D146AC" w:rsidP="00DA725A">
                  <w:pPr>
                    <w:jc w:val="both"/>
                    <w:rPr>
                      <w:sz w:val="18"/>
                      <w:szCs w:val="18"/>
                    </w:rPr>
                  </w:pPr>
                </w:p>
              </w:tc>
            </w:tr>
          </w:tbl>
          <w:p w:rsidR="00D146AC" w:rsidRPr="000B25F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B25FB" w:rsidTr="00B92DDC">
              <w:tc>
                <w:tcPr>
                  <w:tcW w:w="210" w:type="dxa"/>
                  <w:shd w:val="clear" w:color="auto" w:fill="FFFFFF"/>
                  <w:hideMark/>
                </w:tcPr>
                <w:p w:rsidR="00D146AC" w:rsidRPr="000B25FB" w:rsidRDefault="00D146AC" w:rsidP="00DA725A">
                  <w:pPr>
                    <w:jc w:val="both"/>
                    <w:rPr>
                      <w:sz w:val="18"/>
                      <w:szCs w:val="18"/>
                    </w:rPr>
                  </w:pPr>
                  <w:r w:rsidRPr="000B25FB">
                    <w:rPr>
                      <w:sz w:val="18"/>
                      <w:szCs w:val="18"/>
                    </w:rPr>
                    <w:t>(b)</w:t>
                  </w:r>
                </w:p>
              </w:tc>
              <w:tc>
                <w:tcPr>
                  <w:tcW w:w="9145" w:type="dxa"/>
                  <w:shd w:val="clear" w:color="auto" w:fill="FFFFFF"/>
                  <w:hideMark/>
                </w:tcPr>
                <w:p w:rsidR="00D146AC" w:rsidRPr="000B25FB" w:rsidRDefault="00D146AC" w:rsidP="00DA725A">
                  <w:pPr>
                    <w:jc w:val="both"/>
                    <w:rPr>
                      <w:sz w:val="18"/>
                      <w:szCs w:val="18"/>
                    </w:rPr>
                  </w:pPr>
                  <w:r w:rsidRPr="000B25FB">
                    <w:rPr>
                      <w:sz w:val="18"/>
                      <w:szCs w:val="18"/>
                    </w:rPr>
                    <w:t>cel puțin un model simplificat de tarif, actualizat periodic, însoțit de explicația modului de utilizare a acestuia, care să permită utilizatorilor rețelei să calculeze tarifele de transport aplicabile în perioada tarifară în curs și să estimeze posibila evoluție a acestora după încheierea acestei perioade tarifare;</w:t>
                  </w:r>
                </w:p>
              </w:tc>
            </w:tr>
          </w:tbl>
          <w:p w:rsidR="00DF2106" w:rsidRPr="00380C00" w:rsidRDefault="00DF2106" w:rsidP="00DA725A">
            <w:pPr>
              <w:shd w:val="clear" w:color="auto" w:fill="FFFFFF"/>
              <w:jc w:val="both"/>
              <w:rPr>
                <w:sz w:val="18"/>
                <w:szCs w:val="18"/>
              </w:rPr>
            </w:pPr>
          </w:p>
          <w:p w:rsidR="00DF2106" w:rsidRDefault="00DF2106" w:rsidP="00DA725A">
            <w:pPr>
              <w:shd w:val="clear" w:color="auto" w:fill="FFFFFF"/>
              <w:jc w:val="both"/>
              <w:rPr>
                <w:sz w:val="18"/>
                <w:szCs w:val="18"/>
              </w:rPr>
            </w:pPr>
          </w:p>
          <w:p w:rsidR="009671F8" w:rsidRPr="00380C00" w:rsidRDefault="009671F8" w:rsidP="00DA725A">
            <w:pPr>
              <w:shd w:val="clear" w:color="auto" w:fill="FFFFFF"/>
              <w:jc w:val="both"/>
              <w:rPr>
                <w:sz w:val="18"/>
                <w:szCs w:val="18"/>
              </w:rPr>
            </w:pPr>
          </w:p>
          <w:p w:rsidR="00D146AC" w:rsidRPr="00D82EE4" w:rsidRDefault="00D146AC" w:rsidP="00DA725A">
            <w:pPr>
              <w:shd w:val="clear" w:color="auto" w:fill="FFFFFF"/>
              <w:jc w:val="both"/>
              <w:rPr>
                <w:b/>
                <w:bCs/>
                <w:sz w:val="18"/>
                <w:szCs w:val="18"/>
                <w:lang w:val="it-IT"/>
              </w:rPr>
            </w:pPr>
            <w:r w:rsidRPr="000B25FB">
              <w:rPr>
                <w:sz w:val="18"/>
                <w:szCs w:val="18"/>
                <w:lang w:val="it-IT"/>
              </w:rPr>
              <w:t>(3)   Pentru punctele excluse de la definiția punctelor relevante menționate la punctul 3.2 subpunctul 1 litera (a) din anexa I la Regulamentul (CE) nr. 715/2009, informațiile privind volumul capacității contractate estimate și volumul estimat al fluxului de gaze se publică în conformitate cu punctul 3.2 subpunctul 2 din anexa I la Regulamentul (CE) nr. 715/2009.</w:t>
            </w:r>
          </w:p>
        </w:tc>
        <w:tc>
          <w:tcPr>
            <w:tcW w:w="4962" w:type="dxa"/>
          </w:tcPr>
          <w:p w:rsidR="00DB703A" w:rsidRPr="00245F66" w:rsidRDefault="00DB703A" w:rsidP="00DB703A">
            <w:pPr>
              <w:pStyle w:val="NoSpacing"/>
              <w:jc w:val="center"/>
              <w:rPr>
                <w:bCs/>
                <w:szCs w:val="18"/>
                <w:lang w:val="ro-RO"/>
              </w:rPr>
            </w:pPr>
            <w:r w:rsidRPr="00245F66">
              <w:rPr>
                <w:b/>
                <w:bCs/>
                <w:szCs w:val="18"/>
                <w:lang w:val="ro-RO"/>
              </w:rPr>
              <w:lastRenderedPageBreak/>
              <w:t>Secţiunea 2</w:t>
            </w:r>
          </w:p>
          <w:p w:rsidR="00DB703A" w:rsidRPr="00245F66" w:rsidRDefault="00DB703A" w:rsidP="00DB703A">
            <w:pPr>
              <w:pStyle w:val="NoSpacing"/>
              <w:jc w:val="center"/>
              <w:rPr>
                <w:bCs/>
                <w:szCs w:val="18"/>
                <w:lang w:val="ro-RO"/>
              </w:rPr>
            </w:pPr>
            <w:r w:rsidRPr="00245F66">
              <w:rPr>
                <w:b/>
                <w:bCs/>
                <w:szCs w:val="18"/>
                <w:lang w:val="ro-RO"/>
              </w:rPr>
              <w:t>Informaţii care urmează a fi publicate înainte de perioada tarifară</w:t>
            </w:r>
          </w:p>
          <w:p w:rsidR="00DB703A" w:rsidRPr="000B25FB" w:rsidRDefault="00DB703A" w:rsidP="00DB703A">
            <w:pPr>
              <w:pStyle w:val="NoSpacing"/>
              <w:rPr>
                <w:bCs/>
                <w:sz w:val="18"/>
                <w:szCs w:val="18"/>
                <w:lang w:val="ro-RO"/>
              </w:rPr>
            </w:pPr>
            <w:r w:rsidRPr="000B25FB">
              <w:rPr>
                <w:b/>
                <w:bCs/>
                <w:sz w:val="18"/>
                <w:szCs w:val="18"/>
                <w:lang w:val="ro-RO"/>
              </w:rPr>
              <w:t>408.</w:t>
            </w:r>
            <w:r w:rsidRPr="000B25FB">
              <w:rPr>
                <w:bCs/>
                <w:sz w:val="18"/>
                <w:szCs w:val="18"/>
                <w:lang w:val="ro-RO"/>
              </w:rPr>
              <w:t xml:space="preserve"> Agenţia sau OST desemnat (desemnaţi) de Agenţie, publică înainte de perioada tarifară, în conformitate cu cerinţele Secţiunii 2-3 din prezentul Capitol, informaţii privind parametrii utilizaţi în Metodologiei de calculare, aprobare şi aplicare a tarifelor pentru serviciul de transport al gazelor naturale (metoda de calculare a preţurilor de referinţă aplicată), care sunt corelate de caracteristicile tehnice ale sistemului de transport, precum:</w:t>
            </w:r>
          </w:p>
          <w:p w:rsidR="00DB703A" w:rsidRPr="000B25FB" w:rsidRDefault="00DB703A" w:rsidP="00DB703A">
            <w:pPr>
              <w:pStyle w:val="NoSpacing"/>
              <w:rPr>
                <w:bCs/>
                <w:sz w:val="18"/>
                <w:szCs w:val="18"/>
                <w:lang w:val="ro-RO"/>
              </w:rPr>
            </w:pPr>
            <w:r w:rsidRPr="000B25FB">
              <w:rPr>
                <w:bCs/>
                <w:sz w:val="18"/>
                <w:szCs w:val="18"/>
                <w:lang w:val="ro-RO"/>
              </w:rPr>
              <w:t>1) capacitatea tehnică în punctele de intrare şi de ieşire şi prevederi legate de aceasta;</w:t>
            </w:r>
          </w:p>
          <w:p w:rsidR="00DB703A" w:rsidRPr="000B25FB" w:rsidRDefault="00DB703A" w:rsidP="00DB703A">
            <w:pPr>
              <w:pStyle w:val="NoSpacing"/>
              <w:rPr>
                <w:bCs/>
                <w:sz w:val="18"/>
                <w:szCs w:val="18"/>
                <w:lang w:val="ro-RO"/>
              </w:rPr>
            </w:pPr>
            <w:r w:rsidRPr="000B25FB">
              <w:rPr>
                <w:bCs/>
                <w:sz w:val="18"/>
                <w:szCs w:val="18"/>
                <w:lang w:val="ro-RO"/>
              </w:rPr>
              <w:t>2) capacitatea contractată estimată în punctele de intrare şi de ieşire şi altă informaţie relevantă referitor la aceasta;</w:t>
            </w:r>
          </w:p>
          <w:p w:rsidR="00DB703A" w:rsidRPr="000B25FB" w:rsidRDefault="00DB703A" w:rsidP="00DB703A">
            <w:pPr>
              <w:pStyle w:val="NoSpacing"/>
              <w:rPr>
                <w:bCs/>
                <w:sz w:val="18"/>
                <w:szCs w:val="18"/>
                <w:lang w:val="ro-RO"/>
              </w:rPr>
            </w:pPr>
            <w:r w:rsidRPr="000B25FB">
              <w:rPr>
                <w:bCs/>
                <w:sz w:val="18"/>
                <w:szCs w:val="18"/>
                <w:lang w:val="ro-RO"/>
              </w:rPr>
              <w:t>3) cantitatea şi direcţia fluxului de gaze naturale pentru punctele de intrare şi de ieşire şi pentru ipotezele conexe, cum ar fi scenariile de cerere şi ofertă pentru fluxul de gaze naturale în perioada de vârf;</w:t>
            </w:r>
          </w:p>
          <w:p w:rsidR="00DB703A" w:rsidRPr="000B25FB" w:rsidRDefault="00DB703A" w:rsidP="00DB703A">
            <w:pPr>
              <w:pStyle w:val="NoSpacing"/>
              <w:rPr>
                <w:bCs/>
                <w:sz w:val="18"/>
                <w:szCs w:val="18"/>
                <w:lang w:val="ro-RO"/>
              </w:rPr>
            </w:pPr>
            <w:r w:rsidRPr="000B25FB">
              <w:rPr>
                <w:bCs/>
                <w:sz w:val="18"/>
                <w:szCs w:val="18"/>
                <w:lang w:val="ro-RO"/>
              </w:rPr>
              <w:t xml:space="preserve">4) structura detaliată a reţelei de transport; </w:t>
            </w:r>
          </w:p>
          <w:p w:rsidR="00DB703A" w:rsidRPr="000B25FB" w:rsidRDefault="00DB703A" w:rsidP="00DB703A">
            <w:pPr>
              <w:pStyle w:val="NoSpacing"/>
              <w:rPr>
                <w:bCs/>
                <w:sz w:val="18"/>
                <w:szCs w:val="18"/>
                <w:lang w:val="ro-RO"/>
              </w:rPr>
            </w:pPr>
            <w:r w:rsidRPr="000B25FB">
              <w:rPr>
                <w:bCs/>
                <w:sz w:val="18"/>
                <w:szCs w:val="18"/>
                <w:lang w:val="ro-RO"/>
              </w:rPr>
              <w:t>5) informaţii tehnice suplimentare cu privire la reţeaua de transport, cum ar fi lungimea şi diametrul reţelelor şi puterea staţiilor de comprimare a gazelor naturale.</w:t>
            </w:r>
          </w:p>
          <w:p w:rsidR="00DB703A" w:rsidRPr="000B25FB" w:rsidRDefault="00DB703A" w:rsidP="00DB703A">
            <w:pPr>
              <w:pStyle w:val="NoSpacing"/>
              <w:rPr>
                <w:b/>
                <w:bCs/>
                <w:sz w:val="18"/>
                <w:szCs w:val="18"/>
                <w:lang w:val="ro-RO"/>
              </w:rPr>
            </w:pPr>
          </w:p>
          <w:p w:rsidR="00DB703A" w:rsidRPr="000B25FB" w:rsidRDefault="00DB703A" w:rsidP="00DB703A">
            <w:pPr>
              <w:pStyle w:val="NoSpacing"/>
              <w:rPr>
                <w:bCs/>
                <w:sz w:val="18"/>
                <w:szCs w:val="18"/>
                <w:lang w:val="ro-RO"/>
              </w:rPr>
            </w:pPr>
            <w:r w:rsidRPr="000B25FB">
              <w:rPr>
                <w:b/>
                <w:bCs/>
                <w:sz w:val="18"/>
                <w:szCs w:val="18"/>
                <w:lang w:val="ro-RO"/>
              </w:rPr>
              <w:t>409.</w:t>
            </w:r>
            <w:r w:rsidRPr="000B25FB">
              <w:rPr>
                <w:bCs/>
                <w:sz w:val="18"/>
                <w:szCs w:val="18"/>
                <w:lang w:val="ro-RO"/>
              </w:rPr>
              <w:t xml:space="preserve"> Suplimentar informaţiei indicate la pct.408, Agenţia sau OST desemnat (desemnaţi) de Agenţie publică următoarele informaţii:</w:t>
            </w:r>
          </w:p>
          <w:p w:rsidR="00DB703A" w:rsidRPr="000B25FB" w:rsidRDefault="00DB703A" w:rsidP="00DB703A">
            <w:pPr>
              <w:pStyle w:val="NoSpacing"/>
              <w:rPr>
                <w:bCs/>
                <w:sz w:val="18"/>
                <w:szCs w:val="18"/>
                <w:lang w:val="ro-RO"/>
              </w:rPr>
            </w:pPr>
            <w:r w:rsidRPr="000B25FB">
              <w:rPr>
                <w:bCs/>
                <w:sz w:val="18"/>
                <w:szCs w:val="18"/>
                <w:lang w:val="ro-RO"/>
              </w:rPr>
              <w:lastRenderedPageBreak/>
              <w:t>1) venitul reglementat şi venitul-ţintă, sau ambele tipuri de venit ale OST;</w:t>
            </w:r>
          </w:p>
          <w:p w:rsidR="00DB703A" w:rsidRPr="000B25FB" w:rsidRDefault="00DB703A" w:rsidP="00DB703A">
            <w:pPr>
              <w:pStyle w:val="NoSpacing"/>
              <w:rPr>
                <w:bCs/>
                <w:sz w:val="18"/>
                <w:szCs w:val="18"/>
                <w:lang w:val="ro-RO"/>
              </w:rPr>
            </w:pPr>
            <w:r w:rsidRPr="000B25FB">
              <w:rPr>
                <w:bCs/>
                <w:sz w:val="18"/>
                <w:szCs w:val="18"/>
                <w:lang w:val="ro-RO"/>
              </w:rPr>
              <w:t>2) informaţii referitoare la modificările, de la un an la altul, ale venitului menţionat la subpunctul 1);</w:t>
            </w:r>
          </w:p>
          <w:p w:rsidR="00DB703A" w:rsidRPr="000B25FB" w:rsidRDefault="00DB703A" w:rsidP="00DB703A">
            <w:pPr>
              <w:pStyle w:val="NoSpacing"/>
              <w:rPr>
                <w:bCs/>
                <w:sz w:val="18"/>
                <w:szCs w:val="18"/>
                <w:lang w:val="ro-RO"/>
              </w:rPr>
            </w:pPr>
            <w:r w:rsidRPr="000B25FB">
              <w:rPr>
                <w:bCs/>
                <w:sz w:val="18"/>
                <w:szCs w:val="18"/>
                <w:lang w:val="ro-RO"/>
              </w:rPr>
              <w:t>3) următorii parametri:</w:t>
            </w:r>
          </w:p>
          <w:p w:rsidR="00DB703A" w:rsidRPr="000B25FB" w:rsidRDefault="00DB703A" w:rsidP="00DB703A">
            <w:pPr>
              <w:pStyle w:val="NoSpacing"/>
              <w:rPr>
                <w:bCs/>
                <w:sz w:val="18"/>
                <w:szCs w:val="18"/>
                <w:lang w:val="ro-RO"/>
              </w:rPr>
            </w:pPr>
            <w:r w:rsidRPr="000B25FB">
              <w:rPr>
                <w:bCs/>
                <w:sz w:val="18"/>
                <w:szCs w:val="18"/>
                <w:lang w:val="ro-RO"/>
              </w:rPr>
              <w:t>a) tipurile de active incluse în baza reglementată a activelor şi valoarea lor agregată;</w:t>
            </w:r>
          </w:p>
          <w:p w:rsidR="00DB703A" w:rsidRPr="000B25FB" w:rsidRDefault="00DB703A" w:rsidP="00DB703A">
            <w:pPr>
              <w:pStyle w:val="NoSpacing"/>
              <w:rPr>
                <w:bCs/>
                <w:sz w:val="18"/>
                <w:szCs w:val="18"/>
                <w:lang w:val="ro-RO"/>
              </w:rPr>
            </w:pPr>
            <w:r w:rsidRPr="000B25FB">
              <w:rPr>
                <w:bCs/>
                <w:sz w:val="18"/>
                <w:szCs w:val="18"/>
                <w:lang w:val="ro-RO"/>
              </w:rPr>
              <w:t>b) costul de capital şi metodologia de calculare a acestuia;</w:t>
            </w:r>
          </w:p>
          <w:p w:rsidR="00DB703A" w:rsidRPr="000B25FB" w:rsidRDefault="00DB703A" w:rsidP="00DB703A">
            <w:pPr>
              <w:pStyle w:val="NoSpacing"/>
              <w:rPr>
                <w:bCs/>
                <w:sz w:val="18"/>
                <w:szCs w:val="18"/>
                <w:lang w:val="ro-RO"/>
              </w:rPr>
            </w:pPr>
            <w:r w:rsidRPr="000B25FB">
              <w:rPr>
                <w:bCs/>
                <w:sz w:val="18"/>
                <w:szCs w:val="18"/>
                <w:lang w:val="ro-RO"/>
              </w:rPr>
              <w:t>c) cheltuielile de capital, inclusiv:</w:t>
            </w:r>
          </w:p>
          <w:p w:rsidR="00DB703A" w:rsidRPr="000B25FB" w:rsidRDefault="00DB703A" w:rsidP="00DB703A">
            <w:pPr>
              <w:pStyle w:val="NoSpacing"/>
              <w:rPr>
                <w:bCs/>
                <w:sz w:val="18"/>
                <w:szCs w:val="18"/>
                <w:lang w:val="ro-RO"/>
              </w:rPr>
            </w:pPr>
            <w:r w:rsidRPr="000B25FB">
              <w:rPr>
                <w:bCs/>
                <w:sz w:val="18"/>
                <w:szCs w:val="18"/>
                <w:lang w:val="ro-RO"/>
              </w:rPr>
              <w:t>(1) metodologiile de determinare a valorii iniţiale a activelor;</w:t>
            </w:r>
          </w:p>
          <w:p w:rsidR="00DB703A" w:rsidRPr="000B25FB" w:rsidRDefault="00DB703A" w:rsidP="00DB703A">
            <w:pPr>
              <w:pStyle w:val="NoSpacing"/>
              <w:rPr>
                <w:bCs/>
                <w:sz w:val="18"/>
                <w:szCs w:val="18"/>
                <w:lang w:val="ro-RO"/>
              </w:rPr>
            </w:pPr>
            <w:r w:rsidRPr="000B25FB">
              <w:rPr>
                <w:bCs/>
                <w:sz w:val="18"/>
                <w:szCs w:val="18"/>
                <w:lang w:val="ro-RO"/>
              </w:rPr>
              <w:t>(2) metodologiile de reevaluare a activelor;</w:t>
            </w:r>
          </w:p>
          <w:p w:rsidR="00DB703A" w:rsidRPr="000B25FB" w:rsidRDefault="00DB703A" w:rsidP="00DB703A">
            <w:pPr>
              <w:pStyle w:val="NoSpacing"/>
              <w:rPr>
                <w:bCs/>
                <w:sz w:val="18"/>
                <w:szCs w:val="18"/>
                <w:lang w:val="ro-RO"/>
              </w:rPr>
            </w:pPr>
            <w:r w:rsidRPr="000B25FB">
              <w:rPr>
                <w:bCs/>
                <w:sz w:val="18"/>
                <w:szCs w:val="18"/>
                <w:lang w:val="ro-RO"/>
              </w:rPr>
              <w:t>(3) explicaţii privind evoluţia valorii activelor;</w:t>
            </w:r>
          </w:p>
          <w:p w:rsidR="00DB703A" w:rsidRPr="000B25FB" w:rsidRDefault="00DB703A" w:rsidP="00DB703A">
            <w:pPr>
              <w:pStyle w:val="NoSpacing"/>
              <w:rPr>
                <w:bCs/>
                <w:sz w:val="18"/>
                <w:szCs w:val="18"/>
                <w:lang w:val="ro-RO"/>
              </w:rPr>
            </w:pPr>
            <w:r w:rsidRPr="000B25FB">
              <w:rPr>
                <w:bCs/>
                <w:sz w:val="18"/>
                <w:szCs w:val="18"/>
                <w:lang w:val="ro-RO"/>
              </w:rPr>
              <w:t>(4) perioadele de depreciere şi sumele per tip de activ.</w:t>
            </w:r>
          </w:p>
          <w:p w:rsidR="00DB703A" w:rsidRPr="000B25FB" w:rsidRDefault="00DB703A" w:rsidP="00DB703A">
            <w:pPr>
              <w:pStyle w:val="NoSpacing"/>
              <w:rPr>
                <w:bCs/>
                <w:sz w:val="18"/>
                <w:szCs w:val="18"/>
                <w:lang w:val="ro-RO"/>
              </w:rPr>
            </w:pPr>
            <w:r w:rsidRPr="000B25FB">
              <w:rPr>
                <w:bCs/>
                <w:sz w:val="18"/>
                <w:szCs w:val="18"/>
                <w:lang w:val="ro-RO"/>
              </w:rPr>
              <w:t>d) cheltuielile operaţionale;</w:t>
            </w:r>
          </w:p>
          <w:p w:rsidR="00DB703A" w:rsidRPr="000B25FB" w:rsidRDefault="00DB703A" w:rsidP="00DB703A">
            <w:pPr>
              <w:pStyle w:val="NoSpacing"/>
              <w:rPr>
                <w:bCs/>
                <w:sz w:val="18"/>
                <w:szCs w:val="18"/>
                <w:lang w:val="ro-RO"/>
              </w:rPr>
            </w:pPr>
            <w:r w:rsidRPr="000B25FB">
              <w:rPr>
                <w:bCs/>
                <w:sz w:val="18"/>
                <w:szCs w:val="18"/>
                <w:lang w:val="ro-RO"/>
              </w:rPr>
              <w:t>e) mecanismele de stimulare şi obiectivele în materie de eficienţă;</w:t>
            </w:r>
          </w:p>
          <w:p w:rsidR="00DB703A" w:rsidRPr="000B25FB" w:rsidRDefault="00DB703A" w:rsidP="00DB703A">
            <w:pPr>
              <w:pStyle w:val="NoSpacing"/>
              <w:rPr>
                <w:bCs/>
                <w:sz w:val="18"/>
                <w:szCs w:val="18"/>
                <w:lang w:val="ro-RO"/>
              </w:rPr>
            </w:pPr>
            <w:r w:rsidRPr="000B25FB">
              <w:rPr>
                <w:bCs/>
                <w:sz w:val="18"/>
                <w:szCs w:val="18"/>
                <w:lang w:val="ro-RO"/>
              </w:rPr>
              <w:t>f) indicii de inflaţie.</w:t>
            </w:r>
          </w:p>
          <w:p w:rsidR="00DB703A" w:rsidRPr="000B25FB" w:rsidRDefault="00DB703A" w:rsidP="00DB703A">
            <w:pPr>
              <w:pStyle w:val="NoSpacing"/>
              <w:rPr>
                <w:bCs/>
                <w:sz w:val="18"/>
                <w:szCs w:val="18"/>
                <w:lang w:val="ro-RO"/>
              </w:rPr>
            </w:pPr>
            <w:r w:rsidRPr="000B25FB">
              <w:rPr>
                <w:bCs/>
                <w:sz w:val="18"/>
                <w:szCs w:val="18"/>
                <w:lang w:val="ro-RO"/>
              </w:rPr>
              <w:t>4) venitul aferent serviciilor de transport;</w:t>
            </w:r>
          </w:p>
          <w:p w:rsidR="00DB703A" w:rsidRPr="000B25FB" w:rsidRDefault="00DB703A" w:rsidP="00DB703A">
            <w:pPr>
              <w:pStyle w:val="NoSpacing"/>
              <w:rPr>
                <w:bCs/>
                <w:sz w:val="18"/>
                <w:szCs w:val="18"/>
                <w:lang w:val="ro-RO"/>
              </w:rPr>
            </w:pPr>
            <w:r w:rsidRPr="000B25FB">
              <w:rPr>
                <w:bCs/>
                <w:sz w:val="18"/>
                <w:szCs w:val="18"/>
                <w:lang w:val="ro-RO"/>
              </w:rPr>
              <w:t xml:space="preserve">5) următoarele raporturi pentru venitul menţionat la subpunctul 4): </w:t>
            </w:r>
          </w:p>
          <w:p w:rsidR="00DB703A" w:rsidRPr="000B25FB" w:rsidRDefault="00DB703A" w:rsidP="00DB703A">
            <w:pPr>
              <w:pStyle w:val="NoSpacing"/>
              <w:rPr>
                <w:bCs/>
                <w:sz w:val="18"/>
                <w:szCs w:val="18"/>
                <w:lang w:val="ro-RO"/>
              </w:rPr>
            </w:pPr>
            <w:r w:rsidRPr="000B25FB">
              <w:rPr>
                <w:bCs/>
                <w:sz w:val="18"/>
                <w:szCs w:val="18"/>
                <w:lang w:val="ro-RO"/>
              </w:rPr>
              <w:t>a) raportul capacitate/produse, adică defalcarea între venitul generat de tarifele pentru serviciul de transport bazate pe capacitate şi venitul generat de tarifele volumetrice;</w:t>
            </w:r>
          </w:p>
          <w:p w:rsidR="00DB703A" w:rsidRPr="000B25FB" w:rsidRDefault="00DB703A" w:rsidP="00DB703A">
            <w:pPr>
              <w:pStyle w:val="NoSpacing"/>
              <w:rPr>
                <w:bCs/>
                <w:sz w:val="18"/>
                <w:szCs w:val="18"/>
                <w:lang w:val="ro-RO"/>
              </w:rPr>
            </w:pPr>
            <w:r w:rsidRPr="000B25FB">
              <w:rPr>
                <w:bCs/>
                <w:sz w:val="18"/>
                <w:szCs w:val="18"/>
                <w:lang w:val="ro-RO"/>
              </w:rPr>
              <w:t xml:space="preserve">b) raportul intrare/ieşire, adică repartizarea venitului generat de tarifele pentru serviciul de transport bazate pe capacitate în toate punctele de intrare şi venitul generat de tarifele bazate pe capacitate în toate punctele de ieşire; </w:t>
            </w:r>
          </w:p>
          <w:p w:rsidR="00DB703A" w:rsidRPr="000B25FB" w:rsidRDefault="00DB703A" w:rsidP="00DB703A">
            <w:pPr>
              <w:pStyle w:val="NoSpacing"/>
              <w:rPr>
                <w:bCs/>
                <w:sz w:val="18"/>
                <w:szCs w:val="18"/>
                <w:lang w:val="ro-RO"/>
              </w:rPr>
            </w:pPr>
            <w:r w:rsidRPr="000B25FB">
              <w:rPr>
                <w:bCs/>
                <w:sz w:val="18"/>
                <w:szCs w:val="18"/>
                <w:lang w:val="ro-RO"/>
              </w:rPr>
              <w:t>c) raportul dintre utilizarea reţelei în interiorul sistemului şi utilizarea reţelei între sisteme, adică repartizarea dintre venitul generat din utilizarea reţelei în interiorul sistemului, atât în punctele de intrare, cât şi în punctele de ieşire, şi venitul generat din utilizarea reţelei între sisteme, atât în punctele de intrare, cât şi în punctele de ieşire, calculate în conformitate cu pct.327-332.</w:t>
            </w:r>
          </w:p>
          <w:p w:rsidR="00DB703A" w:rsidRPr="000B25FB" w:rsidRDefault="00DB703A" w:rsidP="00DB703A">
            <w:pPr>
              <w:pStyle w:val="NoSpacing"/>
              <w:rPr>
                <w:bCs/>
                <w:sz w:val="18"/>
                <w:szCs w:val="18"/>
                <w:lang w:val="ro-RO"/>
              </w:rPr>
            </w:pPr>
            <w:r w:rsidRPr="000B25FB">
              <w:rPr>
                <w:bCs/>
                <w:sz w:val="18"/>
                <w:szCs w:val="18"/>
                <w:lang w:val="ro-RO"/>
              </w:rPr>
              <w:t>6) în cazul şi în măsura în care OST funcţionează în cadrul unui regim tarifar fără plafonarea preţului, următoarele informaţii referitoare la reconcilierea contului de regularizare:</w:t>
            </w:r>
          </w:p>
          <w:p w:rsidR="00DB703A" w:rsidRPr="000B25FB" w:rsidRDefault="00DB703A" w:rsidP="00DB703A">
            <w:pPr>
              <w:pStyle w:val="NoSpacing"/>
              <w:rPr>
                <w:bCs/>
                <w:sz w:val="18"/>
                <w:szCs w:val="18"/>
                <w:lang w:val="ro-RO"/>
              </w:rPr>
            </w:pPr>
            <w:r w:rsidRPr="000B25FB">
              <w:rPr>
                <w:bCs/>
                <w:sz w:val="18"/>
                <w:szCs w:val="18"/>
                <w:lang w:val="ro-RO"/>
              </w:rPr>
              <w:t>a) venitul real obţinut, sumele recuperate parţial sau în exces din venitul reglementat şi partea din aceste sume atribuită contului de reglementare şi, dacă este cazul, subconturilor din cadrul respectivului cont de reglementare;</w:t>
            </w:r>
          </w:p>
          <w:p w:rsidR="00DB703A" w:rsidRPr="000B25FB" w:rsidRDefault="00DB703A" w:rsidP="00DB703A">
            <w:pPr>
              <w:pStyle w:val="NoSpacing"/>
              <w:rPr>
                <w:bCs/>
                <w:sz w:val="18"/>
                <w:szCs w:val="18"/>
                <w:lang w:val="ro-RO"/>
              </w:rPr>
            </w:pPr>
            <w:r w:rsidRPr="000B25FB">
              <w:rPr>
                <w:bCs/>
                <w:sz w:val="18"/>
                <w:szCs w:val="18"/>
                <w:lang w:val="ro-RO"/>
              </w:rPr>
              <w:t>b) perioada de reconciliere şi mecanismele de stimulare implementate.</w:t>
            </w:r>
          </w:p>
          <w:p w:rsidR="00DB703A" w:rsidRPr="000B25FB" w:rsidRDefault="00DB703A" w:rsidP="00DB703A">
            <w:pPr>
              <w:pStyle w:val="NoSpacing"/>
              <w:rPr>
                <w:bCs/>
                <w:sz w:val="18"/>
                <w:szCs w:val="18"/>
                <w:lang w:val="ro-RO"/>
              </w:rPr>
            </w:pPr>
            <w:r w:rsidRPr="000B25FB">
              <w:rPr>
                <w:bCs/>
                <w:sz w:val="18"/>
                <w:szCs w:val="18"/>
                <w:lang w:val="ro-RO"/>
              </w:rPr>
              <w:t>7) utilizarea preconizată a primei de licitaţie.</w:t>
            </w:r>
          </w:p>
          <w:p w:rsidR="00DB703A" w:rsidRPr="000B25FB" w:rsidRDefault="00DB703A" w:rsidP="00DB703A">
            <w:pPr>
              <w:pStyle w:val="NoSpacing"/>
              <w:rPr>
                <w:bCs/>
                <w:sz w:val="18"/>
                <w:szCs w:val="18"/>
                <w:lang w:val="ro-RO"/>
              </w:rPr>
            </w:pPr>
            <w:r w:rsidRPr="000B25FB">
              <w:rPr>
                <w:bCs/>
                <w:sz w:val="18"/>
                <w:szCs w:val="18"/>
                <w:lang w:val="ro-RO"/>
              </w:rPr>
              <w:t>8) următoarele informaţii privind tarifele pentru serviciul de transport şi alte tarife decât cele de transport al gazelor naturale, însoţite de informaţii relevante legate de determinarea acestora:</w:t>
            </w:r>
          </w:p>
          <w:p w:rsidR="00DB703A" w:rsidRPr="000B25FB" w:rsidRDefault="00DB703A" w:rsidP="00DB703A">
            <w:pPr>
              <w:pStyle w:val="NoSpacing"/>
              <w:rPr>
                <w:bCs/>
                <w:sz w:val="18"/>
                <w:szCs w:val="18"/>
                <w:lang w:val="ro-RO"/>
              </w:rPr>
            </w:pPr>
            <w:r w:rsidRPr="000B25FB">
              <w:rPr>
                <w:bCs/>
                <w:sz w:val="18"/>
                <w:szCs w:val="18"/>
                <w:lang w:val="ro-RO"/>
              </w:rPr>
              <w:lastRenderedPageBreak/>
              <w:t>a) în cazul în care sunt aplicate, tarifele pentru serviciul de transport volumetrice menţionate la pct.324;</w:t>
            </w:r>
          </w:p>
          <w:p w:rsidR="00DB703A" w:rsidRPr="000B25FB" w:rsidRDefault="00DB703A" w:rsidP="00DB703A">
            <w:pPr>
              <w:pStyle w:val="NoSpacing"/>
              <w:rPr>
                <w:bCs/>
                <w:sz w:val="18"/>
                <w:szCs w:val="18"/>
                <w:lang w:val="ro-RO"/>
              </w:rPr>
            </w:pPr>
            <w:r w:rsidRPr="000B25FB">
              <w:rPr>
                <w:bCs/>
                <w:sz w:val="18"/>
                <w:szCs w:val="18"/>
                <w:lang w:val="ro-RO"/>
              </w:rPr>
              <w:t>b) în cazul în care sunt aplicate, alte tarife decât cele de transport aferente altor servicii decât celor de transport al gazelor naturale prevăzute la pct.325 şi 326;</w:t>
            </w:r>
          </w:p>
          <w:p w:rsidR="00DB703A" w:rsidRPr="000B25FB" w:rsidRDefault="00DB703A" w:rsidP="00DB703A">
            <w:pPr>
              <w:pStyle w:val="NoSpacing"/>
              <w:rPr>
                <w:bCs/>
                <w:sz w:val="18"/>
                <w:szCs w:val="18"/>
                <w:lang w:val="ro-RO"/>
              </w:rPr>
            </w:pPr>
            <w:r w:rsidRPr="000B25FB">
              <w:rPr>
                <w:bCs/>
                <w:sz w:val="18"/>
                <w:szCs w:val="18"/>
                <w:lang w:val="ro-RO"/>
              </w:rPr>
              <w:t>c) preţurile de referinţă şi alte preţuri aplicabile în alte puncte, decât cele menţionate la pct.407.</w:t>
            </w:r>
          </w:p>
          <w:p w:rsidR="00DB703A" w:rsidRPr="000B25FB" w:rsidRDefault="00DB703A" w:rsidP="00DB703A">
            <w:pPr>
              <w:pStyle w:val="NoSpacing"/>
              <w:rPr>
                <w:bCs/>
                <w:i/>
                <w:iCs/>
                <w:sz w:val="18"/>
                <w:szCs w:val="18"/>
                <w:lang w:val="ro-RO"/>
              </w:rPr>
            </w:pPr>
            <w:r w:rsidRPr="000B25FB">
              <w:rPr>
                <w:bCs/>
                <w:i/>
                <w:iCs/>
                <w:sz w:val="18"/>
                <w:szCs w:val="18"/>
                <w:lang w:val="ro-RO"/>
              </w:rPr>
              <w:t>[Pct.409 modificat prin Hot. ANRE nr.442/2020 din 24.11.2020, în vigoare 12.12.2020]</w:t>
            </w:r>
          </w:p>
          <w:p w:rsidR="00DB703A" w:rsidRDefault="00DB703A" w:rsidP="00DB703A">
            <w:pPr>
              <w:pStyle w:val="NoSpacing"/>
              <w:rPr>
                <w:bCs/>
                <w:sz w:val="18"/>
                <w:szCs w:val="18"/>
                <w:lang w:val="ro-RO"/>
              </w:rPr>
            </w:pPr>
            <w:r w:rsidRPr="000B25FB">
              <w:rPr>
                <w:bCs/>
                <w:sz w:val="18"/>
                <w:szCs w:val="18"/>
                <w:lang w:val="ro-RO"/>
              </w:rPr>
              <w:t> </w:t>
            </w: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Pr="000B25FB" w:rsidRDefault="0008169B" w:rsidP="00DB703A">
            <w:pPr>
              <w:pStyle w:val="NoSpacing"/>
              <w:rPr>
                <w:bCs/>
                <w:sz w:val="18"/>
                <w:szCs w:val="18"/>
                <w:lang w:val="ro-RO"/>
              </w:rPr>
            </w:pPr>
          </w:p>
          <w:p w:rsidR="00DB703A" w:rsidRPr="000B25FB" w:rsidRDefault="00DB703A" w:rsidP="00DB703A">
            <w:pPr>
              <w:pStyle w:val="NoSpacing"/>
              <w:rPr>
                <w:bCs/>
                <w:sz w:val="18"/>
                <w:szCs w:val="18"/>
                <w:lang w:val="ro-RO"/>
              </w:rPr>
            </w:pPr>
            <w:r w:rsidRPr="000B25FB">
              <w:rPr>
                <w:b/>
                <w:bCs/>
                <w:sz w:val="18"/>
                <w:szCs w:val="18"/>
                <w:lang w:val="ro-RO"/>
              </w:rPr>
              <w:t>410.</w:t>
            </w:r>
            <w:r w:rsidRPr="000B25FB">
              <w:rPr>
                <w:bCs/>
                <w:sz w:val="18"/>
                <w:szCs w:val="18"/>
                <w:lang w:val="ro-RO"/>
              </w:rPr>
              <w:t xml:space="preserve"> Suplimentar, trebuie publicate următoarele informaţii cu privire la tarifele pentru serviciul de transport al gazelor naturale:</w:t>
            </w:r>
          </w:p>
          <w:p w:rsidR="00DB703A" w:rsidRPr="000B25FB" w:rsidRDefault="00DB703A" w:rsidP="00DB703A">
            <w:pPr>
              <w:pStyle w:val="NoSpacing"/>
              <w:rPr>
                <w:bCs/>
                <w:sz w:val="18"/>
                <w:szCs w:val="18"/>
                <w:lang w:val="ro-RO"/>
              </w:rPr>
            </w:pPr>
            <w:r w:rsidRPr="000B25FB">
              <w:rPr>
                <w:bCs/>
                <w:sz w:val="18"/>
                <w:szCs w:val="18"/>
                <w:lang w:val="ro-RO"/>
              </w:rPr>
              <w:t>1) explicaţii privind:</w:t>
            </w:r>
          </w:p>
          <w:p w:rsidR="00DB703A" w:rsidRPr="000B25FB" w:rsidRDefault="00DB703A" w:rsidP="00DB703A">
            <w:pPr>
              <w:pStyle w:val="NoSpacing"/>
              <w:rPr>
                <w:bCs/>
                <w:sz w:val="18"/>
                <w:szCs w:val="18"/>
                <w:lang w:val="ro-RO"/>
              </w:rPr>
            </w:pPr>
            <w:r w:rsidRPr="000B25FB">
              <w:rPr>
                <w:bCs/>
                <w:sz w:val="18"/>
                <w:szCs w:val="18"/>
                <w:lang w:val="ro-RO"/>
              </w:rPr>
              <w:t xml:space="preserve">a) diferenţa dintre nivelul tarifelor pentru serviciul de transport pentru acelaşi tip de serviciu de transport, aplicabil în perioada tarifară în curs şi în perioada tarifară pentru care se publică informaţiile; </w:t>
            </w:r>
          </w:p>
          <w:p w:rsidR="00DB703A" w:rsidRPr="000B25FB" w:rsidRDefault="00DB703A" w:rsidP="00DB703A">
            <w:pPr>
              <w:pStyle w:val="NoSpacing"/>
              <w:rPr>
                <w:bCs/>
                <w:sz w:val="18"/>
                <w:szCs w:val="18"/>
                <w:lang w:val="ro-RO"/>
              </w:rPr>
            </w:pPr>
            <w:r w:rsidRPr="000B25FB">
              <w:rPr>
                <w:bCs/>
                <w:sz w:val="18"/>
                <w:szCs w:val="18"/>
                <w:lang w:val="ro-RO"/>
              </w:rPr>
              <w:t xml:space="preserve">b) diferenţa estimată dintre nivelul tarifelor pentru serviciul de transport pentru acelaşi tip de servicii de transport, aplicabil în perioada tarifară pentru care se publică informaţiile şi în fiecare perioadă tarifară din cadrul perioadei de reglementare rămase; </w:t>
            </w:r>
          </w:p>
          <w:p w:rsidR="00DB703A" w:rsidRDefault="00DB703A" w:rsidP="00DB703A">
            <w:pPr>
              <w:pStyle w:val="NoSpacing"/>
              <w:rPr>
                <w:bCs/>
                <w:sz w:val="18"/>
                <w:szCs w:val="18"/>
                <w:lang w:val="ro-RO"/>
              </w:rPr>
            </w:pPr>
            <w:r w:rsidRPr="000B25FB">
              <w:rPr>
                <w:bCs/>
                <w:sz w:val="18"/>
                <w:szCs w:val="18"/>
                <w:lang w:val="ro-RO"/>
              </w:rPr>
              <w:t>2) cel puţin un model simplificat de tarif, actualizat periodic, însoţit de explicaţia modului de utilizare a acestuia, care să permită utilizatorilor de sistem să calculeze tarifele pentru serviciul de transport aplicabile în perioada tarifară în curs şi să estimeze posibila evoluţie a acestora după încheierea acestei perioade tarifare.</w:t>
            </w:r>
          </w:p>
          <w:p w:rsidR="00D146AC" w:rsidRPr="001675B2" w:rsidRDefault="00DB703A" w:rsidP="0008169B">
            <w:pPr>
              <w:pStyle w:val="NoSpacing"/>
              <w:rPr>
                <w:bCs/>
                <w:sz w:val="18"/>
                <w:szCs w:val="18"/>
                <w:lang w:val="ro-RO"/>
              </w:rPr>
            </w:pPr>
            <w:r w:rsidRPr="000B25FB">
              <w:rPr>
                <w:b/>
                <w:bCs/>
                <w:sz w:val="18"/>
                <w:szCs w:val="18"/>
                <w:lang w:val="ro-RO"/>
              </w:rPr>
              <w:t>411.</w:t>
            </w:r>
            <w:r w:rsidRPr="000B25FB">
              <w:rPr>
                <w:bCs/>
                <w:sz w:val="18"/>
                <w:szCs w:val="18"/>
                <w:lang w:val="ro-RO"/>
              </w:rPr>
              <w:t xml:space="preserve"> Pentru punctele excluse de la definiţia punctelor relevante menţionate în Regulamentul privind accesul la reţelele de transport al gazelor naturale şi gestionarea congestiilor aprobat prin Hotărârea ANRE nr.421/2017, informaţiile privind volumul capacităţii contractate estimate şi volumul estimat al fluxului de gaze naturale se publică în conform</w:t>
            </w:r>
            <w:r w:rsidR="0008169B">
              <w:rPr>
                <w:bCs/>
                <w:sz w:val="18"/>
                <w:szCs w:val="18"/>
                <w:lang w:val="ro-RO"/>
              </w:rPr>
              <w:t>itate cu pct.15 al acestui Cod.</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1675B2" w:rsidRDefault="00D146AC" w:rsidP="00DA725A">
            <w:pPr>
              <w:jc w:val="both"/>
              <w:rPr>
                <w:sz w:val="18"/>
                <w:szCs w:val="18"/>
              </w:rPr>
            </w:pPr>
            <w:r w:rsidRPr="001675B2">
              <w:rPr>
                <w:sz w:val="18"/>
                <w:szCs w:val="18"/>
              </w:rPr>
              <w:t>Compatibil</w:t>
            </w: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Default="00D146AC" w:rsidP="00DA725A">
            <w:pPr>
              <w:jc w:val="both"/>
              <w:rPr>
                <w:b/>
                <w:sz w:val="18"/>
                <w:szCs w:val="18"/>
              </w:rPr>
            </w:pPr>
          </w:p>
          <w:p w:rsidR="0008169B" w:rsidRDefault="0008169B" w:rsidP="00DA725A">
            <w:pPr>
              <w:jc w:val="both"/>
              <w:rPr>
                <w:b/>
                <w:sz w:val="18"/>
                <w:szCs w:val="18"/>
              </w:rPr>
            </w:pPr>
          </w:p>
          <w:p w:rsidR="0008169B" w:rsidRDefault="0008169B" w:rsidP="00DA725A">
            <w:pPr>
              <w:jc w:val="both"/>
              <w:rPr>
                <w:b/>
                <w:sz w:val="18"/>
                <w:szCs w:val="18"/>
              </w:rPr>
            </w:pPr>
          </w:p>
          <w:p w:rsidR="0008169B" w:rsidRDefault="0008169B" w:rsidP="00DA725A">
            <w:pPr>
              <w:jc w:val="both"/>
              <w:rPr>
                <w:b/>
                <w:sz w:val="18"/>
                <w:szCs w:val="18"/>
              </w:rPr>
            </w:pPr>
          </w:p>
          <w:p w:rsidR="0008169B" w:rsidRPr="001675B2" w:rsidRDefault="0008169B" w:rsidP="00DA725A">
            <w:pPr>
              <w:jc w:val="both"/>
              <w:rPr>
                <w:b/>
                <w:sz w:val="18"/>
                <w:szCs w:val="18"/>
              </w:rPr>
            </w:pPr>
          </w:p>
          <w:p w:rsidR="00D146AC" w:rsidRPr="001675B2"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Default="00D146AC"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6447DE" w:rsidRDefault="006447DE" w:rsidP="006447DE">
            <w:pPr>
              <w:rPr>
                <w:sz w:val="18"/>
                <w:szCs w:val="18"/>
              </w:rPr>
            </w:pPr>
            <w:r>
              <w:rPr>
                <w:sz w:val="18"/>
                <w:szCs w:val="18"/>
              </w:rPr>
              <w:t>Compatibil</w:t>
            </w:r>
          </w:p>
          <w:p w:rsidR="006447DE" w:rsidRDefault="006447DE" w:rsidP="00DA725A">
            <w:pPr>
              <w:jc w:val="both"/>
              <w:rPr>
                <w:b/>
                <w:sz w:val="18"/>
                <w:szCs w:val="18"/>
              </w:rPr>
            </w:pPr>
          </w:p>
          <w:p w:rsidR="006447DE" w:rsidRPr="006447DE" w:rsidRDefault="006447DE" w:rsidP="00DA725A">
            <w:pPr>
              <w:jc w:val="both"/>
              <w:rPr>
                <w:b/>
                <w:sz w:val="18"/>
                <w:szCs w:val="18"/>
                <w:lang w:val="ro-RO"/>
              </w:rPr>
            </w:pPr>
          </w:p>
        </w:tc>
        <w:tc>
          <w:tcPr>
            <w:tcW w:w="4253" w:type="dxa"/>
          </w:tcPr>
          <w:p w:rsidR="00A83CA0" w:rsidRPr="00E84D74" w:rsidRDefault="00A83CA0" w:rsidP="00DA725A">
            <w:pPr>
              <w:autoSpaceDE w:val="0"/>
              <w:autoSpaceDN w:val="0"/>
              <w:adjustRightInd w:val="0"/>
              <w:jc w:val="center"/>
              <w:rPr>
                <w:b/>
                <w:bCs/>
                <w:i/>
                <w:iCs/>
                <w:sz w:val="18"/>
                <w:szCs w:val="18"/>
              </w:rPr>
            </w:pPr>
            <w:r w:rsidRPr="00E84D74">
              <w:rPr>
                <w:b/>
                <w:bCs/>
                <w:i/>
                <w:iCs/>
                <w:sz w:val="18"/>
                <w:szCs w:val="18"/>
              </w:rPr>
              <w:lastRenderedPageBreak/>
              <w:t>Article 30</w:t>
            </w:r>
          </w:p>
          <w:p w:rsidR="00A83CA0" w:rsidRPr="00E84D74" w:rsidRDefault="00A83CA0" w:rsidP="00DA725A">
            <w:pPr>
              <w:autoSpaceDE w:val="0"/>
              <w:autoSpaceDN w:val="0"/>
              <w:adjustRightInd w:val="0"/>
              <w:jc w:val="center"/>
              <w:rPr>
                <w:b/>
                <w:bCs/>
                <w:sz w:val="18"/>
                <w:szCs w:val="18"/>
              </w:rPr>
            </w:pPr>
            <w:r w:rsidRPr="00E84D74">
              <w:rPr>
                <w:b/>
                <w:bCs/>
                <w:sz w:val="18"/>
                <w:szCs w:val="18"/>
              </w:rPr>
              <w:t>Information to be published before the tariff period</w:t>
            </w:r>
          </w:p>
          <w:p w:rsidR="00245F66" w:rsidRPr="00E84D74" w:rsidRDefault="00245F66"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1. The following information shall be published before the tariff period in accordance with the requirements</w:t>
            </w:r>
          </w:p>
          <w:p w:rsidR="00A83CA0" w:rsidRPr="00E84D74" w:rsidRDefault="00A83CA0" w:rsidP="00DA725A">
            <w:pPr>
              <w:autoSpaceDE w:val="0"/>
              <w:autoSpaceDN w:val="0"/>
              <w:adjustRightInd w:val="0"/>
              <w:rPr>
                <w:sz w:val="18"/>
                <w:szCs w:val="18"/>
              </w:rPr>
            </w:pPr>
            <w:r w:rsidRPr="00E84D74">
              <w:rPr>
                <w:sz w:val="18"/>
                <w:szCs w:val="18"/>
              </w:rPr>
              <w:t>set out in Articles 31 and 32 by the national regulatory authority or the transmission system</w:t>
            </w:r>
            <w:r w:rsidR="00536611" w:rsidRPr="00E84D74">
              <w:rPr>
                <w:sz w:val="18"/>
                <w:szCs w:val="18"/>
              </w:rPr>
              <w:t xml:space="preserve"> </w:t>
            </w:r>
            <w:r w:rsidRPr="00E84D74">
              <w:rPr>
                <w:sz w:val="18"/>
                <w:szCs w:val="18"/>
              </w:rPr>
              <w:t>operator(s), as decided by the national regulatory authority:</w:t>
            </w:r>
          </w:p>
          <w:p w:rsidR="00A83CA0" w:rsidRPr="00E84D74" w:rsidRDefault="00A83CA0" w:rsidP="00DA725A">
            <w:pPr>
              <w:autoSpaceDE w:val="0"/>
              <w:autoSpaceDN w:val="0"/>
              <w:adjustRightInd w:val="0"/>
              <w:rPr>
                <w:sz w:val="18"/>
                <w:szCs w:val="18"/>
              </w:rPr>
            </w:pPr>
            <w:r w:rsidRPr="00E84D74">
              <w:rPr>
                <w:sz w:val="18"/>
                <w:szCs w:val="18"/>
              </w:rPr>
              <w:t>(a) information on parameters used in the applied reference price methodology that are related to the</w:t>
            </w:r>
          </w:p>
          <w:p w:rsidR="00A83CA0" w:rsidRPr="00E84D74" w:rsidRDefault="00A83CA0" w:rsidP="00DA725A">
            <w:pPr>
              <w:autoSpaceDE w:val="0"/>
              <w:autoSpaceDN w:val="0"/>
              <w:adjustRightInd w:val="0"/>
              <w:rPr>
                <w:sz w:val="18"/>
                <w:szCs w:val="18"/>
              </w:rPr>
            </w:pPr>
            <w:r w:rsidRPr="00E84D74">
              <w:rPr>
                <w:sz w:val="18"/>
                <w:szCs w:val="18"/>
              </w:rPr>
              <w:t>technical characteristics of the transmission system, such as:</w:t>
            </w:r>
          </w:p>
          <w:p w:rsidR="00A83CA0" w:rsidRPr="00E84D74" w:rsidRDefault="00A83CA0" w:rsidP="00DA725A">
            <w:pPr>
              <w:autoSpaceDE w:val="0"/>
              <w:autoSpaceDN w:val="0"/>
              <w:adjustRightInd w:val="0"/>
              <w:rPr>
                <w:sz w:val="18"/>
                <w:szCs w:val="18"/>
              </w:rPr>
            </w:pPr>
            <w:r w:rsidRPr="00E84D74">
              <w:rPr>
                <w:sz w:val="18"/>
                <w:szCs w:val="18"/>
              </w:rPr>
              <w:t>(i) technical capacity at entry and exit points and associated assumptions;</w:t>
            </w:r>
          </w:p>
          <w:p w:rsidR="00A83CA0" w:rsidRPr="00E84D74" w:rsidRDefault="00A83CA0" w:rsidP="00DA725A">
            <w:pPr>
              <w:autoSpaceDE w:val="0"/>
              <w:autoSpaceDN w:val="0"/>
              <w:adjustRightInd w:val="0"/>
              <w:rPr>
                <w:sz w:val="18"/>
                <w:szCs w:val="18"/>
              </w:rPr>
            </w:pPr>
            <w:r w:rsidRPr="00E84D74">
              <w:rPr>
                <w:sz w:val="18"/>
                <w:szCs w:val="18"/>
              </w:rPr>
              <w:t>(ii) forecasted contracted capacity at entry and exit points and associated assumptions;</w:t>
            </w:r>
          </w:p>
          <w:p w:rsidR="00A83CA0" w:rsidRPr="00E84D74" w:rsidRDefault="00A83CA0" w:rsidP="00DA725A">
            <w:pPr>
              <w:autoSpaceDE w:val="0"/>
              <w:autoSpaceDN w:val="0"/>
              <w:adjustRightInd w:val="0"/>
              <w:rPr>
                <w:sz w:val="18"/>
                <w:szCs w:val="18"/>
              </w:rPr>
            </w:pPr>
            <w:r w:rsidRPr="00E84D74">
              <w:rPr>
                <w:sz w:val="18"/>
                <w:szCs w:val="18"/>
              </w:rPr>
              <w:t>(iii) the quantity and the direction of the gas flow for entry and exit points and associated assumptions,</w:t>
            </w:r>
            <w:r w:rsidR="00204D8F" w:rsidRPr="00E84D74">
              <w:rPr>
                <w:sz w:val="18"/>
                <w:szCs w:val="18"/>
              </w:rPr>
              <w:t xml:space="preserve"> </w:t>
            </w:r>
            <w:r w:rsidRPr="00E84D74">
              <w:rPr>
                <w:sz w:val="18"/>
                <w:szCs w:val="18"/>
              </w:rPr>
              <w:t>such as demand and supply scenarios for the gas flow under peak conditions;</w:t>
            </w:r>
          </w:p>
          <w:p w:rsidR="00A83CA0" w:rsidRPr="00E84D74" w:rsidRDefault="00A83CA0" w:rsidP="00DA725A">
            <w:pPr>
              <w:autoSpaceDE w:val="0"/>
              <w:autoSpaceDN w:val="0"/>
              <w:adjustRightInd w:val="0"/>
              <w:rPr>
                <w:sz w:val="18"/>
                <w:szCs w:val="18"/>
              </w:rPr>
            </w:pPr>
            <w:r w:rsidRPr="00E84D74">
              <w:rPr>
                <w:sz w:val="18"/>
                <w:szCs w:val="18"/>
              </w:rPr>
              <w:t>(iv) the structural representation of the transmission network with an appropriate level of detail;</w:t>
            </w:r>
          </w:p>
          <w:p w:rsidR="00A83CA0" w:rsidRPr="00E84D74" w:rsidRDefault="00A83CA0" w:rsidP="00DA725A">
            <w:pPr>
              <w:autoSpaceDE w:val="0"/>
              <w:autoSpaceDN w:val="0"/>
              <w:adjustRightInd w:val="0"/>
              <w:rPr>
                <w:sz w:val="18"/>
                <w:szCs w:val="18"/>
              </w:rPr>
            </w:pPr>
            <w:r w:rsidRPr="00E84D74">
              <w:rPr>
                <w:sz w:val="18"/>
                <w:szCs w:val="18"/>
              </w:rPr>
              <w:t>(v) additional technical information about the transmission network, such as the length and the</w:t>
            </w:r>
          </w:p>
          <w:p w:rsidR="00A83CA0" w:rsidRPr="00E84D74" w:rsidRDefault="00A83CA0" w:rsidP="00DA725A">
            <w:pPr>
              <w:autoSpaceDE w:val="0"/>
              <w:autoSpaceDN w:val="0"/>
              <w:adjustRightInd w:val="0"/>
              <w:rPr>
                <w:sz w:val="18"/>
                <w:szCs w:val="18"/>
              </w:rPr>
            </w:pPr>
            <w:r w:rsidRPr="00E84D74">
              <w:rPr>
                <w:sz w:val="18"/>
                <w:szCs w:val="18"/>
              </w:rPr>
              <w:t>diameter of pipelines and the power of compressor stations.</w:t>
            </w:r>
          </w:p>
          <w:p w:rsidR="00A83CA0" w:rsidRPr="00E84D74" w:rsidRDefault="00A83CA0" w:rsidP="00DA725A">
            <w:pPr>
              <w:autoSpaceDE w:val="0"/>
              <w:autoSpaceDN w:val="0"/>
              <w:adjustRightInd w:val="0"/>
              <w:rPr>
                <w:sz w:val="18"/>
                <w:szCs w:val="18"/>
              </w:rPr>
            </w:pPr>
            <w:r w:rsidRPr="00E84D74">
              <w:rPr>
                <w:sz w:val="18"/>
                <w:szCs w:val="18"/>
              </w:rPr>
              <w:t>(b) the following information:</w:t>
            </w:r>
          </w:p>
          <w:p w:rsidR="00A83CA0" w:rsidRPr="00E84D74" w:rsidRDefault="00A83CA0" w:rsidP="00DA725A">
            <w:pPr>
              <w:autoSpaceDE w:val="0"/>
              <w:autoSpaceDN w:val="0"/>
              <w:adjustRightInd w:val="0"/>
              <w:rPr>
                <w:sz w:val="18"/>
                <w:szCs w:val="18"/>
              </w:rPr>
            </w:pPr>
            <w:r w:rsidRPr="00E84D74">
              <w:rPr>
                <w:sz w:val="18"/>
                <w:szCs w:val="18"/>
              </w:rPr>
              <w:lastRenderedPageBreak/>
              <w:t>(i) the allowed or target revenue, or both, of the transmission system operator;</w:t>
            </w:r>
          </w:p>
          <w:p w:rsidR="00A83CA0" w:rsidRPr="00E84D74" w:rsidRDefault="00A83CA0" w:rsidP="00DA725A">
            <w:pPr>
              <w:autoSpaceDE w:val="0"/>
              <w:autoSpaceDN w:val="0"/>
              <w:adjustRightInd w:val="0"/>
              <w:rPr>
                <w:sz w:val="18"/>
                <w:szCs w:val="18"/>
              </w:rPr>
            </w:pPr>
            <w:r w:rsidRPr="00E84D74">
              <w:rPr>
                <w:sz w:val="18"/>
                <w:szCs w:val="18"/>
              </w:rPr>
              <w:t>(ii) the information related to changes in the revenue referred to in point (i) from one year to the</w:t>
            </w:r>
          </w:p>
          <w:p w:rsidR="00A83CA0" w:rsidRPr="00E84D74" w:rsidRDefault="00A83CA0" w:rsidP="00DA725A">
            <w:pPr>
              <w:autoSpaceDE w:val="0"/>
              <w:autoSpaceDN w:val="0"/>
              <w:adjustRightInd w:val="0"/>
              <w:rPr>
                <w:sz w:val="18"/>
                <w:szCs w:val="18"/>
              </w:rPr>
            </w:pPr>
            <w:r w:rsidRPr="00E84D74">
              <w:rPr>
                <w:sz w:val="18"/>
                <w:szCs w:val="18"/>
              </w:rPr>
              <w:t>next year;</w:t>
            </w:r>
          </w:p>
          <w:p w:rsidR="00A83CA0" w:rsidRPr="00E84D74" w:rsidRDefault="00A83CA0" w:rsidP="00DA725A">
            <w:pPr>
              <w:autoSpaceDE w:val="0"/>
              <w:autoSpaceDN w:val="0"/>
              <w:adjustRightInd w:val="0"/>
              <w:rPr>
                <w:sz w:val="18"/>
                <w:szCs w:val="18"/>
              </w:rPr>
            </w:pPr>
            <w:r w:rsidRPr="00E84D74">
              <w:rPr>
                <w:sz w:val="18"/>
                <w:szCs w:val="18"/>
              </w:rPr>
              <w:t>(iii) the following parameters:</w:t>
            </w:r>
          </w:p>
          <w:p w:rsidR="00A83CA0" w:rsidRPr="00E84D74" w:rsidRDefault="00A83CA0" w:rsidP="00DA725A">
            <w:pPr>
              <w:autoSpaceDE w:val="0"/>
              <w:autoSpaceDN w:val="0"/>
              <w:adjustRightInd w:val="0"/>
              <w:rPr>
                <w:sz w:val="18"/>
                <w:szCs w:val="18"/>
              </w:rPr>
            </w:pPr>
            <w:r w:rsidRPr="00E84D74">
              <w:rPr>
                <w:sz w:val="18"/>
                <w:szCs w:val="18"/>
              </w:rPr>
              <w:t>(1) types of assets included in the regulated asset base and their aggregated value;</w:t>
            </w:r>
          </w:p>
          <w:p w:rsidR="00A83CA0" w:rsidRPr="00E84D74" w:rsidRDefault="00A83CA0" w:rsidP="00DA725A">
            <w:pPr>
              <w:autoSpaceDE w:val="0"/>
              <w:autoSpaceDN w:val="0"/>
              <w:adjustRightInd w:val="0"/>
              <w:rPr>
                <w:sz w:val="18"/>
                <w:szCs w:val="18"/>
              </w:rPr>
            </w:pPr>
            <w:r w:rsidRPr="00E84D74">
              <w:rPr>
                <w:sz w:val="18"/>
                <w:szCs w:val="18"/>
              </w:rPr>
              <w:t>(2) cost of capital and its calculation methodology;</w:t>
            </w:r>
          </w:p>
          <w:p w:rsidR="00A83CA0" w:rsidRPr="00E84D74" w:rsidRDefault="00A83CA0" w:rsidP="00DA725A">
            <w:pPr>
              <w:autoSpaceDE w:val="0"/>
              <w:autoSpaceDN w:val="0"/>
              <w:adjustRightInd w:val="0"/>
              <w:rPr>
                <w:sz w:val="18"/>
                <w:szCs w:val="18"/>
              </w:rPr>
            </w:pPr>
            <w:r w:rsidRPr="00E84D74">
              <w:rPr>
                <w:sz w:val="18"/>
                <w:szCs w:val="18"/>
              </w:rPr>
              <w:t>(3) capital expenditures, including:</w:t>
            </w:r>
          </w:p>
          <w:p w:rsidR="00A83CA0" w:rsidRPr="00E84D74" w:rsidRDefault="00A83CA0" w:rsidP="00DA725A">
            <w:pPr>
              <w:autoSpaceDE w:val="0"/>
              <w:autoSpaceDN w:val="0"/>
              <w:adjustRightInd w:val="0"/>
              <w:rPr>
                <w:sz w:val="18"/>
                <w:szCs w:val="18"/>
              </w:rPr>
            </w:pPr>
            <w:r w:rsidRPr="00E84D74">
              <w:rPr>
                <w:sz w:val="18"/>
                <w:szCs w:val="18"/>
              </w:rPr>
              <w:t>(a) methodologies to determine the initial value of the assets;</w:t>
            </w:r>
          </w:p>
          <w:p w:rsidR="00A83CA0" w:rsidRPr="00E84D74" w:rsidRDefault="00A83CA0" w:rsidP="00DA725A">
            <w:pPr>
              <w:autoSpaceDE w:val="0"/>
              <w:autoSpaceDN w:val="0"/>
              <w:adjustRightInd w:val="0"/>
              <w:rPr>
                <w:sz w:val="18"/>
                <w:szCs w:val="18"/>
              </w:rPr>
            </w:pPr>
            <w:r w:rsidRPr="00E84D74">
              <w:rPr>
                <w:sz w:val="18"/>
                <w:szCs w:val="18"/>
              </w:rPr>
              <w:t>(b) methodologies to re-evaluate the assets;</w:t>
            </w:r>
          </w:p>
          <w:p w:rsidR="00A83CA0" w:rsidRPr="00E84D74" w:rsidRDefault="00A83CA0" w:rsidP="00DA725A">
            <w:pPr>
              <w:autoSpaceDE w:val="0"/>
              <w:autoSpaceDN w:val="0"/>
              <w:adjustRightInd w:val="0"/>
              <w:rPr>
                <w:sz w:val="18"/>
                <w:szCs w:val="18"/>
              </w:rPr>
            </w:pPr>
            <w:r w:rsidRPr="00E84D74">
              <w:rPr>
                <w:sz w:val="18"/>
                <w:szCs w:val="18"/>
              </w:rPr>
              <w:t>(c) explanations of the evolution of the value of the assets;</w:t>
            </w:r>
          </w:p>
          <w:p w:rsidR="00A83CA0" w:rsidRPr="00E84D74" w:rsidRDefault="00A83CA0" w:rsidP="00DA725A">
            <w:pPr>
              <w:autoSpaceDE w:val="0"/>
              <w:autoSpaceDN w:val="0"/>
              <w:adjustRightInd w:val="0"/>
              <w:rPr>
                <w:sz w:val="18"/>
                <w:szCs w:val="18"/>
              </w:rPr>
            </w:pPr>
            <w:r w:rsidRPr="00E84D74">
              <w:rPr>
                <w:sz w:val="18"/>
                <w:szCs w:val="18"/>
              </w:rPr>
              <w:t>(d) depreciation periods and amounts per asset type.</w:t>
            </w:r>
          </w:p>
          <w:p w:rsidR="00A83CA0" w:rsidRPr="00E84D74" w:rsidRDefault="00A83CA0" w:rsidP="00DA725A">
            <w:pPr>
              <w:autoSpaceDE w:val="0"/>
              <w:autoSpaceDN w:val="0"/>
              <w:adjustRightInd w:val="0"/>
              <w:rPr>
                <w:sz w:val="18"/>
                <w:szCs w:val="18"/>
              </w:rPr>
            </w:pPr>
            <w:r w:rsidRPr="00E84D74">
              <w:rPr>
                <w:sz w:val="18"/>
                <w:szCs w:val="18"/>
              </w:rPr>
              <w:t>(4) operational expenditures;</w:t>
            </w:r>
          </w:p>
          <w:p w:rsidR="00A83CA0" w:rsidRPr="00E84D74" w:rsidRDefault="00A83CA0" w:rsidP="00DA725A">
            <w:pPr>
              <w:autoSpaceDE w:val="0"/>
              <w:autoSpaceDN w:val="0"/>
              <w:adjustRightInd w:val="0"/>
              <w:rPr>
                <w:sz w:val="18"/>
                <w:szCs w:val="18"/>
              </w:rPr>
            </w:pPr>
            <w:r w:rsidRPr="00E84D74">
              <w:rPr>
                <w:sz w:val="18"/>
                <w:szCs w:val="18"/>
              </w:rPr>
              <w:t>(5) incentive mechanisms and efficiency targets;</w:t>
            </w:r>
          </w:p>
          <w:p w:rsidR="00A83CA0" w:rsidRPr="00E84D74" w:rsidRDefault="00A83CA0" w:rsidP="00DA725A">
            <w:pPr>
              <w:autoSpaceDE w:val="0"/>
              <w:autoSpaceDN w:val="0"/>
              <w:adjustRightInd w:val="0"/>
              <w:rPr>
                <w:sz w:val="18"/>
                <w:szCs w:val="18"/>
              </w:rPr>
            </w:pPr>
            <w:r w:rsidRPr="00E84D74">
              <w:rPr>
                <w:sz w:val="18"/>
                <w:szCs w:val="18"/>
              </w:rPr>
              <w:t>(6) inflation indices.</w:t>
            </w:r>
          </w:p>
          <w:p w:rsidR="00A83CA0" w:rsidRPr="00E84D74" w:rsidRDefault="00A83CA0" w:rsidP="00DA725A">
            <w:pPr>
              <w:autoSpaceDE w:val="0"/>
              <w:autoSpaceDN w:val="0"/>
              <w:adjustRightInd w:val="0"/>
              <w:rPr>
                <w:sz w:val="18"/>
                <w:szCs w:val="18"/>
              </w:rPr>
            </w:pPr>
            <w:r w:rsidRPr="00E84D74">
              <w:rPr>
                <w:sz w:val="18"/>
                <w:szCs w:val="18"/>
              </w:rPr>
              <w:t>(iv) the transmission services revenue;</w:t>
            </w:r>
          </w:p>
          <w:p w:rsidR="00A83CA0" w:rsidRPr="00E84D74" w:rsidRDefault="00A83CA0" w:rsidP="00DA725A">
            <w:pPr>
              <w:autoSpaceDE w:val="0"/>
              <w:autoSpaceDN w:val="0"/>
              <w:adjustRightInd w:val="0"/>
              <w:rPr>
                <w:sz w:val="18"/>
                <w:szCs w:val="18"/>
              </w:rPr>
            </w:pPr>
            <w:r w:rsidRPr="00E84D74">
              <w:rPr>
                <w:sz w:val="18"/>
                <w:szCs w:val="18"/>
              </w:rPr>
              <w:t>(v) the following ratios for the revenue referred to in point (iv):</w:t>
            </w:r>
          </w:p>
          <w:p w:rsidR="00536611" w:rsidRPr="00E84D74" w:rsidRDefault="00536611"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(1) capacity-commodity split, meaning the breakdown between the revenue from capacity-</w:t>
            </w:r>
          </w:p>
          <w:p w:rsidR="00A83CA0" w:rsidRPr="00E84D74" w:rsidRDefault="00A83CA0" w:rsidP="00DA725A">
            <w:pPr>
              <w:autoSpaceDE w:val="0"/>
              <w:autoSpaceDN w:val="0"/>
              <w:adjustRightInd w:val="0"/>
              <w:rPr>
                <w:sz w:val="18"/>
                <w:szCs w:val="18"/>
              </w:rPr>
            </w:pPr>
            <w:r w:rsidRPr="00E84D74">
              <w:rPr>
                <w:sz w:val="18"/>
                <w:szCs w:val="18"/>
              </w:rPr>
              <w:t>based transmission tariffs and the revenue from commodity-based transmission tariffs;</w:t>
            </w:r>
          </w:p>
          <w:p w:rsidR="00536611" w:rsidRPr="00E84D74" w:rsidRDefault="00536611" w:rsidP="00DA725A">
            <w:pPr>
              <w:autoSpaceDE w:val="0"/>
              <w:autoSpaceDN w:val="0"/>
              <w:adjustRightInd w:val="0"/>
              <w:rPr>
                <w:sz w:val="18"/>
                <w:szCs w:val="18"/>
              </w:rPr>
            </w:pPr>
          </w:p>
          <w:p w:rsidR="00D146AC" w:rsidRPr="00E84D74" w:rsidRDefault="00A83CA0" w:rsidP="00DA725A">
            <w:pPr>
              <w:autoSpaceDE w:val="0"/>
              <w:autoSpaceDN w:val="0"/>
              <w:adjustRightInd w:val="0"/>
              <w:rPr>
                <w:sz w:val="18"/>
                <w:szCs w:val="18"/>
              </w:rPr>
            </w:pPr>
            <w:r w:rsidRPr="00E84D74">
              <w:rPr>
                <w:sz w:val="18"/>
                <w:szCs w:val="18"/>
              </w:rPr>
              <w:t>(2) entry-exit split, meaning the breakdown between the revenue from capacity-based</w:t>
            </w:r>
            <w:r w:rsidR="00536611" w:rsidRPr="00E84D74">
              <w:rPr>
                <w:sz w:val="18"/>
                <w:szCs w:val="18"/>
              </w:rPr>
              <w:t xml:space="preserve"> </w:t>
            </w:r>
            <w:r w:rsidRPr="00E84D74">
              <w:rPr>
                <w:sz w:val="18"/>
                <w:szCs w:val="18"/>
              </w:rPr>
              <w:t xml:space="preserve">transmission tariffs at all entry points and the revenue from capacity-based </w:t>
            </w:r>
            <w:r w:rsidR="00536611" w:rsidRPr="00E84D74">
              <w:rPr>
                <w:sz w:val="18"/>
                <w:szCs w:val="18"/>
              </w:rPr>
              <w:t xml:space="preserve"> t</w:t>
            </w:r>
            <w:r w:rsidRPr="00E84D74">
              <w:rPr>
                <w:sz w:val="18"/>
                <w:szCs w:val="18"/>
              </w:rPr>
              <w:t>ransmission</w:t>
            </w:r>
            <w:r w:rsidR="00536611" w:rsidRPr="00E84D74">
              <w:rPr>
                <w:sz w:val="18"/>
                <w:szCs w:val="18"/>
              </w:rPr>
              <w:t xml:space="preserve"> </w:t>
            </w:r>
            <w:r w:rsidRPr="00E84D74">
              <w:rPr>
                <w:sz w:val="18"/>
                <w:szCs w:val="18"/>
              </w:rPr>
              <w:t>tariffs at all exit points;</w:t>
            </w:r>
          </w:p>
          <w:p w:rsidR="00536611" w:rsidRPr="00E84D74" w:rsidRDefault="00536611"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(3) intra-system/cross-system split, meaning the breakdown between the revenue from</w:t>
            </w:r>
            <w:r w:rsidR="00536611" w:rsidRPr="00E84D74">
              <w:rPr>
                <w:sz w:val="18"/>
                <w:szCs w:val="18"/>
              </w:rPr>
              <w:t xml:space="preserve"> </w:t>
            </w:r>
            <w:r w:rsidRPr="00E84D74">
              <w:rPr>
                <w:sz w:val="18"/>
                <w:szCs w:val="18"/>
              </w:rPr>
              <w:t>intra-system network use at both entry points and exit points and the revenue from cross-system</w:t>
            </w:r>
            <w:r w:rsidR="00536611" w:rsidRPr="00E84D74">
              <w:rPr>
                <w:sz w:val="18"/>
                <w:szCs w:val="18"/>
              </w:rPr>
              <w:t xml:space="preserve"> </w:t>
            </w:r>
            <w:r w:rsidRPr="00E84D74">
              <w:rPr>
                <w:sz w:val="18"/>
                <w:szCs w:val="18"/>
              </w:rPr>
              <w:t>network use at both entry points and exit points calculated as set out in Article 5.</w:t>
            </w:r>
          </w:p>
          <w:p w:rsidR="00076604" w:rsidRPr="00E84D74" w:rsidRDefault="00076604"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(vi) where and to the extent that the transmission system operator functions under a non-price</w:t>
            </w:r>
            <w:r w:rsidR="00204D8F" w:rsidRPr="00E84D74">
              <w:rPr>
                <w:sz w:val="18"/>
                <w:szCs w:val="18"/>
              </w:rPr>
              <w:t xml:space="preserve"> </w:t>
            </w:r>
            <w:r w:rsidRPr="00E84D74">
              <w:rPr>
                <w:sz w:val="18"/>
                <w:szCs w:val="18"/>
              </w:rPr>
              <w:t>cap regime, the following information related to the previous tariff period on regarding the reconciliation</w:t>
            </w:r>
            <w:r w:rsidR="00204D8F" w:rsidRPr="00E84D74">
              <w:rPr>
                <w:sz w:val="18"/>
                <w:szCs w:val="18"/>
              </w:rPr>
              <w:t xml:space="preserve"> </w:t>
            </w:r>
            <w:r w:rsidRPr="00E84D74">
              <w:rPr>
                <w:sz w:val="18"/>
                <w:szCs w:val="18"/>
              </w:rPr>
              <w:t>of the regulatory account:</w:t>
            </w:r>
          </w:p>
          <w:p w:rsidR="00A83CA0" w:rsidRPr="00E84D74" w:rsidRDefault="00A83CA0" w:rsidP="00DA725A">
            <w:pPr>
              <w:autoSpaceDE w:val="0"/>
              <w:autoSpaceDN w:val="0"/>
              <w:adjustRightInd w:val="0"/>
              <w:rPr>
                <w:sz w:val="18"/>
                <w:szCs w:val="18"/>
              </w:rPr>
            </w:pPr>
            <w:r w:rsidRPr="00E84D74">
              <w:rPr>
                <w:sz w:val="18"/>
                <w:szCs w:val="18"/>
              </w:rPr>
              <w:t>(1) the actually obtained revenue, the under- or over-recovery of the allowed revenue and</w:t>
            </w:r>
            <w:r w:rsidR="00204D8F" w:rsidRPr="00E84D74">
              <w:rPr>
                <w:sz w:val="18"/>
                <w:szCs w:val="18"/>
              </w:rPr>
              <w:t xml:space="preserve"> </w:t>
            </w:r>
            <w:r w:rsidRPr="00E84D74">
              <w:rPr>
                <w:sz w:val="18"/>
                <w:szCs w:val="18"/>
              </w:rPr>
              <w:t xml:space="preserve">the part thereof </w:t>
            </w:r>
            <w:r w:rsidRPr="00E84D74">
              <w:rPr>
                <w:sz w:val="18"/>
                <w:szCs w:val="18"/>
              </w:rPr>
              <w:lastRenderedPageBreak/>
              <w:t>attributed to the regulatory account and, if applicable, sub-accounts within</w:t>
            </w:r>
            <w:r w:rsidR="00204D8F" w:rsidRPr="00E84D74">
              <w:rPr>
                <w:sz w:val="18"/>
                <w:szCs w:val="18"/>
              </w:rPr>
              <w:t xml:space="preserve"> </w:t>
            </w:r>
            <w:r w:rsidRPr="00E84D74">
              <w:rPr>
                <w:sz w:val="18"/>
                <w:szCs w:val="18"/>
              </w:rPr>
              <w:t>such regulatory account;</w:t>
            </w:r>
          </w:p>
          <w:p w:rsidR="00076604" w:rsidRPr="00E84D74" w:rsidRDefault="00A83CA0" w:rsidP="00DA725A">
            <w:pPr>
              <w:autoSpaceDE w:val="0"/>
              <w:autoSpaceDN w:val="0"/>
              <w:adjustRightInd w:val="0"/>
              <w:rPr>
                <w:sz w:val="18"/>
                <w:szCs w:val="18"/>
              </w:rPr>
            </w:pPr>
            <w:r w:rsidRPr="00E84D74">
              <w:rPr>
                <w:sz w:val="18"/>
                <w:szCs w:val="18"/>
              </w:rPr>
              <w:t>(2) the reconcil</w:t>
            </w:r>
            <w:r w:rsidR="00204D8F" w:rsidRPr="00E84D74">
              <w:rPr>
                <w:sz w:val="18"/>
                <w:szCs w:val="18"/>
              </w:rPr>
              <w:t xml:space="preserve">iation period and the incentive </w:t>
            </w:r>
            <w:r w:rsidRPr="00E84D74">
              <w:rPr>
                <w:sz w:val="18"/>
                <w:szCs w:val="18"/>
              </w:rPr>
              <w:t>mechanisms implemented.</w:t>
            </w:r>
            <w:r w:rsidR="00076604" w:rsidRPr="00E84D74">
              <w:rPr>
                <w:sz w:val="18"/>
                <w:szCs w:val="18"/>
              </w:rPr>
              <w:t xml:space="preserve"> </w:t>
            </w:r>
          </w:p>
          <w:p w:rsidR="00A83CA0" w:rsidRPr="00E84D74" w:rsidRDefault="00A83CA0" w:rsidP="00DA725A">
            <w:pPr>
              <w:autoSpaceDE w:val="0"/>
              <w:autoSpaceDN w:val="0"/>
              <w:adjustRightInd w:val="0"/>
              <w:rPr>
                <w:sz w:val="18"/>
                <w:szCs w:val="18"/>
              </w:rPr>
            </w:pPr>
            <w:r w:rsidRPr="00E84D74">
              <w:rPr>
                <w:sz w:val="18"/>
                <w:szCs w:val="18"/>
              </w:rPr>
              <w:t>(vii) the intended use of the auction premium.</w:t>
            </w:r>
          </w:p>
          <w:p w:rsidR="00A83CA0" w:rsidRPr="00E84D74" w:rsidRDefault="00A83CA0" w:rsidP="00DA725A">
            <w:pPr>
              <w:autoSpaceDE w:val="0"/>
              <w:autoSpaceDN w:val="0"/>
              <w:adjustRightInd w:val="0"/>
              <w:rPr>
                <w:sz w:val="18"/>
                <w:szCs w:val="18"/>
              </w:rPr>
            </w:pPr>
            <w:r w:rsidRPr="00E84D74">
              <w:rPr>
                <w:sz w:val="18"/>
                <w:szCs w:val="18"/>
              </w:rPr>
              <w:t>(c) the following information on transmission and non-transmission tariffs, accompanied by the relevant</w:t>
            </w:r>
          </w:p>
          <w:p w:rsidR="00A83CA0" w:rsidRPr="00E84D74" w:rsidRDefault="00A83CA0" w:rsidP="00DA725A">
            <w:pPr>
              <w:autoSpaceDE w:val="0"/>
              <w:autoSpaceDN w:val="0"/>
              <w:adjustRightInd w:val="0"/>
              <w:rPr>
                <w:sz w:val="18"/>
                <w:szCs w:val="18"/>
              </w:rPr>
            </w:pPr>
            <w:r w:rsidRPr="00E84D74">
              <w:rPr>
                <w:sz w:val="18"/>
                <w:szCs w:val="18"/>
              </w:rPr>
              <w:t>information related to their derivation:</w:t>
            </w:r>
          </w:p>
          <w:p w:rsidR="00A83CA0" w:rsidRPr="00E84D74" w:rsidRDefault="00A83CA0" w:rsidP="00DA725A">
            <w:pPr>
              <w:autoSpaceDE w:val="0"/>
              <w:autoSpaceDN w:val="0"/>
              <w:adjustRightInd w:val="0"/>
              <w:rPr>
                <w:sz w:val="18"/>
                <w:szCs w:val="18"/>
              </w:rPr>
            </w:pPr>
            <w:r w:rsidRPr="00E84D74">
              <w:rPr>
                <w:sz w:val="18"/>
                <w:szCs w:val="18"/>
              </w:rPr>
              <w:t>(i) where applied, commodity-based transmission tariffs referred to in Article 4(3);</w:t>
            </w:r>
          </w:p>
          <w:p w:rsidR="00A83CA0" w:rsidRPr="00E84D74" w:rsidRDefault="00A83CA0" w:rsidP="00DA725A">
            <w:pPr>
              <w:autoSpaceDE w:val="0"/>
              <w:autoSpaceDN w:val="0"/>
              <w:adjustRightInd w:val="0"/>
              <w:rPr>
                <w:sz w:val="18"/>
                <w:szCs w:val="18"/>
              </w:rPr>
            </w:pPr>
            <w:r w:rsidRPr="00E84D74">
              <w:rPr>
                <w:sz w:val="18"/>
                <w:szCs w:val="18"/>
              </w:rPr>
              <w:t>(ii) where applied, non-transmission tariffs for non-transmission services referred to in Article 4(4);</w:t>
            </w:r>
          </w:p>
          <w:p w:rsidR="00A83CA0" w:rsidRDefault="00A83CA0" w:rsidP="00DA725A">
            <w:pPr>
              <w:autoSpaceDE w:val="0"/>
              <w:autoSpaceDN w:val="0"/>
              <w:adjustRightInd w:val="0"/>
              <w:rPr>
                <w:sz w:val="18"/>
                <w:szCs w:val="18"/>
              </w:rPr>
            </w:pPr>
            <w:r w:rsidRPr="00E84D74">
              <w:rPr>
                <w:sz w:val="18"/>
                <w:szCs w:val="18"/>
              </w:rPr>
              <w:t>(iii) the reference prices and other prices applicable at points other than those referred to in Article</w:t>
            </w:r>
            <w:r w:rsidR="00204D8F" w:rsidRPr="00E84D74">
              <w:rPr>
                <w:sz w:val="18"/>
                <w:szCs w:val="18"/>
              </w:rPr>
              <w:t xml:space="preserve"> </w:t>
            </w:r>
            <w:r w:rsidRPr="00E84D74">
              <w:rPr>
                <w:sz w:val="18"/>
                <w:szCs w:val="18"/>
              </w:rPr>
              <w:t>29.</w:t>
            </w:r>
          </w:p>
          <w:p w:rsidR="0008169B" w:rsidRDefault="0008169B" w:rsidP="00DA725A">
            <w:pPr>
              <w:autoSpaceDE w:val="0"/>
              <w:autoSpaceDN w:val="0"/>
              <w:adjustRightInd w:val="0"/>
              <w:rPr>
                <w:sz w:val="18"/>
                <w:szCs w:val="18"/>
              </w:rPr>
            </w:pPr>
          </w:p>
          <w:p w:rsidR="0008169B" w:rsidRDefault="0008169B" w:rsidP="00DA725A">
            <w:pPr>
              <w:autoSpaceDE w:val="0"/>
              <w:autoSpaceDN w:val="0"/>
              <w:adjustRightInd w:val="0"/>
              <w:rPr>
                <w:sz w:val="18"/>
                <w:szCs w:val="18"/>
              </w:rPr>
            </w:pPr>
          </w:p>
          <w:p w:rsidR="0008169B" w:rsidRDefault="0008169B"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2. In addition, the following information shall be published with regard to transmission tariffs:</w:t>
            </w:r>
          </w:p>
          <w:p w:rsidR="00A83CA0" w:rsidRPr="00E84D74" w:rsidRDefault="00A83CA0" w:rsidP="00DA725A">
            <w:pPr>
              <w:autoSpaceDE w:val="0"/>
              <w:autoSpaceDN w:val="0"/>
              <w:adjustRightInd w:val="0"/>
              <w:rPr>
                <w:sz w:val="18"/>
                <w:szCs w:val="18"/>
              </w:rPr>
            </w:pPr>
            <w:r w:rsidRPr="00E84D74">
              <w:rPr>
                <w:sz w:val="18"/>
                <w:szCs w:val="18"/>
              </w:rPr>
              <w:t>(a) explanation of the following:</w:t>
            </w:r>
          </w:p>
          <w:p w:rsidR="00A83CA0" w:rsidRPr="00E84D74" w:rsidRDefault="00A83CA0" w:rsidP="00DA725A">
            <w:pPr>
              <w:autoSpaceDE w:val="0"/>
              <w:autoSpaceDN w:val="0"/>
              <w:adjustRightInd w:val="0"/>
              <w:rPr>
                <w:sz w:val="18"/>
                <w:szCs w:val="18"/>
              </w:rPr>
            </w:pPr>
            <w:r w:rsidRPr="00E84D74">
              <w:rPr>
                <w:sz w:val="18"/>
                <w:szCs w:val="18"/>
              </w:rPr>
              <w:t>(i) the difference in the level of transmission tariffs for the same type of transmission service applicable</w:t>
            </w:r>
            <w:r w:rsidR="00076604" w:rsidRPr="00E84D74">
              <w:rPr>
                <w:sz w:val="18"/>
                <w:szCs w:val="18"/>
              </w:rPr>
              <w:t xml:space="preserve"> </w:t>
            </w:r>
            <w:r w:rsidRPr="00E84D74">
              <w:rPr>
                <w:sz w:val="18"/>
                <w:szCs w:val="18"/>
              </w:rPr>
              <w:t>for the prevailing tariff period and for the tariff period for which the information is published;</w:t>
            </w:r>
          </w:p>
          <w:p w:rsidR="00A83CA0" w:rsidRPr="00E84D74" w:rsidRDefault="00A83CA0" w:rsidP="00DA725A">
            <w:pPr>
              <w:autoSpaceDE w:val="0"/>
              <w:autoSpaceDN w:val="0"/>
              <w:adjustRightInd w:val="0"/>
              <w:rPr>
                <w:sz w:val="18"/>
                <w:szCs w:val="18"/>
              </w:rPr>
            </w:pPr>
            <w:r w:rsidRPr="00E84D74">
              <w:rPr>
                <w:sz w:val="18"/>
                <w:szCs w:val="18"/>
              </w:rPr>
              <w:t>(ii) the estimated difference in the level of transmission tariffs for the same type of transmission</w:t>
            </w:r>
            <w:r w:rsidR="00076604" w:rsidRPr="00E84D74">
              <w:rPr>
                <w:sz w:val="18"/>
                <w:szCs w:val="18"/>
              </w:rPr>
              <w:t xml:space="preserve"> </w:t>
            </w:r>
            <w:r w:rsidRPr="00E84D74">
              <w:rPr>
                <w:sz w:val="18"/>
                <w:szCs w:val="18"/>
              </w:rPr>
              <w:t>service applicable for the tariff period for which the information is published and for each tariff</w:t>
            </w:r>
            <w:r w:rsidR="00076604" w:rsidRPr="00E84D74">
              <w:rPr>
                <w:sz w:val="18"/>
                <w:szCs w:val="18"/>
              </w:rPr>
              <w:t xml:space="preserve"> </w:t>
            </w:r>
            <w:r w:rsidRPr="00E84D74">
              <w:rPr>
                <w:sz w:val="18"/>
                <w:szCs w:val="18"/>
              </w:rPr>
              <w:t>period within the remainder of the regulatory period.</w:t>
            </w:r>
          </w:p>
          <w:p w:rsidR="00A83CA0" w:rsidRPr="00E84D74" w:rsidRDefault="00A83CA0" w:rsidP="00DA725A">
            <w:pPr>
              <w:autoSpaceDE w:val="0"/>
              <w:autoSpaceDN w:val="0"/>
              <w:adjustRightInd w:val="0"/>
              <w:rPr>
                <w:sz w:val="18"/>
                <w:szCs w:val="18"/>
              </w:rPr>
            </w:pPr>
            <w:r w:rsidRPr="00E84D74">
              <w:rPr>
                <w:sz w:val="18"/>
                <w:szCs w:val="18"/>
              </w:rPr>
              <w:t>(b) at least a simplified tariff model, updated regularly, accompanied by the explanation of how to use</w:t>
            </w:r>
            <w:r w:rsidR="00076604" w:rsidRPr="00E84D74">
              <w:rPr>
                <w:sz w:val="18"/>
                <w:szCs w:val="18"/>
              </w:rPr>
              <w:t xml:space="preserve"> </w:t>
            </w:r>
            <w:r w:rsidRPr="00E84D74">
              <w:rPr>
                <w:sz w:val="18"/>
                <w:szCs w:val="18"/>
              </w:rPr>
              <w:t>it, enabling network users to calculate the transmission tariffs applicable for the prevailing tariff period</w:t>
            </w:r>
            <w:r w:rsidR="00076604" w:rsidRPr="00E84D74">
              <w:rPr>
                <w:sz w:val="18"/>
                <w:szCs w:val="18"/>
              </w:rPr>
              <w:t xml:space="preserve"> </w:t>
            </w:r>
            <w:r w:rsidRPr="00E84D74">
              <w:rPr>
                <w:sz w:val="18"/>
                <w:szCs w:val="18"/>
              </w:rPr>
              <w:t>and to estimate their possible evolution beyond such tariff period.</w:t>
            </w:r>
          </w:p>
          <w:p w:rsidR="00A83CA0" w:rsidRPr="00E84D74" w:rsidRDefault="00A83CA0" w:rsidP="00DA725A">
            <w:pPr>
              <w:autoSpaceDE w:val="0"/>
              <w:autoSpaceDN w:val="0"/>
              <w:adjustRightInd w:val="0"/>
              <w:rPr>
                <w:b/>
                <w:sz w:val="18"/>
                <w:szCs w:val="18"/>
              </w:rPr>
            </w:pPr>
            <w:r w:rsidRPr="00E84D74">
              <w:rPr>
                <w:sz w:val="18"/>
                <w:szCs w:val="18"/>
              </w:rPr>
              <w:t>3. For the points excluded from the definition of relevant points referred to in point 3.2(1)(a) of Annex</w:t>
            </w:r>
            <w:r w:rsidR="00076604" w:rsidRPr="00E84D74">
              <w:rPr>
                <w:sz w:val="18"/>
                <w:szCs w:val="18"/>
              </w:rPr>
              <w:t xml:space="preserve"> </w:t>
            </w:r>
            <w:r w:rsidRPr="00E84D74">
              <w:rPr>
                <w:sz w:val="18"/>
                <w:szCs w:val="18"/>
              </w:rPr>
              <w:t>I to Regulation (EC) No 715/2009, the information on the amount of forecasted contracted capacity</w:t>
            </w:r>
            <w:r w:rsidR="00076604" w:rsidRPr="00E84D74">
              <w:rPr>
                <w:sz w:val="18"/>
                <w:szCs w:val="18"/>
              </w:rPr>
              <w:t xml:space="preserve"> </w:t>
            </w:r>
            <w:r w:rsidRPr="00E84D74">
              <w:rPr>
                <w:sz w:val="18"/>
                <w:szCs w:val="18"/>
              </w:rPr>
              <w:t>and the forecasted quantity of the gas flow shall be published as set out in point 3.2(2) of Annex I to</w:t>
            </w:r>
            <w:r w:rsidR="00076604" w:rsidRPr="00E84D74">
              <w:rPr>
                <w:sz w:val="18"/>
                <w:szCs w:val="18"/>
              </w:rPr>
              <w:t xml:space="preserve"> </w:t>
            </w:r>
            <w:r w:rsidRPr="00E84D74">
              <w:rPr>
                <w:sz w:val="18"/>
                <w:szCs w:val="18"/>
              </w:rPr>
              <w:t>Regulation (EC) No 715/2009.</w:t>
            </w:r>
          </w:p>
        </w:tc>
      </w:tr>
      <w:tr w:rsidR="00D146AC" w:rsidRPr="00B3313F" w:rsidTr="00FC3840">
        <w:trPr>
          <w:trHeight w:val="1240"/>
        </w:trPr>
        <w:tc>
          <w:tcPr>
            <w:tcW w:w="5245" w:type="dxa"/>
          </w:tcPr>
          <w:p w:rsidR="00D146AC" w:rsidRPr="00F377C0" w:rsidRDefault="00D146AC" w:rsidP="00DA725A">
            <w:pPr>
              <w:shd w:val="clear" w:color="auto" w:fill="FFFFFF"/>
              <w:jc w:val="both"/>
              <w:rPr>
                <w:i/>
                <w:iCs/>
                <w:sz w:val="18"/>
                <w:szCs w:val="18"/>
                <w:lang w:val="it-IT"/>
              </w:rPr>
            </w:pPr>
            <w:r w:rsidRPr="00F377C0">
              <w:rPr>
                <w:i/>
                <w:iCs/>
                <w:sz w:val="18"/>
                <w:szCs w:val="18"/>
                <w:lang w:val="it-IT"/>
              </w:rPr>
              <w:lastRenderedPageBreak/>
              <w:t>Articolul 31</w:t>
            </w:r>
          </w:p>
          <w:p w:rsidR="00D146AC" w:rsidRPr="00F377C0" w:rsidRDefault="00D146AC" w:rsidP="00DA725A">
            <w:pPr>
              <w:shd w:val="clear" w:color="auto" w:fill="FFFFFF"/>
              <w:jc w:val="both"/>
              <w:rPr>
                <w:b/>
                <w:bCs/>
                <w:sz w:val="18"/>
                <w:szCs w:val="18"/>
                <w:lang w:val="it-IT"/>
              </w:rPr>
            </w:pPr>
            <w:r w:rsidRPr="00F377C0">
              <w:rPr>
                <w:b/>
                <w:bCs/>
                <w:sz w:val="18"/>
                <w:szCs w:val="18"/>
                <w:lang w:val="it-IT"/>
              </w:rPr>
              <w:t>Forma publicării</w:t>
            </w:r>
          </w:p>
          <w:p w:rsidR="0029184E" w:rsidRDefault="00D146AC" w:rsidP="0029184E">
            <w:pPr>
              <w:shd w:val="clear" w:color="auto" w:fill="FFFFFF"/>
              <w:jc w:val="both"/>
              <w:rPr>
                <w:sz w:val="18"/>
                <w:szCs w:val="18"/>
                <w:lang w:val="it-IT"/>
              </w:rPr>
            </w:pPr>
            <w:r w:rsidRPr="00F377C0">
              <w:rPr>
                <w:sz w:val="18"/>
                <w:szCs w:val="18"/>
                <w:lang w:val="it-IT"/>
              </w:rPr>
              <w:t>(1)   Informațiile prevăzute la articolele 29 și 30 se publică în conformitate cu cerințele articolului 32, prin intermediul unui link, inserat pe platforma menționată la punctul 3.1.1 subpunctul 1 litera (h) din anexa I la Regulamentul (CE) nr. 715/2009, către site-ul web al entității respective.</w:t>
            </w:r>
          </w:p>
          <w:p w:rsidR="0029184E" w:rsidRDefault="0029184E" w:rsidP="0029184E">
            <w:pPr>
              <w:shd w:val="clear" w:color="auto" w:fill="FFFFFF"/>
              <w:jc w:val="both"/>
              <w:rPr>
                <w:sz w:val="18"/>
                <w:szCs w:val="18"/>
                <w:lang w:val="it-IT"/>
              </w:rPr>
            </w:pPr>
          </w:p>
          <w:p w:rsidR="0029184E" w:rsidRDefault="0029184E" w:rsidP="0029184E">
            <w:pPr>
              <w:shd w:val="clear" w:color="auto" w:fill="FFFFFF"/>
              <w:jc w:val="both"/>
              <w:rPr>
                <w:sz w:val="18"/>
                <w:szCs w:val="18"/>
                <w:lang w:val="it-IT"/>
              </w:rPr>
            </w:pPr>
          </w:p>
          <w:p w:rsidR="00D146AC" w:rsidRPr="0029184E" w:rsidRDefault="00D146AC" w:rsidP="0029184E">
            <w:pPr>
              <w:shd w:val="clear" w:color="auto" w:fill="FFFFFF"/>
              <w:jc w:val="both"/>
              <w:rPr>
                <w:sz w:val="18"/>
                <w:szCs w:val="18"/>
                <w:lang w:val="it-IT"/>
              </w:rPr>
            </w:pPr>
            <w:r w:rsidRPr="00F377C0">
              <w:rPr>
                <w:sz w:val="18"/>
                <w:szCs w:val="18"/>
                <w:lang w:val="it-IT"/>
              </w:rPr>
              <w:t xml:space="preserve">Aceste informații trebuie să fie accesibile publicului în mod gratuit și fără nicio limitare în ceea ce privește utilizarea lor. </w:t>
            </w:r>
            <w:r w:rsidRPr="0029184E">
              <w:rPr>
                <w:sz w:val="18"/>
                <w:szCs w:val="18"/>
                <w:lang w:val="it-IT"/>
              </w:rPr>
              <w:t>Informațiile se publică: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0"/>
              <w:gridCol w:w="4599"/>
            </w:tblGrid>
            <w:tr w:rsidR="00D146AC" w:rsidRPr="00C27D66" w:rsidTr="00B92DDC">
              <w:tc>
                <w:tcPr>
                  <w:tcW w:w="786" w:type="dxa"/>
                  <w:shd w:val="clear" w:color="auto" w:fill="FFFFFF"/>
                  <w:hideMark/>
                </w:tcPr>
                <w:p w:rsidR="00D146AC" w:rsidRPr="0029184E" w:rsidRDefault="00D146AC" w:rsidP="00DA725A">
                  <w:pPr>
                    <w:jc w:val="both"/>
                    <w:rPr>
                      <w:sz w:val="18"/>
                      <w:szCs w:val="18"/>
                      <w:lang w:val="it-IT"/>
                    </w:rPr>
                  </w:pPr>
                  <w:r w:rsidRPr="0029184E">
                    <w:rPr>
                      <w:sz w:val="18"/>
                      <w:szCs w:val="18"/>
                      <w:lang w:val="it-IT"/>
                    </w:rPr>
                    <w:t>(a)</w:t>
                  </w:r>
                </w:p>
              </w:tc>
              <w:tc>
                <w:tcPr>
                  <w:tcW w:w="8569"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într-un format ușor de utilizat;</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40"/>
              <w:gridCol w:w="4789"/>
            </w:tblGrid>
            <w:tr w:rsidR="00D146AC" w:rsidRPr="00C27D66" w:rsidTr="00B92DDC">
              <w:tc>
                <w:tcPr>
                  <w:tcW w:w="430" w:type="dxa"/>
                  <w:shd w:val="clear" w:color="auto" w:fill="FFFFFF"/>
                  <w:hideMark/>
                </w:tcPr>
                <w:p w:rsidR="00D146AC" w:rsidRPr="00F377C0" w:rsidRDefault="00D146AC" w:rsidP="00DA725A">
                  <w:pPr>
                    <w:jc w:val="both"/>
                    <w:rPr>
                      <w:sz w:val="18"/>
                      <w:szCs w:val="18"/>
                    </w:rPr>
                  </w:pPr>
                  <w:r w:rsidRPr="00F377C0">
                    <w:rPr>
                      <w:sz w:val="18"/>
                      <w:szCs w:val="18"/>
                    </w:rPr>
                    <w:t>(b)</w:t>
                  </w:r>
                </w:p>
              </w:tc>
              <w:tc>
                <w:tcPr>
                  <w:tcW w:w="8925"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într-un mod clar, ușor accesibil și pe bază nediscriminatorie;</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53"/>
              <w:gridCol w:w="4676"/>
            </w:tblGrid>
            <w:tr w:rsidR="00D146AC" w:rsidRPr="00C27D66" w:rsidTr="00B92DDC">
              <w:tc>
                <w:tcPr>
                  <w:tcW w:w="642" w:type="dxa"/>
                  <w:shd w:val="clear" w:color="auto" w:fill="FFFFFF"/>
                  <w:hideMark/>
                </w:tcPr>
                <w:p w:rsidR="00D146AC" w:rsidRPr="00F377C0" w:rsidRDefault="00D146AC" w:rsidP="00DA725A">
                  <w:pPr>
                    <w:jc w:val="both"/>
                    <w:rPr>
                      <w:sz w:val="18"/>
                      <w:szCs w:val="18"/>
                    </w:rPr>
                  </w:pPr>
                  <w:r w:rsidRPr="00F377C0">
                    <w:rPr>
                      <w:sz w:val="18"/>
                      <w:szCs w:val="18"/>
                    </w:rPr>
                    <w:t>(c)</w:t>
                  </w:r>
                </w:p>
              </w:tc>
              <w:tc>
                <w:tcPr>
                  <w:tcW w:w="8713"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într-un format care poate fi descărcat;</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F377C0" w:rsidTr="00B92DDC">
              <w:tc>
                <w:tcPr>
                  <w:tcW w:w="210" w:type="dxa"/>
                  <w:shd w:val="clear" w:color="auto" w:fill="FFFFFF"/>
                  <w:hideMark/>
                </w:tcPr>
                <w:p w:rsidR="00D146AC" w:rsidRPr="00F377C0" w:rsidRDefault="00D146AC" w:rsidP="00DA725A">
                  <w:pPr>
                    <w:jc w:val="both"/>
                    <w:rPr>
                      <w:sz w:val="18"/>
                      <w:szCs w:val="18"/>
                    </w:rPr>
                  </w:pPr>
                  <w:r w:rsidRPr="00F377C0">
                    <w:rPr>
                      <w:sz w:val="18"/>
                      <w:szCs w:val="18"/>
                    </w:rPr>
                    <w:t>(d)</w:t>
                  </w:r>
                </w:p>
              </w:tc>
              <w:tc>
                <w:tcPr>
                  <w:tcW w:w="9145" w:type="dxa"/>
                  <w:shd w:val="clear" w:color="auto" w:fill="FFFFFF"/>
                  <w:hideMark/>
                </w:tcPr>
                <w:p w:rsidR="00D146AC" w:rsidRDefault="00D146AC" w:rsidP="00DA725A">
                  <w:pPr>
                    <w:jc w:val="both"/>
                    <w:rPr>
                      <w:sz w:val="18"/>
                      <w:szCs w:val="18"/>
                    </w:rPr>
                  </w:pPr>
                  <w:r w:rsidRPr="00F377C0">
                    <w:rPr>
                      <w:sz w:val="18"/>
                      <w:szCs w:val="18"/>
                    </w:rPr>
                    <w:t>într-una sau mai multe dintre limbile oficiale ale statului membru în cauză și, cu excepția cazului în care una dintre limbile oficiale ale respectivului stat membru este engleza, în limba engleză, în măsura în care acest lucru este posibil.</w:t>
                  </w:r>
                </w:p>
                <w:p w:rsidR="0029184E" w:rsidRPr="00F377C0" w:rsidRDefault="0029184E" w:rsidP="00DA725A">
                  <w:pPr>
                    <w:jc w:val="both"/>
                    <w:rPr>
                      <w:sz w:val="18"/>
                      <w:szCs w:val="18"/>
                    </w:rPr>
                  </w:pPr>
                </w:p>
              </w:tc>
            </w:tr>
          </w:tbl>
          <w:p w:rsidR="00D146AC" w:rsidRPr="00F377C0" w:rsidRDefault="00D146AC" w:rsidP="00DA725A">
            <w:pPr>
              <w:shd w:val="clear" w:color="auto" w:fill="FFFFFF"/>
              <w:jc w:val="both"/>
              <w:rPr>
                <w:sz w:val="18"/>
                <w:szCs w:val="18"/>
                <w:lang w:val="it-IT"/>
              </w:rPr>
            </w:pPr>
            <w:r w:rsidRPr="00F377C0">
              <w:rPr>
                <w:sz w:val="18"/>
                <w:szCs w:val="18"/>
                <w:lang w:val="it-IT"/>
              </w:rPr>
              <w:t>(2)   Următoarele informații cu privire la punctele de interconectare trebuie publicate pe platforma menționată la punctul 3.1.1 subpunctul 1 litera (h) din anexa I la Regulamentul (CE) nr. 715/2009:</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F377C0" w:rsidRDefault="00D146AC" w:rsidP="00DA725A">
                  <w:pPr>
                    <w:jc w:val="both"/>
                    <w:rPr>
                      <w:sz w:val="18"/>
                      <w:szCs w:val="18"/>
                    </w:rPr>
                  </w:pPr>
                  <w:r w:rsidRPr="00F377C0">
                    <w:rPr>
                      <w:sz w:val="18"/>
                      <w:szCs w:val="18"/>
                    </w:rPr>
                    <w:t>(a)</w:t>
                  </w:r>
                </w:p>
              </w:tc>
              <w:tc>
                <w:tcPr>
                  <w:tcW w:w="9155" w:type="dxa"/>
                  <w:shd w:val="clear" w:color="auto" w:fill="FFFFFF"/>
                  <w:hideMark/>
                </w:tcPr>
                <w:p w:rsidR="00D146AC" w:rsidRPr="00F377C0" w:rsidRDefault="00D146AC" w:rsidP="00DA725A">
                  <w:pPr>
                    <w:jc w:val="both"/>
                    <w:rPr>
                      <w:sz w:val="18"/>
                      <w:szCs w:val="18"/>
                      <w:lang w:val="it-IT"/>
                    </w:rPr>
                  </w:pPr>
                  <w:r w:rsidRPr="00F377C0">
                    <w:rPr>
                      <w:sz w:val="18"/>
                      <w:szCs w:val="18"/>
                      <w:lang w:val="it-IT"/>
                    </w:rPr>
                    <w:t>simultan cu momentul stabilit la articolul 29, prețurile de rezervă pentru produsele de capacitate standard pentru capacitate fermă și pentru produsele de capacitate standard pentru capacitate întreruptibilă;</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F377C0" w:rsidTr="00B92DDC">
              <w:tc>
                <w:tcPr>
                  <w:tcW w:w="210" w:type="dxa"/>
                  <w:shd w:val="clear" w:color="auto" w:fill="FFFFFF"/>
                  <w:hideMark/>
                </w:tcPr>
                <w:p w:rsidR="00D146AC" w:rsidRPr="00F377C0" w:rsidRDefault="00D146AC" w:rsidP="00DA725A">
                  <w:pPr>
                    <w:jc w:val="both"/>
                    <w:rPr>
                      <w:sz w:val="18"/>
                      <w:szCs w:val="18"/>
                    </w:rPr>
                  </w:pPr>
                  <w:r w:rsidRPr="00F377C0">
                    <w:rPr>
                      <w:sz w:val="18"/>
                      <w:szCs w:val="18"/>
                    </w:rPr>
                    <w:t>(b)</w:t>
                  </w:r>
                </w:p>
              </w:tc>
              <w:tc>
                <w:tcPr>
                  <w:tcW w:w="9145" w:type="dxa"/>
                  <w:shd w:val="clear" w:color="auto" w:fill="FFFFFF"/>
                  <w:hideMark/>
                </w:tcPr>
                <w:p w:rsidR="00D146AC" w:rsidRDefault="00D146AC" w:rsidP="00DA725A">
                  <w:pPr>
                    <w:jc w:val="both"/>
                    <w:rPr>
                      <w:sz w:val="18"/>
                      <w:szCs w:val="18"/>
                    </w:rPr>
                  </w:pPr>
                  <w:r w:rsidRPr="00F377C0">
                    <w:rPr>
                      <w:sz w:val="18"/>
                      <w:szCs w:val="18"/>
                    </w:rPr>
                    <w:t>simultan cu momentul stabilit la articolul 30, taxa bazată pe flux menționată la articolul 4 alineatul (3) litera (a), în cazul în care această taxă este aplicată.</w:t>
                  </w:r>
                </w:p>
                <w:p w:rsidR="00E30C09" w:rsidRDefault="00E30C09" w:rsidP="00DA725A">
                  <w:pPr>
                    <w:jc w:val="both"/>
                    <w:rPr>
                      <w:sz w:val="18"/>
                      <w:szCs w:val="18"/>
                    </w:rPr>
                  </w:pPr>
                </w:p>
                <w:p w:rsidR="00E30C09" w:rsidRDefault="00E30C09" w:rsidP="00DA725A">
                  <w:pPr>
                    <w:jc w:val="both"/>
                    <w:rPr>
                      <w:sz w:val="18"/>
                      <w:szCs w:val="18"/>
                    </w:rPr>
                  </w:pPr>
                </w:p>
                <w:p w:rsidR="00E30C09" w:rsidRPr="00F377C0" w:rsidRDefault="00E30C09" w:rsidP="00DA725A">
                  <w:pPr>
                    <w:jc w:val="both"/>
                    <w:rPr>
                      <w:sz w:val="18"/>
                      <w:szCs w:val="18"/>
                    </w:rPr>
                  </w:pPr>
                </w:p>
              </w:tc>
            </w:tr>
          </w:tbl>
          <w:p w:rsidR="00D146AC" w:rsidRPr="00F377C0" w:rsidRDefault="00D146AC" w:rsidP="00DA725A">
            <w:pPr>
              <w:shd w:val="clear" w:color="auto" w:fill="FFFFFF"/>
              <w:jc w:val="both"/>
              <w:rPr>
                <w:sz w:val="18"/>
                <w:szCs w:val="18"/>
                <w:lang w:val="it-IT"/>
              </w:rPr>
            </w:pPr>
            <w:r w:rsidRPr="00F377C0">
              <w:rPr>
                <w:sz w:val="18"/>
                <w:szCs w:val="18"/>
                <w:lang w:val="it-IT"/>
              </w:rPr>
              <w:t>(3)   Informațiile menționate la alineatul (2) se publică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3"/>
              <w:gridCol w:w="4736"/>
            </w:tblGrid>
            <w:tr w:rsidR="00D146AC" w:rsidRPr="00C27D66" w:rsidTr="00B92DDC">
              <w:tc>
                <w:tcPr>
                  <w:tcW w:w="529" w:type="dxa"/>
                  <w:shd w:val="clear" w:color="auto" w:fill="FFFFFF"/>
                  <w:hideMark/>
                </w:tcPr>
                <w:p w:rsidR="00D146AC" w:rsidRPr="00F377C0" w:rsidRDefault="00D146AC" w:rsidP="00DA725A">
                  <w:pPr>
                    <w:jc w:val="both"/>
                    <w:rPr>
                      <w:sz w:val="18"/>
                      <w:szCs w:val="18"/>
                    </w:rPr>
                  </w:pPr>
                  <w:r w:rsidRPr="00F377C0">
                    <w:rPr>
                      <w:sz w:val="18"/>
                      <w:szCs w:val="18"/>
                    </w:rPr>
                    <w:t>(a)</w:t>
                  </w:r>
                </w:p>
              </w:tc>
              <w:tc>
                <w:tcPr>
                  <w:tcW w:w="8826"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 conformitate cu alineatul (1) literele (a)-(c);</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5"/>
              <w:gridCol w:w="4294"/>
            </w:tblGrid>
            <w:tr w:rsidR="00D146AC" w:rsidRPr="00F377C0" w:rsidTr="00B92DDC">
              <w:tc>
                <w:tcPr>
                  <w:tcW w:w="1355" w:type="dxa"/>
                  <w:shd w:val="clear" w:color="auto" w:fill="FFFFFF"/>
                  <w:hideMark/>
                </w:tcPr>
                <w:p w:rsidR="00D146AC" w:rsidRPr="00F377C0" w:rsidRDefault="00D146AC" w:rsidP="00DA725A">
                  <w:pPr>
                    <w:jc w:val="both"/>
                    <w:rPr>
                      <w:sz w:val="18"/>
                      <w:szCs w:val="18"/>
                    </w:rPr>
                  </w:pPr>
                  <w:r w:rsidRPr="00F377C0">
                    <w:rPr>
                      <w:sz w:val="18"/>
                      <w:szCs w:val="18"/>
                    </w:rPr>
                    <w:t>(b)</w:t>
                  </w:r>
                </w:p>
              </w:tc>
              <w:tc>
                <w:tcPr>
                  <w:tcW w:w="8000" w:type="dxa"/>
                  <w:shd w:val="clear" w:color="auto" w:fill="FFFFFF"/>
                  <w:hideMark/>
                </w:tcPr>
                <w:p w:rsidR="00D146AC" w:rsidRPr="00F377C0" w:rsidRDefault="00D146AC" w:rsidP="00DA725A">
                  <w:pPr>
                    <w:jc w:val="both"/>
                    <w:rPr>
                      <w:sz w:val="18"/>
                      <w:szCs w:val="18"/>
                    </w:rPr>
                  </w:pPr>
                  <w:r w:rsidRPr="00F377C0">
                    <w:rPr>
                      <w:sz w:val="18"/>
                      <w:szCs w:val="18"/>
                    </w:rPr>
                    <w:t>în limba engleză;</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F377C0" w:rsidRDefault="00D146AC" w:rsidP="00DA725A">
                  <w:pPr>
                    <w:jc w:val="both"/>
                    <w:rPr>
                      <w:sz w:val="18"/>
                      <w:szCs w:val="18"/>
                    </w:rPr>
                  </w:pPr>
                  <w:r w:rsidRPr="00F377C0">
                    <w:rPr>
                      <w:sz w:val="18"/>
                      <w:szCs w:val="18"/>
                    </w:rPr>
                    <w:t>(c)</w:t>
                  </w:r>
                </w:p>
              </w:tc>
              <w:tc>
                <w:tcPr>
                  <w:tcW w:w="9296" w:type="dxa"/>
                  <w:shd w:val="clear" w:color="auto" w:fill="FFFFFF"/>
                  <w:hideMark/>
                </w:tcPr>
                <w:p w:rsidR="00D146AC" w:rsidRPr="00F377C0" w:rsidRDefault="00D146AC" w:rsidP="00DA725A">
                  <w:pPr>
                    <w:jc w:val="both"/>
                    <w:rPr>
                      <w:sz w:val="18"/>
                      <w:szCs w:val="18"/>
                    </w:rPr>
                  </w:pPr>
                  <w:r w:rsidRPr="00F377C0">
                    <w:rPr>
                      <w:sz w:val="18"/>
                      <w:szCs w:val="18"/>
                    </w:rPr>
                    <w:t>într-un tabel standardizat </w:t>
                  </w:r>
                  <w:r w:rsidRPr="00F377C0">
                    <w:rPr>
                      <w:i/>
                      <w:iCs/>
                      <w:sz w:val="18"/>
                      <w:szCs w:val="18"/>
                    </w:rPr>
                    <w:t>care trebuie să includă cel puțin următoarele informații:</w:t>
                  </w:r>
                </w:p>
                <w:tbl>
                  <w:tblPr>
                    <w:tblW w:w="5000" w:type="pct"/>
                    <w:tblLayout w:type="fixed"/>
                    <w:tblCellMar>
                      <w:left w:w="0" w:type="dxa"/>
                      <w:right w:w="0" w:type="dxa"/>
                    </w:tblCellMar>
                    <w:tblLook w:val="04A0" w:firstRow="1" w:lastRow="0" w:firstColumn="1" w:lastColumn="0" w:noHBand="0" w:noVBand="1"/>
                  </w:tblPr>
                  <w:tblGrid>
                    <w:gridCol w:w="424"/>
                    <w:gridCol w:w="4564"/>
                  </w:tblGrid>
                  <w:tr w:rsidR="00D146AC" w:rsidRPr="00F377C0" w:rsidTr="00B92DDC">
                    <w:tc>
                      <w:tcPr>
                        <w:tcW w:w="775" w:type="dxa"/>
                        <w:shd w:val="clear" w:color="auto" w:fill="auto"/>
                        <w:hideMark/>
                      </w:tcPr>
                      <w:p w:rsidR="00D146AC" w:rsidRPr="00F377C0" w:rsidRDefault="00D146AC" w:rsidP="00DA725A">
                        <w:pPr>
                          <w:jc w:val="both"/>
                          <w:rPr>
                            <w:sz w:val="18"/>
                            <w:szCs w:val="18"/>
                          </w:rPr>
                        </w:pPr>
                        <w:r w:rsidRPr="00F377C0">
                          <w:rPr>
                            <w:sz w:val="18"/>
                            <w:szCs w:val="18"/>
                          </w:rPr>
                          <w:t>(i)</w:t>
                        </w:r>
                      </w:p>
                    </w:tc>
                    <w:tc>
                      <w:tcPr>
                        <w:tcW w:w="8521" w:type="dxa"/>
                        <w:shd w:val="clear" w:color="auto" w:fill="auto"/>
                        <w:hideMark/>
                      </w:tcPr>
                      <w:p w:rsidR="00D146AC" w:rsidRPr="00F377C0" w:rsidRDefault="00D146AC" w:rsidP="00DA725A">
                        <w:pPr>
                          <w:jc w:val="both"/>
                          <w:rPr>
                            <w:sz w:val="18"/>
                            <w:szCs w:val="18"/>
                          </w:rPr>
                        </w:pPr>
                        <w:r w:rsidRPr="00F377C0">
                          <w:rPr>
                            <w:sz w:val="18"/>
                            <w:szCs w:val="18"/>
                          </w:rPr>
                          <w:t>punctul de interconectare;</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52"/>
                    <w:gridCol w:w="4436"/>
                  </w:tblGrid>
                  <w:tr w:rsidR="00D146AC" w:rsidRPr="00F377C0" w:rsidTr="00B92DDC">
                    <w:tc>
                      <w:tcPr>
                        <w:tcW w:w="1015" w:type="dxa"/>
                        <w:shd w:val="clear" w:color="auto" w:fill="auto"/>
                        <w:hideMark/>
                      </w:tcPr>
                      <w:p w:rsidR="00D146AC" w:rsidRPr="00F377C0" w:rsidRDefault="00D146AC" w:rsidP="00DA725A">
                        <w:pPr>
                          <w:jc w:val="both"/>
                          <w:rPr>
                            <w:sz w:val="18"/>
                            <w:szCs w:val="18"/>
                          </w:rPr>
                        </w:pPr>
                        <w:r w:rsidRPr="00F377C0">
                          <w:rPr>
                            <w:sz w:val="18"/>
                            <w:szCs w:val="18"/>
                          </w:rPr>
                          <w:t>(ii)</w:t>
                        </w:r>
                      </w:p>
                    </w:tc>
                    <w:tc>
                      <w:tcPr>
                        <w:tcW w:w="8281" w:type="dxa"/>
                        <w:shd w:val="clear" w:color="auto" w:fill="auto"/>
                        <w:hideMark/>
                      </w:tcPr>
                      <w:p w:rsidR="00D146AC" w:rsidRPr="00F377C0" w:rsidRDefault="00D146AC" w:rsidP="00DA725A">
                        <w:pPr>
                          <w:jc w:val="both"/>
                          <w:rPr>
                            <w:sz w:val="18"/>
                            <w:szCs w:val="18"/>
                          </w:rPr>
                        </w:pPr>
                        <w:r w:rsidRPr="00F377C0">
                          <w:rPr>
                            <w:sz w:val="18"/>
                            <w:szCs w:val="18"/>
                          </w:rPr>
                          <w:t>direcția fluxului de gaze;</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12"/>
                    <w:gridCol w:w="4676"/>
                  </w:tblGrid>
                  <w:tr w:rsidR="00D146AC" w:rsidRPr="00F377C0" w:rsidTr="00B92DDC">
                    <w:tc>
                      <w:tcPr>
                        <w:tcW w:w="566" w:type="dxa"/>
                        <w:shd w:val="clear" w:color="auto" w:fill="auto"/>
                        <w:hideMark/>
                      </w:tcPr>
                      <w:p w:rsidR="00D146AC" w:rsidRPr="00F377C0" w:rsidRDefault="00D146AC" w:rsidP="00DA725A">
                        <w:pPr>
                          <w:jc w:val="both"/>
                          <w:rPr>
                            <w:sz w:val="18"/>
                            <w:szCs w:val="18"/>
                          </w:rPr>
                        </w:pPr>
                        <w:r w:rsidRPr="00F377C0">
                          <w:rPr>
                            <w:sz w:val="18"/>
                            <w:szCs w:val="18"/>
                          </w:rPr>
                          <w:t>(iii)</w:t>
                        </w:r>
                      </w:p>
                    </w:tc>
                    <w:tc>
                      <w:tcPr>
                        <w:tcW w:w="8730" w:type="dxa"/>
                        <w:shd w:val="clear" w:color="auto" w:fill="auto"/>
                        <w:hideMark/>
                      </w:tcPr>
                      <w:p w:rsidR="00D146AC" w:rsidRPr="00F377C0" w:rsidRDefault="00D146AC" w:rsidP="00DA725A">
                        <w:pPr>
                          <w:jc w:val="both"/>
                          <w:rPr>
                            <w:sz w:val="18"/>
                            <w:szCs w:val="18"/>
                          </w:rPr>
                        </w:pPr>
                        <w:r w:rsidRPr="00F377C0">
                          <w:rPr>
                            <w:sz w:val="18"/>
                            <w:szCs w:val="18"/>
                          </w:rPr>
                          <w:t>denumirea operatorilor relevanți de transport și de sistem;</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86"/>
                    <w:gridCol w:w="4602"/>
                  </w:tblGrid>
                  <w:tr w:rsidR="00D146AC" w:rsidRPr="00C27D66" w:rsidTr="00B92DDC">
                    <w:tc>
                      <w:tcPr>
                        <w:tcW w:w="704" w:type="dxa"/>
                        <w:shd w:val="clear" w:color="auto" w:fill="auto"/>
                        <w:hideMark/>
                      </w:tcPr>
                      <w:p w:rsidR="00D146AC" w:rsidRPr="00F377C0" w:rsidRDefault="00D146AC" w:rsidP="00DA725A">
                        <w:pPr>
                          <w:jc w:val="both"/>
                          <w:rPr>
                            <w:sz w:val="18"/>
                            <w:szCs w:val="18"/>
                          </w:rPr>
                        </w:pPr>
                        <w:r w:rsidRPr="00F377C0">
                          <w:rPr>
                            <w:sz w:val="18"/>
                            <w:szCs w:val="18"/>
                          </w:rPr>
                          <w:t>(iv)</w:t>
                        </w:r>
                      </w:p>
                    </w:tc>
                    <w:tc>
                      <w:tcPr>
                        <w:tcW w:w="8592" w:type="dxa"/>
                        <w:shd w:val="clear" w:color="auto" w:fill="auto"/>
                        <w:hideMark/>
                      </w:tcPr>
                      <w:p w:rsidR="00D146AC" w:rsidRPr="00F377C0" w:rsidRDefault="00D146AC" w:rsidP="00DA725A">
                        <w:pPr>
                          <w:jc w:val="both"/>
                          <w:rPr>
                            <w:sz w:val="18"/>
                            <w:szCs w:val="18"/>
                            <w:lang w:val="it-IT"/>
                          </w:rPr>
                        </w:pPr>
                        <w:r w:rsidRPr="00F377C0">
                          <w:rPr>
                            <w:sz w:val="18"/>
                            <w:szCs w:val="18"/>
                            <w:lang w:val="it-IT"/>
                          </w:rPr>
                          <w:t>ora de începere și de încheiere a produsului;</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14"/>
                    <w:gridCol w:w="4674"/>
                  </w:tblGrid>
                  <w:tr w:rsidR="00D146AC" w:rsidRPr="00C27D66" w:rsidTr="00B92DDC">
                    <w:tc>
                      <w:tcPr>
                        <w:tcW w:w="570" w:type="dxa"/>
                        <w:shd w:val="clear" w:color="auto" w:fill="auto"/>
                        <w:hideMark/>
                      </w:tcPr>
                      <w:p w:rsidR="00D146AC" w:rsidRPr="00F377C0" w:rsidRDefault="00D146AC" w:rsidP="00DA725A">
                        <w:pPr>
                          <w:jc w:val="both"/>
                          <w:rPr>
                            <w:sz w:val="18"/>
                            <w:szCs w:val="18"/>
                          </w:rPr>
                        </w:pPr>
                        <w:r w:rsidRPr="00F377C0">
                          <w:rPr>
                            <w:sz w:val="18"/>
                            <w:szCs w:val="18"/>
                          </w:rPr>
                          <w:t>(v)</w:t>
                        </w:r>
                      </w:p>
                    </w:tc>
                    <w:tc>
                      <w:tcPr>
                        <w:tcW w:w="8726" w:type="dxa"/>
                        <w:shd w:val="clear" w:color="auto" w:fill="auto"/>
                        <w:hideMark/>
                      </w:tcPr>
                      <w:p w:rsidR="00D146AC" w:rsidRPr="00F377C0" w:rsidRDefault="00D146AC" w:rsidP="00DA725A">
                        <w:pPr>
                          <w:jc w:val="both"/>
                          <w:rPr>
                            <w:sz w:val="18"/>
                            <w:szCs w:val="18"/>
                            <w:lang w:val="it-IT"/>
                          </w:rPr>
                        </w:pPr>
                        <w:r w:rsidRPr="00F377C0">
                          <w:rPr>
                            <w:sz w:val="18"/>
                            <w:szCs w:val="18"/>
                            <w:lang w:val="it-IT"/>
                          </w:rPr>
                          <w:t>tipul de capacitate (fermă sau întreruptibilă);</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97"/>
                    <w:gridCol w:w="4591"/>
                  </w:tblGrid>
                  <w:tr w:rsidR="00D146AC" w:rsidRPr="00C27D66" w:rsidTr="00B92DDC">
                    <w:tc>
                      <w:tcPr>
                        <w:tcW w:w="726" w:type="dxa"/>
                        <w:shd w:val="clear" w:color="auto" w:fill="auto"/>
                        <w:hideMark/>
                      </w:tcPr>
                      <w:p w:rsidR="00D146AC" w:rsidRPr="00F377C0" w:rsidRDefault="00D146AC" w:rsidP="00DA725A">
                        <w:pPr>
                          <w:jc w:val="both"/>
                          <w:rPr>
                            <w:sz w:val="18"/>
                            <w:szCs w:val="18"/>
                          </w:rPr>
                        </w:pPr>
                        <w:r w:rsidRPr="00F377C0">
                          <w:rPr>
                            <w:sz w:val="18"/>
                            <w:szCs w:val="18"/>
                          </w:rPr>
                          <w:t>(vi)</w:t>
                        </w:r>
                      </w:p>
                    </w:tc>
                    <w:tc>
                      <w:tcPr>
                        <w:tcW w:w="8570" w:type="dxa"/>
                        <w:shd w:val="clear" w:color="auto" w:fill="auto"/>
                        <w:hideMark/>
                      </w:tcPr>
                      <w:p w:rsidR="00D146AC" w:rsidRPr="00F377C0" w:rsidRDefault="00D146AC" w:rsidP="00DA725A">
                        <w:pPr>
                          <w:jc w:val="both"/>
                          <w:rPr>
                            <w:sz w:val="18"/>
                            <w:szCs w:val="18"/>
                            <w:lang w:val="it-IT"/>
                          </w:rPr>
                        </w:pPr>
                        <w:r w:rsidRPr="00F377C0">
                          <w:rPr>
                            <w:sz w:val="18"/>
                            <w:szCs w:val="18"/>
                            <w:lang w:val="it-IT"/>
                          </w:rPr>
                          <w:t>indicele produsului de capacitate standard;</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7"/>
                    <w:gridCol w:w="4931"/>
                  </w:tblGrid>
                  <w:tr w:rsidR="00D146AC" w:rsidRPr="00C27D66" w:rsidTr="00B92DDC">
                    <w:tc>
                      <w:tcPr>
                        <w:tcW w:w="90" w:type="dxa"/>
                        <w:shd w:val="clear" w:color="auto" w:fill="auto"/>
                        <w:hideMark/>
                      </w:tcPr>
                      <w:p w:rsidR="00D146AC" w:rsidRPr="00F377C0" w:rsidRDefault="00D146AC" w:rsidP="00DA725A">
                        <w:pPr>
                          <w:jc w:val="both"/>
                          <w:rPr>
                            <w:sz w:val="18"/>
                            <w:szCs w:val="18"/>
                          </w:rPr>
                        </w:pPr>
                        <w:r w:rsidRPr="00F377C0">
                          <w:rPr>
                            <w:sz w:val="18"/>
                            <w:szCs w:val="18"/>
                          </w:rPr>
                          <w:t>(v</w:t>
                        </w:r>
                        <w:r w:rsidRPr="00F377C0">
                          <w:rPr>
                            <w:sz w:val="18"/>
                            <w:szCs w:val="18"/>
                          </w:rPr>
                          <w:lastRenderedPageBreak/>
                          <w:t>ii)</w:t>
                        </w:r>
                      </w:p>
                    </w:tc>
                    <w:tc>
                      <w:tcPr>
                        <w:tcW w:w="9206" w:type="dxa"/>
                        <w:shd w:val="clear" w:color="auto" w:fill="auto"/>
                        <w:hideMark/>
                      </w:tcPr>
                      <w:p w:rsidR="00D146AC" w:rsidRPr="00F377C0" w:rsidRDefault="00D146AC" w:rsidP="00DA725A">
                        <w:pPr>
                          <w:jc w:val="both"/>
                          <w:rPr>
                            <w:sz w:val="18"/>
                            <w:szCs w:val="18"/>
                            <w:lang w:val="it-IT"/>
                          </w:rPr>
                        </w:pPr>
                        <w:r w:rsidRPr="00F377C0">
                          <w:rPr>
                            <w:sz w:val="18"/>
                            <w:szCs w:val="18"/>
                            <w:lang w:val="it-IT"/>
                          </w:rPr>
                          <w:lastRenderedPageBreak/>
                          <w:t>tariful aplicabil per kWh/h și per kWh/zi, în moneda locală și în euro, luând în considerare următoarele elemente:</w:t>
                        </w:r>
                      </w:p>
                      <w:tbl>
                        <w:tblPr>
                          <w:tblW w:w="5000" w:type="pct"/>
                          <w:tblLayout w:type="fixed"/>
                          <w:tblCellMar>
                            <w:left w:w="0" w:type="dxa"/>
                            <w:right w:w="0" w:type="dxa"/>
                          </w:tblCellMar>
                          <w:tblLook w:val="04A0" w:firstRow="1" w:lastRow="0" w:firstColumn="1" w:lastColumn="0" w:noHBand="0" w:noVBand="1"/>
                        </w:tblPr>
                        <w:tblGrid>
                          <w:gridCol w:w="81"/>
                          <w:gridCol w:w="4850"/>
                        </w:tblGrid>
                        <w:tr w:rsidR="00D146AC" w:rsidRPr="00C27D66" w:rsidTr="00B92DDC">
                          <w:tc>
                            <w:tcPr>
                              <w:tcW w:w="135" w:type="dxa"/>
                              <w:shd w:val="clear" w:color="auto" w:fill="auto"/>
                              <w:hideMark/>
                            </w:tcPr>
                            <w:p w:rsidR="00D146AC" w:rsidRPr="00F377C0" w:rsidRDefault="00D146AC" w:rsidP="00DA725A">
                              <w:pPr>
                                <w:jc w:val="both"/>
                                <w:rPr>
                                  <w:sz w:val="18"/>
                                  <w:szCs w:val="18"/>
                                </w:rPr>
                              </w:pPr>
                              <w:r w:rsidRPr="00F377C0">
                                <w:rPr>
                                  <w:sz w:val="18"/>
                                  <w:szCs w:val="18"/>
                                </w:rPr>
                                <w:lastRenderedPageBreak/>
                                <w:t>1.</w:t>
                              </w:r>
                            </w:p>
                          </w:tc>
                          <w:tc>
                            <w:tcPr>
                              <w:tcW w:w="9071" w:type="dxa"/>
                              <w:shd w:val="clear" w:color="auto" w:fill="auto"/>
                              <w:hideMark/>
                            </w:tcPr>
                            <w:p w:rsidR="00D146AC" w:rsidRPr="00F377C0" w:rsidRDefault="00D146AC" w:rsidP="00DA725A">
                              <w:pPr>
                                <w:jc w:val="both"/>
                                <w:rPr>
                                  <w:sz w:val="18"/>
                                  <w:szCs w:val="18"/>
                                  <w:lang w:val="it-IT"/>
                                </w:rPr>
                              </w:pPr>
                              <w:r w:rsidRPr="00F377C0">
                                <w:rPr>
                                  <w:sz w:val="18"/>
                                  <w:szCs w:val="18"/>
                                  <w:lang w:val="it-IT"/>
                                </w:rPr>
                                <w:t>în cazul în care unitatea de capacitate aplicată este kWh/h, informațiile privind tariful aplicabil per kWh/zi nu sunt obligatorii, și viceversa;</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9"/>
                          <w:gridCol w:w="4842"/>
                        </w:tblGrid>
                        <w:tr w:rsidR="00D146AC" w:rsidRPr="00C27D66" w:rsidTr="00B92DDC">
                          <w:tc>
                            <w:tcPr>
                              <w:tcW w:w="149" w:type="dxa"/>
                              <w:shd w:val="clear" w:color="auto" w:fill="auto"/>
                              <w:hideMark/>
                            </w:tcPr>
                            <w:p w:rsidR="00D146AC" w:rsidRPr="00F377C0" w:rsidRDefault="00D146AC" w:rsidP="00DA725A">
                              <w:pPr>
                                <w:jc w:val="both"/>
                                <w:rPr>
                                  <w:sz w:val="18"/>
                                  <w:szCs w:val="18"/>
                                </w:rPr>
                              </w:pPr>
                              <w:r w:rsidRPr="00F377C0">
                                <w:rPr>
                                  <w:sz w:val="18"/>
                                  <w:szCs w:val="18"/>
                                </w:rPr>
                                <w:t>2.</w:t>
                              </w:r>
                            </w:p>
                          </w:tc>
                          <w:tc>
                            <w:tcPr>
                              <w:tcW w:w="9057" w:type="dxa"/>
                              <w:shd w:val="clear" w:color="auto" w:fill="auto"/>
                              <w:hideMark/>
                            </w:tcPr>
                            <w:p w:rsidR="00D146AC" w:rsidRDefault="00D146AC" w:rsidP="00DA725A">
                              <w:pPr>
                                <w:jc w:val="both"/>
                                <w:rPr>
                                  <w:sz w:val="18"/>
                                  <w:szCs w:val="18"/>
                                  <w:lang w:val="it-IT"/>
                                </w:rPr>
                              </w:pPr>
                              <w:r w:rsidRPr="00F377C0">
                                <w:rPr>
                                  <w:sz w:val="18"/>
                                  <w:szCs w:val="18"/>
                                  <w:lang w:val="it-IT"/>
                                </w:rPr>
                                <w:t>în cazul în care moneda locală este alta decât euro, informațiile privind tariful aplicabil în euro nu sunt obligatorii.</w:t>
                              </w:r>
                            </w:p>
                            <w:p w:rsidR="00E30C09" w:rsidRDefault="00E30C09" w:rsidP="00DA725A">
                              <w:pPr>
                                <w:jc w:val="both"/>
                                <w:rPr>
                                  <w:sz w:val="18"/>
                                  <w:szCs w:val="18"/>
                                  <w:lang w:val="it-IT"/>
                                </w:rPr>
                              </w:pPr>
                            </w:p>
                            <w:p w:rsidR="00E30C09" w:rsidRDefault="00E30C09" w:rsidP="00DA725A">
                              <w:pPr>
                                <w:jc w:val="both"/>
                                <w:rPr>
                                  <w:sz w:val="18"/>
                                  <w:szCs w:val="18"/>
                                  <w:lang w:val="it-IT"/>
                                </w:rPr>
                              </w:pPr>
                            </w:p>
                            <w:p w:rsidR="00E30C09" w:rsidRPr="00F377C0" w:rsidRDefault="00E30C09" w:rsidP="00DA725A">
                              <w:pPr>
                                <w:jc w:val="both"/>
                                <w:rPr>
                                  <w:sz w:val="18"/>
                                  <w:szCs w:val="18"/>
                                  <w:lang w:val="it-IT"/>
                                </w:rPr>
                              </w:pPr>
                            </w:p>
                          </w:tc>
                        </w:tr>
                      </w:tbl>
                      <w:p w:rsidR="00D146AC" w:rsidRPr="00F377C0" w:rsidRDefault="00D146AC" w:rsidP="00DA725A">
                        <w:pPr>
                          <w:jc w:val="both"/>
                          <w:rPr>
                            <w:sz w:val="18"/>
                            <w:szCs w:val="18"/>
                            <w:lang w:val="it-IT"/>
                          </w:rPr>
                        </w:pPr>
                      </w:p>
                    </w:tc>
                  </w:tr>
                </w:tbl>
                <w:p w:rsidR="00D146AC" w:rsidRPr="00F377C0" w:rsidRDefault="00D146AC"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F377C0">
              <w:rPr>
                <w:sz w:val="18"/>
                <w:szCs w:val="18"/>
                <w:lang w:val="it-IT"/>
              </w:rPr>
              <w:lastRenderedPageBreak/>
              <w:t>În plus, tot în perioada stabilită la articolul 30, respectivul tabel standardizat trebuie să includă simularea tuturor taxelor percepute pentru trecerea unui flux de 1 GWh/zi/an pentru fiecare punct de interconectare, în moneda locală și în euro, sub rezerva punctului (vii) subpunctul (2).</w:t>
            </w:r>
          </w:p>
          <w:p w:rsidR="00E30C09" w:rsidRDefault="00E30C09" w:rsidP="00DA725A">
            <w:pPr>
              <w:shd w:val="clear" w:color="auto" w:fill="FFFFFF"/>
              <w:jc w:val="both"/>
              <w:rPr>
                <w:sz w:val="18"/>
                <w:szCs w:val="18"/>
                <w:lang w:val="it-IT"/>
              </w:rPr>
            </w:pPr>
          </w:p>
          <w:p w:rsidR="00E30C09" w:rsidRPr="00F377C0" w:rsidRDefault="00E30C09" w:rsidP="00DA725A">
            <w:pPr>
              <w:shd w:val="clear" w:color="auto" w:fill="FFFFFF"/>
              <w:jc w:val="both"/>
              <w:rPr>
                <w:sz w:val="18"/>
                <w:szCs w:val="18"/>
                <w:lang w:val="it-IT"/>
              </w:rPr>
            </w:pPr>
          </w:p>
          <w:p w:rsidR="00D146AC" w:rsidRPr="00F377C0" w:rsidRDefault="00D146AC" w:rsidP="00DA725A">
            <w:pPr>
              <w:shd w:val="clear" w:color="auto" w:fill="FFFFFF"/>
              <w:jc w:val="both"/>
              <w:rPr>
                <w:sz w:val="18"/>
                <w:szCs w:val="18"/>
                <w:lang w:val="it-IT"/>
              </w:rPr>
            </w:pPr>
            <w:r w:rsidRPr="00F377C0">
              <w:rPr>
                <w:sz w:val="18"/>
                <w:szCs w:val="18"/>
                <w:lang w:val="it-IT"/>
              </w:rPr>
              <w:t>(4)   În cazul în care informațiile menționate la alineatul (2) sunt diferite de informațiile corespunzătoare menționate la alineatul (1), primează informațiile corespunzătoare menționate la alineatul (1).</w:t>
            </w:r>
          </w:p>
          <w:p w:rsidR="00D146AC" w:rsidRPr="00F377C0" w:rsidRDefault="00D146AC" w:rsidP="00DA725A">
            <w:pPr>
              <w:shd w:val="clear" w:color="auto" w:fill="FFFFFF"/>
              <w:jc w:val="both"/>
              <w:rPr>
                <w:b/>
                <w:bCs/>
                <w:sz w:val="18"/>
                <w:szCs w:val="18"/>
                <w:lang w:val="it-IT"/>
              </w:rPr>
            </w:pPr>
          </w:p>
        </w:tc>
        <w:tc>
          <w:tcPr>
            <w:tcW w:w="4962" w:type="dxa"/>
          </w:tcPr>
          <w:p w:rsidR="00D51E7D" w:rsidRPr="00F377C0" w:rsidRDefault="00D51E7D" w:rsidP="00D51E7D">
            <w:pPr>
              <w:jc w:val="center"/>
              <w:rPr>
                <w:sz w:val="18"/>
                <w:szCs w:val="18"/>
                <w:lang w:val="ro-RO"/>
              </w:rPr>
            </w:pPr>
            <w:r w:rsidRPr="00F377C0">
              <w:rPr>
                <w:b/>
                <w:bCs/>
                <w:sz w:val="18"/>
                <w:szCs w:val="18"/>
                <w:lang w:val="ro-RO"/>
              </w:rPr>
              <w:lastRenderedPageBreak/>
              <w:t>Secțiunea 3</w:t>
            </w:r>
          </w:p>
          <w:p w:rsidR="00D51E7D" w:rsidRPr="00F377C0" w:rsidRDefault="00D51E7D" w:rsidP="00D51E7D">
            <w:pPr>
              <w:jc w:val="center"/>
              <w:rPr>
                <w:sz w:val="18"/>
                <w:szCs w:val="18"/>
                <w:lang w:val="ro-RO"/>
              </w:rPr>
            </w:pPr>
            <w:r w:rsidRPr="00F377C0">
              <w:rPr>
                <w:b/>
                <w:bCs/>
                <w:sz w:val="18"/>
                <w:szCs w:val="18"/>
                <w:lang w:val="ro-RO"/>
              </w:rPr>
              <w:t>Forma de publicare</w:t>
            </w:r>
          </w:p>
          <w:p w:rsidR="00D51E7D" w:rsidRPr="00F377C0" w:rsidRDefault="00D51E7D" w:rsidP="00D51E7D">
            <w:pPr>
              <w:jc w:val="both"/>
              <w:rPr>
                <w:sz w:val="18"/>
                <w:szCs w:val="18"/>
                <w:lang w:val="ro-RO"/>
              </w:rPr>
            </w:pPr>
            <w:r w:rsidRPr="00F377C0">
              <w:rPr>
                <w:b/>
                <w:bCs/>
                <w:sz w:val="18"/>
                <w:szCs w:val="18"/>
                <w:lang w:val="ro-RO"/>
              </w:rPr>
              <w:t>412.</w:t>
            </w:r>
            <w:r w:rsidRPr="00F377C0">
              <w:rPr>
                <w:sz w:val="18"/>
                <w:szCs w:val="18"/>
                <w:lang w:val="ro-RO"/>
              </w:rPr>
              <w:t xml:space="preserve"> Pentru Părţile Contractante ale căror OST sunt membri sau observatori ai ENTSO-G, informaţiile prevăzute la pct.407-411 se publică de către OST în conformitate cu cerinţele pct.417-418, prin intermediul unui link, inserat pe platforma stabilită de către ENTSO-G, către pagina sa electronică.</w:t>
            </w:r>
          </w:p>
          <w:p w:rsidR="0029184E" w:rsidRDefault="0029184E" w:rsidP="00D51E7D">
            <w:pPr>
              <w:jc w:val="both"/>
              <w:rPr>
                <w:sz w:val="18"/>
                <w:szCs w:val="18"/>
                <w:lang w:val="ro-RO"/>
              </w:rPr>
            </w:pPr>
          </w:p>
          <w:p w:rsidR="0029184E" w:rsidRDefault="0029184E" w:rsidP="00D51E7D">
            <w:pPr>
              <w:jc w:val="both"/>
              <w:rPr>
                <w:sz w:val="18"/>
                <w:szCs w:val="18"/>
                <w:lang w:val="ro-RO"/>
              </w:rPr>
            </w:pPr>
          </w:p>
          <w:p w:rsidR="00D51E7D" w:rsidRPr="00F377C0" w:rsidRDefault="00D51E7D" w:rsidP="00D51E7D">
            <w:pPr>
              <w:jc w:val="both"/>
              <w:rPr>
                <w:sz w:val="18"/>
                <w:szCs w:val="18"/>
                <w:lang w:val="ro-RO"/>
              </w:rPr>
            </w:pPr>
            <w:r w:rsidRPr="00F377C0">
              <w:rPr>
                <w:sz w:val="18"/>
                <w:szCs w:val="18"/>
                <w:lang w:val="ro-RO"/>
              </w:rPr>
              <w:t>Aceste informaţii trebuie să fie accesibile publicului în mod gratuit şi fără nicio limitare la utilizarea lor. Informaţiile se publică:</w:t>
            </w:r>
          </w:p>
          <w:p w:rsidR="00D51E7D" w:rsidRPr="00F377C0" w:rsidRDefault="00D51E7D" w:rsidP="00D51E7D">
            <w:pPr>
              <w:jc w:val="both"/>
              <w:rPr>
                <w:sz w:val="18"/>
                <w:szCs w:val="18"/>
                <w:lang w:val="ro-RO"/>
              </w:rPr>
            </w:pPr>
            <w:r w:rsidRPr="00F377C0">
              <w:rPr>
                <w:sz w:val="18"/>
                <w:szCs w:val="18"/>
                <w:lang w:val="ro-RO"/>
              </w:rPr>
              <w:t>1) într-un format uşor de utilizat;</w:t>
            </w:r>
          </w:p>
          <w:p w:rsidR="00D51E7D" w:rsidRPr="00F377C0" w:rsidRDefault="00D51E7D" w:rsidP="00D51E7D">
            <w:pPr>
              <w:jc w:val="both"/>
              <w:rPr>
                <w:sz w:val="18"/>
                <w:szCs w:val="18"/>
                <w:lang w:val="ro-RO"/>
              </w:rPr>
            </w:pPr>
            <w:r w:rsidRPr="00F377C0">
              <w:rPr>
                <w:sz w:val="18"/>
                <w:szCs w:val="18"/>
                <w:lang w:val="ro-RO"/>
              </w:rPr>
              <w:t>2) într-un mod clar, uşor accesibil şi pe bază nediscriminatorie;</w:t>
            </w:r>
          </w:p>
          <w:p w:rsidR="00D51E7D" w:rsidRPr="00F377C0" w:rsidRDefault="00D51E7D" w:rsidP="00D51E7D">
            <w:pPr>
              <w:jc w:val="both"/>
              <w:rPr>
                <w:sz w:val="18"/>
                <w:szCs w:val="18"/>
                <w:lang w:val="ro-RO"/>
              </w:rPr>
            </w:pPr>
            <w:r w:rsidRPr="00F377C0">
              <w:rPr>
                <w:sz w:val="18"/>
                <w:szCs w:val="18"/>
                <w:lang w:val="ro-RO"/>
              </w:rPr>
              <w:t>3) într-un format care poate fi descărcat;</w:t>
            </w:r>
          </w:p>
          <w:p w:rsidR="00D51E7D" w:rsidRDefault="00D51E7D" w:rsidP="00D51E7D">
            <w:pPr>
              <w:jc w:val="both"/>
              <w:rPr>
                <w:sz w:val="18"/>
                <w:szCs w:val="18"/>
                <w:lang w:val="ro-RO"/>
              </w:rPr>
            </w:pPr>
            <w:r w:rsidRPr="00F377C0">
              <w:rPr>
                <w:sz w:val="18"/>
                <w:szCs w:val="18"/>
                <w:lang w:val="ro-RO"/>
              </w:rPr>
              <w:t>4) în limba română şi, în măsura în care este posibil, în limba engleză.</w:t>
            </w:r>
          </w:p>
          <w:p w:rsidR="0029184E" w:rsidRDefault="0029184E" w:rsidP="00D51E7D">
            <w:pPr>
              <w:jc w:val="both"/>
              <w:rPr>
                <w:sz w:val="18"/>
                <w:szCs w:val="18"/>
                <w:lang w:val="ro-RO"/>
              </w:rPr>
            </w:pPr>
          </w:p>
          <w:p w:rsidR="0029184E" w:rsidRDefault="0029184E" w:rsidP="00D51E7D">
            <w:pPr>
              <w:jc w:val="both"/>
              <w:rPr>
                <w:b/>
                <w:bCs/>
                <w:sz w:val="18"/>
                <w:szCs w:val="18"/>
                <w:lang w:val="ro-RO"/>
              </w:rPr>
            </w:pPr>
          </w:p>
          <w:p w:rsidR="0029184E" w:rsidRDefault="0029184E" w:rsidP="00D51E7D">
            <w:pPr>
              <w:jc w:val="both"/>
              <w:rPr>
                <w:b/>
                <w:bCs/>
                <w:sz w:val="18"/>
                <w:szCs w:val="18"/>
                <w:lang w:val="ro-RO"/>
              </w:rPr>
            </w:pPr>
          </w:p>
          <w:p w:rsidR="00D51E7D" w:rsidRPr="00F377C0" w:rsidRDefault="00D51E7D" w:rsidP="00D51E7D">
            <w:pPr>
              <w:jc w:val="both"/>
              <w:rPr>
                <w:sz w:val="18"/>
                <w:szCs w:val="18"/>
                <w:lang w:val="ro-RO"/>
              </w:rPr>
            </w:pPr>
            <w:r w:rsidRPr="00F377C0">
              <w:rPr>
                <w:b/>
                <w:bCs/>
                <w:sz w:val="18"/>
                <w:szCs w:val="18"/>
                <w:lang w:val="ro-RO"/>
              </w:rPr>
              <w:t>413.</w:t>
            </w:r>
            <w:r w:rsidRPr="00F377C0">
              <w:rPr>
                <w:sz w:val="18"/>
                <w:szCs w:val="18"/>
                <w:lang w:val="ro-RO"/>
              </w:rPr>
              <w:t xml:space="preserve"> Pentru părţile contractante ale căror OST sunt membri sau observatori ai ENTSO-G următoarele informaţii cu privire la punctele de interconectare trebuie publicate pe platforma stabilită de către ENTSO-G:</w:t>
            </w:r>
          </w:p>
          <w:p w:rsidR="00D51E7D" w:rsidRPr="00F377C0" w:rsidRDefault="00D51E7D" w:rsidP="00D51E7D">
            <w:pPr>
              <w:jc w:val="both"/>
              <w:rPr>
                <w:sz w:val="18"/>
                <w:szCs w:val="18"/>
                <w:lang w:val="ro-RO"/>
              </w:rPr>
            </w:pPr>
            <w:r w:rsidRPr="00F377C0">
              <w:rPr>
                <w:sz w:val="18"/>
                <w:szCs w:val="18"/>
                <w:lang w:val="ro-RO"/>
              </w:rPr>
              <w:t>1) simultan cu momentul stabilit la pct.407, preţurile de rezervă pentru PCS pentru capacitate fermă şi pentru PCS pentru capacitate întreruptibilă;</w:t>
            </w:r>
          </w:p>
          <w:p w:rsidR="00D51E7D" w:rsidRPr="00F377C0" w:rsidRDefault="00D51E7D" w:rsidP="00D51E7D">
            <w:pPr>
              <w:jc w:val="both"/>
              <w:rPr>
                <w:sz w:val="18"/>
                <w:szCs w:val="18"/>
                <w:lang w:val="ro-RO"/>
              </w:rPr>
            </w:pPr>
            <w:r w:rsidRPr="00F377C0">
              <w:rPr>
                <w:sz w:val="18"/>
                <w:szCs w:val="18"/>
                <w:lang w:val="ro-RO"/>
              </w:rPr>
              <w:t>2) simultan cu momentul stabilit la pct.408-411, taxa bazată pe flux menţionată la pct.324, subpunctul 1), în cazul în care această taxă este aplicată.</w:t>
            </w:r>
          </w:p>
          <w:p w:rsidR="00D51E7D" w:rsidRDefault="00D51E7D" w:rsidP="00D51E7D">
            <w:pPr>
              <w:jc w:val="both"/>
              <w:rPr>
                <w:sz w:val="18"/>
                <w:szCs w:val="18"/>
                <w:lang w:val="ro-RO"/>
              </w:rPr>
            </w:pPr>
            <w:r w:rsidRPr="00F377C0">
              <w:rPr>
                <w:sz w:val="18"/>
                <w:szCs w:val="18"/>
                <w:lang w:val="ro-RO"/>
              </w:rPr>
              <w:t>Pentru alte Părţi Contractante, această informaţie trebuie publicată pe pagina electronică a OST.</w:t>
            </w:r>
          </w:p>
          <w:p w:rsidR="00E30C09" w:rsidRDefault="00E30C09" w:rsidP="00D51E7D">
            <w:pPr>
              <w:jc w:val="both"/>
              <w:rPr>
                <w:sz w:val="18"/>
                <w:szCs w:val="18"/>
                <w:lang w:val="ro-RO"/>
              </w:rPr>
            </w:pPr>
          </w:p>
          <w:p w:rsidR="00E30C09" w:rsidRPr="00F377C0" w:rsidRDefault="00E30C09" w:rsidP="00D51E7D">
            <w:pPr>
              <w:jc w:val="both"/>
              <w:rPr>
                <w:sz w:val="18"/>
                <w:szCs w:val="18"/>
                <w:lang w:val="ro-RO"/>
              </w:rPr>
            </w:pPr>
          </w:p>
          <w:p w:rsidR="00D51E7D" w:rsidRPr="00F377C0" w:rsidRDefault="00D51E7D" w:rsidP="00D51E7D">
            <w:pPr>
              <w:jc w:val="both"/>
              <w:rPr>
                <w:sz w:val="18"/>
                <w:szCs w:val="18"/>
                <w:lang w:val="ro-RO"/>
              </w:rPr>
            </w:pPr>
            <w:r w:rsidRPr="00F377C0">
              <w:rPr>
                <w:b/>
                <w:bCs/>
                <w:sz w:val="18"/>
                <w:szCs w:val="18"/>
                <w:lang w:val="ro-RO"/>
              </w:rPr>
              <w:t>414.</w:t>
            </w:r>
            <w:r w:rsidRPr="00F377C0">
              <w:rPr>
                <w:sz w:val="18"/>
                <w:szCs w:val="18"/>
                <w:lang w:val="ro-RO"/>
              </w:rPr>
              <w:t xml:space="preserve"> Informaţiile menţionate la pct.413 se publică în modul următor:</w:t>
            </w:r>
          </w:p>
          <w:p w:rsidR="00D51E7D" w:rsidRPr="00F377C0" w:rsidRDefault="00D51E7D" w:rsidP="00D51E7D">
            <w:pPr>
              <w:jc w:val="both"/>
              <w:rPr>
                <w:sz w:val="18"/>
                <w:szCs w:val="18"/>
                <w:lang w:val="ro-RO"/>
              </w:rPr>
            </w:pPr>
            <w:r w:rsidRPr="00F377C0">
              <w:rPr>
                <w:sz w:val="18"/>
                <w:szCs w:val="18"/>
                <w:lang w:val="ro-RO"/>
              </w:rPr>
              <w:t>1) în conformitate cu pct.412, subpunctele 1)-3);</w:t>
            </w:r>
          </w:p>
          <w:p w:rsidR="00D51E7D" w:rsidRPr="00F377C0" w:rsidRDefault="00D51E7D" w:rsidP="00D51E7D">
            <w:pPr>
              <w:jc w:val="both"/>
              <w:rPr>
                <w:sz w:val="18"/>
                <w:szCs w:val="18"/>
                <w:lang w:val="ro-RO"/>
              </w:rPr>
            </w:pPr>
            <w:r w:rsidRPr="00F377C0">
              <w:rPr>
                <w:sz w:val="18"/>
                <w:szCs w:val="18"/>
                <w:lang w:val="ro-RO"/>
              </w:rPr>
              <w:t>2) în limba română şi în limba engleză;</w:t>
            </w:r>
          </w:p>
          <w:p w:rsidR="00D51E7D" w:rsidRPr="00F377C0" w:rsidRDefault="00D51E7D" w:rsidP="00D51E7D">
            <w:pPr>
              <w:jc w:val="both"/>
              <w:rPr>
                <w:sz w:val="18"/>
                <w:szCs w:val="18"/>
                <w:lang w:val="ro-RO"/>
              </w:rPr>
            </w:pPr>
            <w:r w:rsidRPr="00F377C0">
              <w:rPr>
                <w:sz w:val="18"/>
                <w:szCs w:val="18"/>
                <w:lang w:val="ro-RO"/>
              </w:rPr>
              <w:t>3) într-un tabel standardizat care trebuie să includă cel puţin următoarele informaţii:</w:t>
            </w:r>
          </w:p>
          <w:p w:rsidR="00D51E7D" w:rsidRPr="00F377C0" w:rsidRDefault="00D51E7D" w:rsidP="00D51E7D">
            <w:pPr>
              <w:jc w:val="both"/>
              <w:rPr>
                <w:sz w:val="18"/>
                <w:szCs w:val="18"/>
                <w:lang w:val="ro-RO"/>
              </w:rPr>
            </w:pPr>
            <w:r w:rsidRPr="00F377C0">
              <w:rPr>
                <w:sz w:val="18"/>
                <w:szCs w:val="18"/>
                <w:lang w:val="ro-RO"/>
              </w:rPr>
              <w:t>a) punctul de interconectare;</w:t>
            </w:r>
          </w:p>
          <w:p w:rsidR="00D51E7D" w:rsidRPr="00F377C0" w:rsidRDefault="00D51E7D" w:rsidP="00D51E7D">
            <w:pPr>
              <w:jc w:val="both"/>
              <w:rPr>
                <w:sz w:val="18"/>
                <w:szCs w:val="18"/>
                <w:lang w:val="ro-RO"/>
              </w:rPr>
            </w:pPr>
            <w:r w:rsidRPr="00F377C0">
              <w:rPr>
                <w:sz w:val="18"/>
                <w:szCs w:val="18"/>
                <w:lang w:val="ro-RO"/>
              </w:rPr>
              <w:t>b) direcţia fluxului de gaze naturale;</w:t>
            </w:r>
          </w:p>
          <w:p w:rsidR="00D51E7D" w:rsidRPr="00F377C0" w:rsidRDefault="00D51E7D" w:rsidP="00D51E7D">
            <w:pPr>
              <w:jc w:val="both"/>
              <w:rPr>
                <w:sz w:val="18"/>
                <w:szCs w:val="18"/>
                <w:lang w:val="ro-RO"/>
              </w:rPr>
            </w:pPr>
            <w:r w:rsidRPr="00F377C0">
              <w:rPr>
                <w:sz w:val="18"/>
                <w:szCs w:val="18"/>
                <w:lang w:val="ro-RO"/>
              </w:rPr>
              <w:t>c) denumirea OST;</w:t>
            </w:r>
          </w:p>
          <w:p w:rsidR="00D51E7D" w:rsidRPr="00F377C0" w:rsidRDefault="00D51E7D" w:rsidP="00D51E7D">
            <w:pPr>
              <w:jc w:val="both"/>
              <w:rPr>
                <w:sz w:val="18"/>
                <w:szCs w:val="18"/>
                <w:lang w:val="ro-RO"/>
              </w:rPr>
            </w:pPr>
            <w:r w:rsidRPr="00F377C0">
              <w:rPr>
                <w:sz w:val="18"/>
                <w:szCs w:val="18"/>
                <w:lang w:val="ro-RO"/>
              </w:rPr>
              <w:t>d) ora de începere şi de încheiere a produsului;</w:t>
            </w:r>
          </w:p>
          <w:p w:rsidR="00D51E7D" w:rsidRPr="00F377C0" w:rsidRDefault="00D51E7D" w:rsidP="00D51E7D">
            <w:pPr>
              <w:jc w:val="both"/>
              <w:rPr>
                <w:sz w:val="18"/>
                <w:szCs w:val="18"/>
                <w:lang w:val="ro-RO"/>
              </w:rPr>
            </w:pPr>
            <w:r w:rsidRPr="00F377C0">
              <w:rPr>
                <w:sz w:val="18"/>
                <w:szCs w:val="18"/>
                <w:lang w:val="ro-RO"/>
              </w:rPr>
              <w:t>e) tipul de capacitate (fermă sau întreruptibilă);</w:t>
            </w:r>
          </w:p>
          <w:p w:rsidR="00D51E7D" w:rsidRPr="00F377C0" w:rsidRDefault="00D51E7D" w:rsidP="00D51E7D">
            <w:pPr>
              <w:jc w:val="both"/>
              <w:rPr>
                <w:sz w:val="18"/>
                <w:szCs w:val="18"/>
                <w:lang w:val="ro-RO"/>
              </w:rPr>
            </w:pPr>
            <w:r w:rsidRPr="00F377C0">
              <w:rPr>
                <w:sz w:val="18"/>
                <w:szCs w:val="18"/>
                <w:lang w:val="ro-RO"/>
              </w:rPr>
              <w:t>f) indicele PCS;</w:t>
            </w:r>
          </w:p>
          <w:p w:rsidR="00D51E7D" w:rsidRPr="00F377C0" w:rsidRDefault="00D51E7D" w:rsidP="00D51E7D">
            <w:pPr>
              <w:jc w:val="both"/>
              <w:rPr>
                <w:sz w:val="18"/>
                <w:szCs w:val="18"/>
                <w:lang w:val="ro-RO"/>
              </w:rPr>
            </w:pPr>
            <w:r w:rsidRPr="00F377C0">
              <w:rPr>
                <w:sz w:val="18"/>
                <w:szCs w:val="18"/>
                <w:lang w:val="ro-RO"/>
              </w:rPr>
              <w:t>g) tariful aplicabil per kWh/h şi per kWh/zi, în MDL şi în EURO luând în considerare următoarele elemente:</w:t>
            </w:r>
          </w:p>
          <w:p w:rsidR="00D51E7D" w:rsidRPr="00F377C0" w:rsidRDefault="00D51E7D" w:rsidP="00D51E7D">
            <w:pPr>
              <w:jc w:val="both"/>
              <w:rPr>
                <w:sz w:val="18"/>
                <w:szCs w:val="18"/>
                <w:lang w:val="ro-RO"/>
              </w:rPr>
            </w:pPr>
            <w:r w:rsidRPr="00F377C0">
              <w:rPr>
                <w:sz w:val="18"/>
                <w:szCs w:val="18"/>
                <w:lang w:val="ro-RO"/>
              </w:rPr>
              <w:lastRenderedPageBreak/>
              <w:t>(1) în cazul în care unitatea de capacitate aplicată este kWh/h, informaţiile privind tariful aplicabil per kWh/zi nu sunt obligatorii, şi viceversa;</w:t>
            </w:r>
          </w:p>
          <w:p w:rsidR="00D51E7D" w:rsidRDefault="00D51E7D" w:rsidP="00D51E7D">
            <w:pPr>
              <w:jc w:val="both"/>
              <w:rPr>
                <w:sz w:val="18"/>
                <w:szCs w:val="18"/>
                <w:lang w:val="ro-RO"/>
              </w:rPr>
            </w:pPr>
            <w:r w:rsidRPr="00F377C0">
              <w:rPr>
                <w:sz w:val="18"/>
                <w:szCs w:val="18"/>
                <w:lang w:val="ro-RO"/>
              </w:rPr>
              <w:t>(2) în cazul în care moneda locală este alta decât EURO, informaţiile privind tariful aplicabil în EURO nu sunt obligatorii.</w:t>
            </w:r>
          </w:p>
          <w:p w:rsidR="00E30C09" w:rsidRPr="00F377C0" w:rsidRDefault="00E30C09" w:rsidP="00D51E7D">
            <w:pPr>
              <w:jc w:val="both"/>
              <w:rPr>
                <w:sz w:val="18"/>
                <w:szCs w:val="18"/>
                <w:lang w:val="ro-RO"/>
              </w:rPr>
            </w:pPr>
          </w:p>
          <w:p w:rsidR="00D51E7D" w:rsidRPr="00F377C0" w:rsidRDefault="00D51E7D" w:rsidP="00D51E7D">
            <w:pPr>
              <w:jc w:val="both"/>
              <w:rPr>
                <w:sz w:val="18"/>
                <w:szCs w:val="18"/>
                <w:lang w:val="ro-RO"/>
              </w:rPr>
            </w:pPr>
            <w:r w:rsidRPr="00F377C0">
              <w:rPr>
                <w:b/>
                <w:bCs/>
                <w:sz w:val="18"/>
                <w:szCs w:val="18"/>
                <w:lang w:val="ro-RO"/>
              </w:rPr>
              <w:t>415.</w:t>
            </w:r>
            <w:r w:rsidRPr="00F377C0">
              <w:rPr>
                <w:sz w:val="18"/>
                <w:szCs w:val="18"/>
                <w:lang w:val="ro-RO"/>
              </w:rPr>
              <w:t xml:space="preserve"> În plus, tot în perioada stabilită la pct.408-411, respectivul tabel standardizat trebuie să includă simularea tuturor taxelor percepute pentru trecerea unui flux de 1 GWh/zi/an pentru fiecare punct de interconectare, în MDL sau în EURO după caz, sub rezerva pct.416, subpunctul 3), lit.g), alin.2).</w:t>
            </w:r>
          </w:p>
          <w:p w:rsidR="00293F74" w:rsidRDefault="00293F74" w:rsidP="00D51E7D">
            <w:pPr>
              <w:jc w:val="both"/>
              <w:rPr>
                <w:b/>
                <w:bCs/>
                <w:sz w:val="18"/>
                <w:szCs w:val="18"/>
                <w:lang w:val="ro-RO"/>
              </w:rPr>
            </w:pPr>
          </w:p>
          <w:p w:rsidR="00F377C0" w:rsidRPr="00F377C0" w:rsidRDefault="00F377C0" w:rsidP="00D51E7D">
            <w:pPr>
              <w:jc w:val="both"/>
              <w:rPr>
                <w:b/>
                <w:bCs/>
                <w:sz w:val="18"/>
                <w:szCs w:val="18"/>
                <w:lang w:val="ro-RO"/>
              </w:rPr>
            </w:pPr>
          </w:p>
          <w:p w:rsidR="00D51E7D" w:rsidRPr="00F377C0" w:rsidRDefault="00D51E7D" w:rsidP="00D51E7D">
            <w:pPr>
              <w:jc w:val="both"/>
              <w:rPr>
                <w:sz w:val="18"/>
                <w:szCs w:val="18"/>
                <w:lang w:val="ro-RO"/>
              </w:rPr>
            </w:pPr>
            <w:r w:rsidRPr="00F377C0">
              <w:rPr>
                <w:b/>
                <w:bCs/>
                <w:sz w:val="18"/>
                <w:szCs w:val="18"/>
                <w:lang w:val="ro-RO"/>
              </w:rPr>
              <w:t>416.</w:t>
            </w:r>
            <w:r w:rsidRPr="00F377C0">
              <w:rPr>
                <w:sz w:val="18"/>
                <w:szCs w:val="18"/>
                <w:lang w:val="ro-RO"/>
              </w:rPr>
              <w:t xml:space="preserve"> În cazul în care informațiile stabilite la pct.414 sunt diferite de informaţiile corespunzătoare menţionate la pct.413, prevalează informaţiile corespunzătoare menţionate la pct.413.</w:t>
            </w:r>
          </w:p>
          <w:p w:rsidR="00D146AC" w:rsidRPr="00F377C0" w:rsidRDefault="00D146AC" w:rsidP="00DA725A">
            <w:pPr>
              <w:shd w:val="clear" w:color="auto" w:fill="FFFFFF"/>
              <w:spacing w:line="312" w:lineRule="atLeast"/>
              <w:jc w:val="both"/>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Default="00D146AC" w:rsidP="00DA725A">
            <w:pPr>
              <w:jc w:val="both"/>
              <w:rPr>
                <w:b/>
                <w:sz w:val="18"/>
                <w:szCs w:val="18"/>
                <w:lang w:val="it-IT"/>
              </w:rPr>
            </w:pPr>
          </w:p>
          <w:p w:rsidR="00BA1B76" w:rsidRPr="00380C00" w:rsidRDefault="00BA1B76" w:rsidP="00DA725A">
            <w:pPr>
              <w:jc w:val="both"/>
              <w:rPr>
                <w:b/>
                <w:sz w:val="18"/>
                <w:szCs w:val="18"/>
                <w:lang w:val="it-IT"/>
              </w:rPr>
            </w:pP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p>
          <w:p w:rsidR="00DA55CF" w:rsidRPr="00380C00" w:rsidRDefault="00DA55CF"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rPr>
                <w:b/>
                <w:sz w:val="18"/>
                <w:szCs w:val="18"/>
                <w:lang w:val="it-IT"/>
              </w:rPr>
            </w:pPr>
          </w:p>
          <w:p w:rsidR="00D146AC" w:rsidRPr="00380C00" w:rsidRDefault="00D146AC" w:rsidP="00DA725A">
            <w:pPr>
              <w:jc w:val="both"/>
              <w:rPr>
                <w:b/>
                <w:sz w:val="18"/>
                <w:szCs w:val="18"/>
                <w:lang w:val="it-IT"/>
              </w:rPr>
            </w:pPr>
            <w:r w:rsidRPr="00380C00">
              <w:rPr>
                <w:sz w:val="18"/>
                <w:szCs w:val="18"/>
                <w:lang w:val="it-IT"/>
              </w:rPr>
              <w:t>Compatibil</w:t>
            </w:r>
          </w:p>
          <w:p w:rsidR="00D146AC" w:rsidRPr="00380C00" w:rsidRDefault="00D146AC"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Default="00F377C0"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Pr="00E30C09" w:rsidRDefault="00E30C09" w:rsidP="00DA725A">
            <w:pPr>
              <w:rPr>
                <w:bCs/>
                <w:sz w:val="18"/>
                <w:szCs w:val="18"/>
                <w:lang w:val="it-IT"/>
              </w:rPr>
            </w:pPr>
            <w:r w:rsidRPr="00E30C09">
              <w:rPr>
                <w:bCs/>
                <w:sz w:val="18"/>
                <w:szCs w:val="18"/>
                <w:lang w:val="it-IT"/>
              </w:rPr>
              <w:t>Compatibil</w:t>
            </w: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Pr="00380C00" w:rsidRDefault="00E30C09" w:rsidP="00DA725A">
            <w:pPr>
              <w:rPr>
                <w:b/>
                <w:sz w:val="18"/>
                <w:szCs w:val="18"/>
                <w:lang w:val="it-IT"/>
              </w:rPr>
            </w:pPr>
          </w:p>
          <w:p w:rsidR="00F377C0" w:rsidRPr="00380C00" w:rsidRDefault="00F377C0" w:rsidP="00DA725A">
            <w:pPr>
              <w:rPr>
                <w:b/>
                <w:sz w:val="18"/>
                <w:szCs w:val="18"/>
                <w:lang w:val="it-IT"/>
              </w:rPr>
            </w:pPr>
          </w:p>
          <w:p w:rsidR="00F377C0" w:rsidRPr="00670674" w:rsidRDefault="00F377C0" w:rsidP="00DA725A">
            <w:pPr>
              <w:rPr>
                <w:sz w:val="18"/>
                <w:szCs w:val="18"/>
                <w:lang w:val="it-IT"/>
              </w:rPr>
            </w:pPr>
            <w:r w:rsidRPr="00670674">
              <w:rPr>
                <w:sz w:val="18"/>
                <w:szCs w:val="18"/>
                <w:lang w:val="it-IT"/>
              </w:rPr>
              <w:t>Compatibil</w:t>
            </w:r>
          </w:p>
        </w:tc>
        <w:tc>
          <w:tcPr>
            <w:tcW w:w="4253" w:type="dxa"/>
          </w:tcPr>
          <w:p w:rsidR="00497043" w:rsidRPr="00E84D74" w:rsidRDefault="00497043" w:rsidP="00DA725A">
            <w:pPr>
              <w:autoSpaceDE w:val="0"/>
              <w:autoSpaceDN w:val="0"/>
              <w:adjustRightInd w:val="0"/>
              <w:jc w:val="center"/>
              <w:rPr>
                <w:b/>
                <w:bCs/>
                <w:i/>
                <w:iCs/>
                <w:sz w:val="18"/>
                <w:szCs w:val="18"/>
              </w:rPr>
            </w:pPr>
            <w:r w:rsidRPr="00E84D74">
              <w:rPr>
                <w:b/>
                <w:bCs/>
                <w:i/>
                <w:iCs/>
                <w:sz w:val="18"/>
                <w:szCs w:val="18"/>
              </w:rPr>
              <w:lastRenderedPageBreak/>
              <w:t>Article 31</w:t>
            </w:r>
          </w:p>
          <w:p w:rsidR="00497043" w:rsidRPr="00E84D74" w:rsidRDefault="00497043" w:rsidP="00DA725A">
            <w:pPr>
              <w:autoSpaceDE w:val="0"/>
              <w:autoSpaceDN w:val="0"/>
              <w:adjustRightInd w:val="0"/>
              <w:jc w:val="center"/>
              <w:rPr>
                <w:b/>
                <w:bCs/>
                <w:sz w:val="18"/>
                <w:szCs w:val="18"/>
              </w:rPr>
            </w:pPr>
            <w:r w:rsidRPr="00E84D74">
              <w:rPr>
                <w:b/>
                <w:bCs/>
                <w:sz w:val="18"/>
                <w:szCs w:val="18"/>
              </w:rPr>
              <w:t>Form of publication</w:t>
            </w:r>
          </w:p>
          <w:p w:rsidR="00D146AC" w:rsidRPr="00E84D74" w:rsidRDefault="00497043" w:rsidP="00DA725A">
            <w:pPr>
              <w:autoSpaceDE w:val="0"/>
              <w:autoSpaceDN w:val="0"/>
              <w:adjustRightInd w:val="0"/>
              <w:rPr>
                <w:sz w:val="18"/>
                <w:szCs w:val="18"/>
              </w:rPr>
            </w:pPr>
            <w:r w:rsidRPr="00E84D74">
              <w:rPr>
                <w:sz w:val="18"/>
                <w:szCs w:val="18"/>
              </w:rPr>
              <w:t xml:space="preserve">1. </w:t>
            </w:r>
            <w:r w:rsidRPr="00E84D74">
              <w:rPr>
                <w:bCs/>
                <w:sz w:val="18"/>
                <w:szCs w:val="18"/>
              </w:rPr>
              <w:t xml:space="preserve">For the Contracting Parties whose TSOs are members or observers of ENTSO for Gas </w:t>
            </w:r>
            <w:r w:rsidRPr="00E84D74">
              <w:rPr>
                <w:sz w:val="18"/>
                <w:szCs w:val="18"/>
              </w:rPr>
              <w:t>the</w:t>
            </w:r>
            <w:r w:rsidR="00644729" w:rsidRPr="00E84D74">
              <w:rPr>
                <w:sz w:val="18"/>
                <w:szCs w:val="18"/>
              </w:rPr>
              <w:t xml:space="preserve"> </w:t>
            </w:r>
            <w:r w:rsidRPr="00E84D74">
              <w:rPr>
                <w:sz w:val="18"/>
                <w:szCs w:val="18"/>
              </w:rPr>
              <w:t>information referred to in Articles 29 and 30 shall be published as set out in Article 32 via a link on the platform referred to in point 3.1.1(1)(h) of Annex I to Regulation (EC) No 715/2009 to the website of the respective entity.</w:t>
            </w:r>
          </w:p>
          <w:p w:rsidR="00497043" w:rsidRPr="00E84D74" w:rsidRDefault="00497043" w:rsidP="00DA725A">
            <w:pPr>
              <w:autoSpaceDE w:val="0"/>
              <w:autoSpaceDN w:val="0"/>
              <w:adjustRightInd w:val="0"/>
              <w:rPr>
                <w:sz w:val="18"/>
                <w:szCs w:val="18"/>
              </w:rPr>
            </w:pPr>
            <w:r w:rsidRPr="00E84D74">
              <w:rPr>
                <w:sz w:val="18"/>
                <w:szCs w:val="18"/>
              </w:rPr>
              <w:t>Such information shall be accessible to the public, free of charge and of any limitations as to its use. It</w:t>
            </w:r>
            <w:r w:rsidR="00644729" w:rsidRPr="00E84D74">
              <w:rPr>
                <w:sz w:val="18"/>
                <w:szCs w:val="18"/>
              </w:rPr>
              <w:t xml:space="preserve"> </w:t>
            </w:r>
            <w:r w:rsidRPr="00E84D74">
              <w:rPr>
                <w:sz w:val="18"/>
                <w:szCs w:val="18"/>
              </w:rPr>
              <w:t>shall be published:</w:t>
            </w:r>
          </w:p>
          <w:p w:rsidR="00497043" w:rsidRPr="00E84D74" w:rsidRDefault="00497043" w:rsidP="00DA725A">
            <w:pPr>
              <w:autoSpaceDE w:val="0"/>
              <w:autoSpaceDN w:val="0"/>
              <w:adjustRightInd w:val="0"/>
              <w:rPr>
                <w:sz w:val="18"/>
                <w:szCs w:val="18"/>
              </w:rPr>
            </w:pPr>
            <w:r w:rsidRPr="00E84D74">
              <w:rPr>
                <w:sz w:val="18"/>
                <w:szCs w:val="18"/>
              </w:rPr>
              <w:t>(a) in a user-friendly manner;</w:t>
            </w:r>
          </w:p>
          <w:p w:rsidR="00497043" w:rsidRPr="00E84D74" w:rsidRDefault="00497043" w:rsidP="00DA725A">
            <w:pPr>
              <w:autoSpaceDE w:val="0"/>
              <w:autoSpaceDN w:val="0"/>
              <w:adjustRightInd w:val="0"/>
              <w:rPr>
                <w:sz w:val="18"/>
                <w:szCs w:val="18"/>
              </w:rPr>
            </w:pPr>
            <w:r w:rsidRPr="00E84D74">
              <w:rPr>
                <w:sz w:val="18"/>
                <w:szCs w:val="18"/>
              </w:rPr>
              <w:t>(b) in a clear, easily accessible way and on a non-</w:t>
            </w:r>
            <w:r w:rsidR="00644729" w:rsidRPr="00E84D74">
              <w:rPr>
                <w:sz w:val="18"/>
                <w:szCs w:val="18"/>
              </w:rPr>
              <w:t>d</w:t>
            </w:r>
            <w:r w:rsidRPr="00E84D74">
              <w:rPr>
                <w:sz w:val="18"/>
                <w:szCs w:val="18"/>
              </w:rPr>
              <w:t>iscriminatory basis;</w:t>
            </w:r>
          </w:p>
          <w:p w:rsidR="00497043" w:rsidRPr="00E84D74" w:rsidRDefault="00497043" w:rsidP="00DA725A">
            <w:pPr>
              <w:autoSpaceDE w:val="0"/>
              <w:autoSpaceDN w:val="0"/>
              <w:adjustRightInd w:val="0"/>
              <w:rPr>
                <w:sz w:val="18"/>
                <w:szCs w:val="18"/>
              </w:rPr>
            </w:pPr>
            <w:r w:rsidRPr="00E84D74">
              <w:rPr>
                <w:sz w:val="18"/>
                <w:szCs w:val="18"/>
              </w:rPr>
              <w:t>(c) in a downloadable format;</w:t>
            </w:r>
          </w:p>
          <w:p w:rsidR="00497043" w:rsidRPr="00E84D74" w:rsidRDefault="00497043" w:rsidP="00DA725A">
            <w:pPr>
              <w:autoSpaceDE w:val="0"/>
              <w:autoSpaceDN w:val="0"/>
              <w:adjustRightInd w:val="0"/>
              <w:rPr>
                <w:sz w:val="18"/>
                <w:szCs w:val="18"/>
              </w:rPr>
            </w:pPr>
            <w:r w:rsidRPr="00E84D74">
              <w:rPr>
                <w:sz w:val="18"/>
                <w:szCs w:val="18"/>
              </w:rPr>
              <w:t xml:space="preserve">(d) in one or more of the official languages of the </w:t>
            </w:r>
            <w:r w:rsidRPr="00E84D74">
              <w:rPr>
                <w:b/>
                <w:bCs/>
                <w:sz w:val="18"/>
                <w:szCs w:val="18"/>
              </w:rPr>
              <w:t xml:space="preserve">Contracting Party </w:t>
            </w:r>
            <w:r w:rsidRPr="00E84D74">
              <w:rPr>
                <w:sz w:val="18"/>
                <w:szCs w:val="18"/>
              </w:rPr>
              <w:t xml:space="preserve">and, </w:t>
            </w:r>
            <w:r w:rsidRPr="00E84D74">
              <w:rPr>
                <w:b/>
                <w:bCs/>
                <w:sz w:val="18"/>
                <w:szCs w:val="18"/>
              </w:rPr>
              <w:t xml:space="preserve">&lt;…&gt; </w:t>
            </w:r>
            <w:r w:rsidRPr="00E84D74">
              <w:rPr>
                <w:sz w:val="18"/>
                <w:szCs w:val="18"/>
              </w:rPr>
              <w:t>to the extent possible,</w:t>
            </w:r>
          </w:p>
          <w:p w:rsidR="00497043" w:rsidRPr="00E84D74" w:rsidRDefault="00497043" w:rsidP="00DA725A">
            <w:pPr>
              <w:autoSpaceDE w:val="0"/>
              <w:autoSpaceDN w:val="0"/>
              <w:adjustRightInd w:val="0"/>
              <w:rPr>
                <w:sz w:val="18"/>
                <w:szCs w:val="18"/>
              </w:rPr>
            </w:pPr>
            <w:r w:rsidRPr="00E84D74">
              <w:rPr>
                <w:sz w:val="18"/>
                <w:szCs w:val="18"/>
              </w:rPr>
              <w:t>in English.</w:t>
            </w:r>
          </w:p>
          <w:p w:rsidR="00497043" w:rsidRPr="00E84D74" w:rsidRDefault="00497043" w:rsidP="00DA725A">
            <w:pPr>
              <w:autoSpaceDE w:val="0"/>
              <w:autoSpaceDN w:val="0"/>
              <w:adjustRightInd w:val="0"/>
              <w:rPr>
                <w:sz w:val="18"/>
                <w:szCs w:val="18"/>
              </w:rPr>
            </w:pPr>
            <w:r w:rsidRPr="00E84D74">
              <w:rPr>
                <w:sz w:val="18"/>
                <w:szCs w:val="18"/>
              </w:rPr>
              <w:t xml:space="preserve">2. </w:t>
            </w:r>
            <w:r w:rsidRPr="00E84D74">
              <w:rPr>
                <w:b/>
                <w:bCs/>
                <w:sz w:val="18"/>
                <w:szCs w:val="18"/>
              </w:rPr>
              <w:t xml:space="preserve">For the Contracting Parties whose TSOs are members or observers of ENTSO for Gas </w:t>
            </w:r>
            <w:r w:rsidRPr="00E84D74">
              <w:rPr>
                <w:sz w:val="18"/>
                <w:szCs w:val="18"/>
              </w:rPr>
              <w:t>the</w:t>
            </w:r>
          </w:p>
          <w:p w:rsidR="00497043" w:rsidRPr="00E84D74" w:rsidRDefault="00497043" w:rsidP="00DA725A">
            <w:pPr>
              <w:autoSpaceDE w:val="0"/>
              <w:autoSpaceDN w:val="0"/>
              <w:adjustRightInd w:val="0"/>
              <w:rPr>
                <w:sz w:val="18"/>
                <w:szCs w:val="18"/>
              </w:rPr>
            </w:pPr>
            <w:r w:rsidRPr="00E84D74">
              <w:rPr>
                <w:sz w:val="18"/>
                <w:szCs w:val="18"/>
              </w:rPr>
              <w:t>following information shall be published for interconnection points on the platform referred to in point</w:t>
            </w:r>
          </w:p>
          <w:p w:rsidR="00497043" w:rsidRPr="00E84D74" w:rsidRDefault="00497043" w:rsidP="00DA725A">
            <w:pPr>
              <w:autoSpaceDE w:val="0"/>
              <w:autoSpaceDN w:val="0"/>
              <w:adjustRightInd w:val="0"/>
              <w:rPr>
                <w:sz w:val="18"/>
                <w:szCs w:val="18"/>
              </w:rPr>
            </w:pPr>
            <w:r w:rsidRPr="00E84D74">
              <w:rPr>
                <w:sz w:val="18"/>
                <w:szCs w:val="18"/>
              </w:rPr>
              <w:t>3.1.1(1)(h) of Annex I to Regulation (EC) No 715/2009:</w:t>
            </w:r>
          </w:p>
          <w:p w:rsidR="00497043" w:rsidRPr="00E84D74" w:rsidRDefault="00497043" w:rsidP="00DA725A">
            <w:pPr>
              <w:autoSpaceDE w:val="0"/>
              <w:autoSpaceDN w:val="0"/>
              <w:adjustRightInd w:val="0"/>
              <w:rPr>
                <w:sz w:val="18"/>
                <w:szCs w:val="18"/>
              </w:rPr>
            </w:pPr>
            <w:r w:rsidRPr="00E84D74">
              <w:rPr>
                <w:sz w:val="18"/>
                <w:szCs w:val="18"/>
              </w:rPr>
              <w:t>(a) at the same time as set out in Article 29, the reserve prices for standard capacity products for firm</w:t>
            </w:r>
            <w:r w:rsidR="00AF1974" w:rsidRPr="00E84D74">
              <w:rPr>
                <w:sz w:val="18"/>
                <w:szCs w:val="18"/>
              </w:rPr>
              <w:t xml:space="preserve"> </w:t>
            </w:r>
            <w:r w:rsidRPr="00E84D74">
              <w:rPr>
                <w:sz w:val="18"/>
                <w:szCs w:val="18"/>
              </w:rPr>
              <w:t>capacity and for standard capacity products for interruptible capacity;</w:t>
            </w:r>
          </w:p>
          <w:p w:rsidR="00497043" w:rsidRPr="00E84D74" w:rsidRDefault="00497043" w:rsidP="00DA725A">
            <w:pPr>
              <w:autoSpaceDE w:val="0"/>
              <w:autoSpaceDN w:val="0"/>
              <w:adjustRightInd w:val="0"/>
              <w:rPr>
                <w:sz w:val="18"/>
                <w:szCs w:val="18"/>
              </w:rPr>
            </w:pPr>
            <w:r w:rsidRPr="00E84D74">
              <w:rPr>
                <w:sz w:val="18"/>
                <w:szCs w:val="18"/>
              </w:rPr>
              <w:t>(b) at the same time as set out in Article 30, a flow-based charge referred to in Article 4(3)(a), where</w:t>
            </w:r>
            <w:r w:rsidR="00AF1974" w:rsidRPr="00E84D74">
              <w:rPr>
                <w:sz w:val="18"/>
                <w:szCs w:val="18"/>
              </w:rPr>
              <w:t xml:space="preserve"> </w:t>
            </w:r>
            <w:r w:rsidRPr="00E84D74">
              <w:rPr>
                <w:sz w:val="18"/>
                <w:szCs w:val="18"/>
              </w:rPr>
              <w:t>applied.</w:t>
            </w:r>
          </w:p>
          <w:p w:rsidR="00497043" w:rsidRPr="00E84D74" w:rsidRDefault="00497043" w:rsidP="00DA725A">
            <w:pPr>
              <w:autoSpaceDE w:val="0"/>
              <w:autoSpaceDN w:val="0"/>
              <w:adjustRightInd w:val="0"/>
              <w:rPr>
                <w:b/>
                <w:bCs/>
                <w:sz w:val="18"/>
                <w:szCs w:val="18"/>
              </w:rPr>
            </w:pPr>
            <w:r w:rsidRPr="00E84D74">
              <w:rPr>
                <w:b/>
                <w:bCs/>
                <w:sz w:val="18"/>
                <w:szCs w:val="18"/>
              </w:rPr>
              <w:t>For other Contracting Parties such information shall be published on the website of the</w:t>
            </w:r>
            <w:r w:rsidR="00AF1974" w:rsidRPr="00E84D74">
              <w:rPr>
                <w:b/>
                <w:bCs/>
                <w:sz w:val="18"/>
                <w:szCs w:val="18"/>
              </w:rPr>
              <w:t xml:space="preserve"> </w:t>
            </w:r>
            <w:r w:rsidRPr="00E84D74">
              <w:rPr>
                <w:b/>
                <w:bCs/>
                <w:sz w:val="18"/>
                <w:szCs w:val="18"/>
              </w:rPr>
              <w:t>national transmission system operator(s) for gas.</w:t>
            </w:r>
          </w:p>
          <w:p w:rsidR="00497043" w:rsidRPr="00E84D74" w:rsidRDefault="00497043" w:rsidP="00DA725A">
            <w:pPr>
              <w:autoSpaceDE w:val="0"/>
              <w:autoSpaceDN w:val="0"/>
              <w:adjustRightInd w:val="0"/>
              <w:rPr>
                <w:sz w:val="18"/>
                <w:szCs w:val="18"/>
              </w:rPr>
            </w:pPr>
            <w:r w:rsidRPr="00E84D74">
              <w:rPr>
                <w:sz w:val="18"/>
                <w:szCs w:val="18"/>
              </w:rPr>
              <w:t>3. The information referred to in paragraph 2 shall be published in the following manner:</w:t>
            </w:r>
          </w:p>
          <w:p w:rsidR="00497043" w:rsidRPr="00E84D74" w:rsidRDefault="00497043" w:rsidP="00DA725A">
            <w:pPr>
              <w:autoSpaceDE w:val="0"/>
              <w:autoSpaceDN w:val="0"/>
              <w:adjustRightInd w:val="0"/>
              <w:rPr>
                <w:sz w:val="18"/>
                <w:szCs w:val="18"/>
              </w:rPr>
            </w:pPr>
            <w:r w:rsidRPr="00E84D74">
              <w:rPr>
                <w:sz w:val="18"/>
                <w:szCs w:val="18"/>
              </w:rPr>
              <w:t>(a) as set out in paragraph 1(a) to (c);</w:t>
            </w:r>
          </w:p>
          <w:p w:rsidR="00497043" w:rsidRPr="00E84D74" w:rsidRDefault="00497043" w:rsidP="00DA725A">
            <w:pPr>
              <w:autoSpaceDE w:val="0"/>
              <w:autoSpaceDN w:val="0"/>
              <w:adjustRightInd w:val="0"/>
              <w:rPr>
                <w:sz w:val="18"/>
                <w:szCs w:val="18"/>
              </w:rPr>
            </w:pPr>
            <w:r w:rsidRPr="00E84D74">
              <w:rPr>
                <w:sz w:val="18"/>
                <w:szCs w:val="18"/>
              </w:rPr>
              <w:t>(b) in English;</w:t>
            </w:r>
          </w:p>
          <w:p w:rsidR="00497043" w:rsidRPr="00E84D74" w:rsidRDefault="00497043" w:rsidP="00DA725A">
            <w:pPr>
              <w:autoSpaceDE w:val="0"/>
              <w:autoSpaceDN w:val="0"/>
              <w:adjustRightInd w:val="0"/>
              <w:rPr>
                <w:sz w:val="18"/>
                <w:szCs w:val="18"/>
              </w:rPr>
            </w:pPr>
            <w:r w:rsidRPr="00E84D74">
              <w:rPr>
                <w:sz w:val="18"/>
                <w:szCs w:val="18"/>
              </w:rPr>
              <w:t>(c) in a standardised table which shall include at least the following information:</w:t>
            </w:r>
          </w:p>
          <w:p w:rsidR="00497043" w:rsidRPr="00E84D74" w:rsidRDefault="00497043" w:rsidP="00DA725A">
            <w:pPr>
              <w:autoSpaceDE w:val="0"/>
              <w:autoSpaceDN w:val="0"/>
              <w:adjustRightInd w:val="0"/>
              <w:rPr>
                <w:sz w:val="18"/>
                <w:szCs w:val="18"/>
              </w:rPr>
            </w:pPr>
            <w:r w:rsidRPr="00E84D74">
              <w:rPr>
                <w:sz w:val="18"/>
                <w:szCs w:val="18"/>
              </w:rPr>
              <w:t>(i) the interconnection point;</w:t>
            </w:r>
          </w:p>
          <w:p w:rsidR="00497043" w:rsidRPr="00E84D74" w:rsidRDefault="00497043" w:rsidP="00DA725A">
            <w:pPr>
              <w:autoSpaceDE w:val="0"/>
              <w:autoSpaceDN w:val="0"/>
              <w:adjustRightInd w:val="0"/>
              <w:rPr>
                <w:sz w:val="18"/>
                <w:szCs w:val="18"/>
              </w:rPr>
            </w:pPr>
            <w:r w:rsidRPr="00E84D74">
              <w:rPr>
                <w:sz w:val="18"/>
                <w:szCs w:val="18"/>
              </w:rPr>
              <w:t>(ii) the direction of the gas flow;</w:t>
            </w:r>
          </w:p>
          <w:p w:rsidR="00497043" w:rsidRPr="00E84D74" w:rsidRDefault="00497043" w:rsidP="00DA725A">
            <w:pPr>
              <w:autoSpaceDE w:val="0"/>
              <w:autoSpaceDN w:val="0"/>
              <w:adjustRightInd w:val="0"/>
              <w:rPr>
                <w:sz w:val="18"/>
                <w:szCs w:val="18"/>
              </w:rPr>
            </w:pPr>
            <w:r w:rsidRPr="00E84D74">
              <w:rPr>
                <w:sz w:val="18"/>
                <w:szCs w:val="18"/>
              </w:rPr>
              <w:t>(iii) the names of the relevant transmission system operators;</w:t>
            </w:r>
          </w:p>
          <w:p w:rsidR="00497043" w:rsidRPr="00E84D74" w:rsidRDefault="00497043" w:rsidP="00DA725A">
            <w:pPr>
              <w:autoSpaceDE w:val="0"/>
              <w:autoSpaceDN w:val="0"/>
              <w:adjustRightInd w:val="0"/>
              <w:rPr>
                <w:sz w:val="18"/>
                <w:szCs w:val="18"/>
              </w:rPr>
            </w:pPr>
            <w:r w:rsidRPr="00E84D74">
              <w:rPr>
                <w:sz w:val="18"/>
                <w:szCs w:val="18"/>
              </w:rPr>
              <w:t>(iv) the start and the end time of the product;</w:t>
            </w:r>
          </w:p>
          <w:p w:rsidR="00497043" w:rsidRPr="00E84D74" w:rsidRDefault="00497043" w:rsidP="00DA725A">
            <w:pPr>
              <w:autoSpaceDE w:val="0"/>
              <w:autoSpaceDN w:val="0"/>
              <w:adjustRightInd w:val="0"/>
              <w:rPr>
                <w:sz w:val="18"/>
                <w:szCs w:val="18"/>
              </w:rPr>
            </w:pPr>
            <w:r w:rsidRPr="00E84D74">
              <w:rPr>
                <w:sz w:val="18"/>
                <w:szCs w:val="18"/>
              </w:rPr>
              <w:lastRenderedPageBreak/>
              <w:t>(v) whether the capacity is firm or interruptible;</w:t>
            </w:r>
          </w:p>
          <w:p w:rsidR="00497043" w:rsidRPr="00E84D74" w:rsidRDefault="00497043" w:rsidP="00DA725A">
            <w:pPr>
              <w:autoSpaceDE w:val="0"/>
              <w:autoSpaceDN w:val="0"/>
              <w:adjustRightInd w:val="0"/>
              <w:rPr>
                <w:sz w:val="18"/>
                <w:szCs w:val="18"/>
              </w:rPr>
            </w:pPr>
            <w:r w:rsidRPr="00E84D74">
              <w:rPr>
                <w:sz w:val="18"/>
                <w:szCs w:val="18"/>
              </w:rPr>
              <w:t>(vi) the indication of the standard capacity product;</w:t>
            </w:r>
          </w:p>
          <w:p w:rsidR="00497043" w:rsidRPr="00E84D74" w:rsidRDefault="00497043" w:rsidP="00DA725A">
            <w:pPr>
              <w:autoSpaceDE w:val="0"/>
              <w:autoSpaceDN w:val="0"/>
              <w:adjustRightInd w:val="0"/>
              <w:rPr>
                <w:sz w:val="18"/>
                <w:szCs w:val="18"/>
              </w:rPr>
            </w:pPr>
            <w:r w:rsidRPr="00E84D74">
              <w:rPr>
                <w:sz w:val="18"/>
                <w:szCs w:val="18"/>
              </w:rPr>
              <w:t>(vii) the applicable tariff per kWh/h and per kWh/d in the local currency and in the euro taking</w:t>
            </w:r>
            <w:r w:rsidR="00155E87" w:rsidRPr="00E84D74">
              <w:rPr>
                <w:sz w:val="18"/>
                <w:szCs w:val="18"/>
              </w:rPr>
              <w:t xml:space="preserve"> </w:t>
            </w:r>
            <w:r w:rsidRPr="00E84D74">
              <w:rPr>
                <w:sz w:val="18"/>
                <w:szCs w:val="18"/>
              </w:rPr>
              <w:t>into account the following:</w:t>
            </w:r>
          </w:p>
          <w:p w:rsidR="00497043" w:rsidRPr="00E84D74" w:rsidRDefault="00497043" w:rsidP="00DA725A">
            <w:pPr>
              <w:autoSpaceDE w:val="0"/>
              <w:autoSpaceDN w:val="0"/>
              <w:adjustRightInd w:val="0"/>
              <w:rPr>
                <w:sz w:val="18"/>
                <w:szCs w:val="18"/>
              </w:rPr>
            </w:pPr>
            <w:r w:rsidRPr="00E84D74">
              <w:rPr>
                <w:sz w:val="18"/>
                <w:szCs w:val="18"/>
              </w:rPr>
              <w:t>(1) where the applied capacity unit is kWh/h, the information on the applicable tariff per</w:t>
            </w:r>
            <w:r w:rsidR="00155E87" w:rsidRPr="00E84D74">
              <w:rPr>
                <w:sz w:val="18"/>
                <w:szCs w:val="18"/>
              </w:rPr>
              <w:t xml:space="preserve"> </w:t>
            </w:r>
            <w:r w:rsidRPr="00E84D74">
              <w:rPr>
                <w:sz w:val="18"/>
                <w:szCs w:val="18"/>
              </w:rPr>
              <w:t>kWh/d shall be non-binding, and vice versa;</w:t>
            </w:r>
          </w:p>
          <w:p w:rsidR="00497043" w:rsidRPr="00E84D74" w:rsidRDefault="00497043" w:rsidP="00E30C09">
            <w:pPr>
              <w:autoSpaceDE w:val="0"/>
              <w:autoSpaceDN w:val="0"/>
              <w:adjustRightInd w:val="0"/>
              <w:jc w:val="both"/>
              <w:rPr>
                <w:sz w:val="18"/>
                <w:szCs w:val="18"/>
              </w:rPr>
            </w:pPr>
            <w:r w:rsidRPr="00E84D74">
              <w:rPr>
                <w:sz w:val="18"/>
                <w:szCs w:val="18"/>
              </w:rPr>
              <w:t>(2) where the local currency is other than the euro, the information on the applicable tariff</w:t>
            </w:r>
            <w:r w:rsidR="00155E87" w:rsidRPr="00E84D74">
              <w:rPr>
                <w:sz w:val="18"/>
                <w:szCs w:val="18"/>
              </w:rPr>
              <w:t xml:space="preserve"> </w:t>
            </w:r>
            <w:r w:rsidRPr="00E84D74">
              <w:rPr>
                <w:sz w:val="18"/>
                <w:szCs w:val="18"/>
              </w:rPr>
              <w:t>in euro shall be non-binding.In addition, at the same time as set out in Article 30, such standardised table shall include the simulation</w:t>
            </w:r>
            <w:r w:rsidR="00155E87" w:rsidRPr="00E84D74">
              <w:rPr>
                <w:sz w:val="18"/>
                <w:szCs w:val="18"/>
              </w:rPr>
              <w:t xml:space="preserve"> </w:t>
            </w:r>
            <w:r w:rsidRPr="00E84D74">
              <w:rPr>
                <w:sz w:val="18"/>
                <w:szCs w:val="18"/>
              </w:rPr>
              <w:t xml:space="preserve">of all the costs for flowing 1 GWh/day/year for each </w:t>
            </w:r>
            <w:r w:rsidR="00155E87" w:rsidRPr="00E84D74">
              <w:rPr>
                <w:sz w:val="18"/>
                <w:szCs w:val="18"/>
              </w:rPr>
              <w:t xml:space="preserve"> </w:t>
            </w:r>
            <w:r w:rsidRPr="00E84D74">
              <w:rPr>
                <w:sz w:val="18"/>
                <w:szCs w:val="18"/>
              </w:rPr>
              <w:t>interconnection point in the local currency and in</w:t>
            </w:r>
          </w:p>
          <w:p w:rsidR="00497043" w:rsidRPr="00E84D74" w:rsidRDefault="00497043" w:rsidP="00E30C09">
            <w:pPr>
              <w:autoSpaceDE w:val="0"/>
              <w:autoSpaceDN w:val="0"/>
              <w:adjustRightInd w:val="0"/>
              <w:jc w:val="both"/>
              <w:rPr>
                <w:sz w:val="18"/>
                <w:szCs w:val="18"/>
              </w:rPr>
            </w:pPr>
            <w:r w:rsidRPr="00E84D74">
              <w:rPr>
                <w:sz w:val="18"/>
                <w:szCs w:val="18"/>
              </w:rPr>
              <w:t>the euro subject to point vii(2).</w:t>
            </w:r>
          </w:p>
          <w:p w:rsidR="00497043" w:rsidRPr="00E84D74" w:rsidRDefault="00497043" w:rsidP="00DA725A">
            <w:pPr>
              <w:autoSpaceDE w:val="0"/>
              <w:autoSpaceDN w:val="0"/>
              <w:adjustRightInd w:val="0"/>
              <w:rPr>
                <w:sz w:val="18"/>
                <w:szCs w:val="18"/>
              </w:rPr>
            </w:pPr>
            <w:r w:rsidRPr="00E84D74">
              <w:rPr>
                <w:sz w:val="18"/>
                <w:szCs w:val="18"/>
              </w:rPr>
              <w:t xml:space="preserve">4. Where the information referred to in paragraph 2 is different from the </w:t>
            </w:r>
            <w:r w:rsidR="00155E87" w:rsidRPr="00E84D74">
              <w:rPr>
                <w:sz w:val="18"/>
                <w:szCs w:val="18"/>
              </w:rPr>
              <w:t xml:space="preserve">respective information referred </w:t>
            </w:r>
            <w:r w:rsidRPr="00E84D74">
              <w:rPr>
                <w:sz w:val="18"/>
                <w:szCs w:val="18"/>
              </w:rPr>
              <w:t>to in paragraph 1, the respective information referred to in paragraph 1 shall prevail.</w:t>
            </w:r>
          </w:p>
          <w:p w:rsidR="00497043" w:rsidRPr="00E84D74" w:rsidRDefault="00497043" w:rsidP="00DA725A">
            <w:pPr>
              <w:autoSpaceDE w:val="0"/>
              <w:autoSpaceDN w:val="0"/>
              <w:adjustRightInd w:val="0"/>
              <w:rPr>
                <w:b/>
                <w:sz w:val="18"/>
                <w:szCs w:val="18"/>
              </w:rPr>
            </w:pP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32</w:t>
            </w:r>
          </w:p>
          <w:p w:rsidR="00D146AC" w:rsidRPr="00D82EE4" w:rsidRDefault="00D146AC" w:rsidP="00DA725A">
            <w:pPr>
              <w:shd w:val="clear" w:color="auto" w:fill="FFFFFF"/>
              <w:jc w:val="both"/>
              <w:rPr>
                <w:b/>
                <w:bCs/>
                <w:sz w:val="18"/>
                <w:szCs w:val="18"/>
                <w:lang w:val="it-IT"/>
              </w:rPr>
            </w:pPr>
            <w:r w:rsidRPr="00D82EE4">
              <w:rPr>
                <w:b/>
                <w:bCs/>
                <w:sz w:val="18"/>
                <w:szCs w:val="18"/>
                <w:lang w:val="it-IT"/>
              </w:rPr>
              <w:t>Perioada anunțului de publicare</w:t>
            </w:r>
          </w:p>
          <w:p w:rsidR="00D146AC" w:rsidRPr="00D82EE4" w:rsidRDefault="00D146AC" w:rsidP="00DA725A">
            <w:pPr>
              <w:shd w:val="clear" w:color="auto" w:fill="FFFFFF"/>
              <w:jc w:val="both"/>
              <w:rPr>
                <w:sz w:val="18"/>
                <w:szCs w:val="18"/>
                <w:lang w:val="it-IT"/>
              </w:rPr>
            </w:pPr>
            <w:r w:rsidRPr="00D82EE4">
              <w:rPr>
                <w:sz w:val="18"/>
                <w:szCs w:val="18"/>
                <w:lang w:val="it-IT"/>
              </w:rPr>
              <w:t>Termenul pentru publicarea informațiilor prevăzute la articolele 29 și 30 este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905"/>
            </w:tblGrid>
            <w:tr w:rsidR="00D146AC" w:rsidRPr="00C27D66" w:rsidTr="00E161C1">
              <w:tc>
                <w:tcPr>
                  <w:tcW w:w="214"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4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informațiile prevăzute la articolul 29, cel târziu cu treizeci de zile înainte de licitația anuală a capacității anuale;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4892"/>
            </w:tblGrid>
            <w:tr w:rsidR="00D146AC" w:rsidRPr="00C27D66" w:rsidTr="00E161C1">
              <w:tc>
                <w:tcPr>
                  <w:tcW w:w="239"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1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informațiile prevăzute la articolul 30, cel târziu cu treizeci de zile înainte de respectiva perioadă tarifară;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E161C1">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tarifele de transport respective actualizate în cadrul perioadei tarifare în conformitate cu articolul 12 alineatul (3), imediat după aprobarea în conformitate cu articolul 41 alineatul (6) litera (a) din Directiva 2009/73/CE.</w:t>
                  </w:r>
                </w:p>
              </w:tc>
            </w:tr>
          </w:tbl>
          <w:p w:rsidR="00D146AC" w:rsidRPr="00457838" w:rsidRDefault="00D146AC" w:rsidP="00DA725A">
            <w:pPr>
              <w:shd w:val="clear" w:color="auto" w:fill="FFFFFF"/>
              <w:jc w:val="both"/>
              <w:rPr>
                <w:sz w:val="18"/>
                <w:szCs w:val="18"/>
                <w:lang w:val="it-IT"/>
              </w:rPr>
            </w:pPr>
            <w:r w:rsidRPr="00D82EE4">
              <w:rPr>
                <w:sz w:val="18"/>
                <w:szCs w:val="18"/>
                <w:lang w:val="it-IT"/>
              </w:rPr>
              <w:t>Fiecare actualizare a tarifelor de transport trebuie să fie însoțită de informații care să indice motivele pentru care a fost modificat nivelul acestora. În cazul în care se aplică articolul 12 alineatul (3) litera (b), fiecare actualizare a tarifelor de transport trebuie să fie însoțită și de raportul actualizat menționat la articolul 29 litera (b) pentru tipurile respective de produse de capacitate standard pe</w:t>
            </w:r>
            <w:r w:rsidR="00457838">
              <w:rPr>
                <w:sz w:val="18"/>
                <w:szCs w:val="18"/>
                <w:lang w:val="it-IT"/>
              </w:rPr>
              <w:t>ntru capacitate întreruptibilă</w:t>
            </w:r>
          </w:p>
        </w:tc>
        <w:tc>
          <w:tcPr>
            <w:tcW w:w="4962" w:type="dxa"/>
          </w:tcPr>
          <w:p w:rsidR="00AD7C86" w:rsidRPr="00F377C0" w:rsidRDefault="00AD7C86" w:rsidP="00344FC2">
            <w:pPr>
              <w:pStyle w:val="NoSpacing"/>
              <w:jc w:val="center"/>
              <w:rPr>
                <w:sz w:val="18"/>
                <w:lang w:val="ro-RO"/>
              </w:rPr>
            </w:pPr>
            <w:r w:rsidRPr="00F377C0">
              <w:rPr>
                <w:b/>
                <w:bCs/>
                <w:sz w:val="18"/>
                <w:lang w:val="ro-RO"/>
              </w:rPr>
              <w:t>Secţiunea 4</w:t>
            </w:r>
          </w:p>
          <w:p w:rsidR="00AD7C86" w:rsidRPr="00F377C0" w:rsidRDefault="00AD7C86" w:rsidP="00344FC2">
            <w:pPr>
              <w:pStyle w:val="NoSpacing"/>
              <w:jc w:val="center"/>
              <w:rPr>
                <w:sz w:val="18"/>
                <w:lang w:val="ro-RO"/>
              </w:rPr>
            </w:pPr>
            <w:r w:rsidRPr="00F377C0">
              <w:rPr>
                <w:b/>
                <w:bCs/>
                <w:sz w:val="18"/>
                <w:lang w:val="ro-RO"/>
              </w:rPr>
              <w:t>Termenele de publicare a informaţiilor</w:t>
            </w:r>
          </w:p>
          <w:p w:rsidR="00AD7C86" w:rsidRPr="00F377C0" w:rsidRDefault="00AD7C86" w:rsidP="00AD7C86">
            <w:pPr>
              <w:pStyle w:val="NoSpacing"/>
              <w:rPr>
                <w:b/>
                <w:bCs/>
                <w:sz w:val="18"/>
                <w:lang w:val="ro-RO"/>
              </w:rPr>
            </w:pPr>
          </w:p>
          <w:p w:rsidR="00AD7C86" w:rsidRPr="00F377C0" w:rsidRDefault="00AD7C86" w:rsidP="00AD7C86">
            <w:pPr>
              <w:pStyle w:val="NoSpacing"/>
              <w:rPr>
                <w:sz w:val="18"/>
                <w:lang w:val="ro-RO"/>
              </w:rPr>
            </w:pPr>
            <w:r w:rsidRPr="00F377C0">
              <w:rPr>
                <w:b/>
                <w:bCs/>
                <w:sz w:val="18"/>
                <w:lang w:val="ro-RO"/>
              </w:rPr>
              <w:t>417.</w:t>
            </w:r>
            <w:r w:rsidRPr="00F377C0">
              <w:rPr>
                <w:sz w:val="18"/>
                <w:lang w:val="ro-RO"/>
              </w:rPr>
              <w:t xml:space="preserve"> Termenul pentru publicarea informaţiilor prevăzute la pct.408-411 este următorul:</w:t>
            </w:r>
          </w:p>
          <w:p w:rsidR="00AD7C86" w:rsidRPr="00F377C0" w:rsidRDefault="00AD7C86" w:rsidP="00AD7C86">
            <w:pPr>
              <w:pStyle w:val="NoSpacing"/>
              <w:rPr>
                <w:sz w:val="18"/>
                <w:lang w:val="ro-RO"/>
              </w:rPr>
            </w:pPr>
            <w:r w:rsidRPr="00F377C0">
              <w:rPr>
                <w:sz w:val="18"/>
                <w:lang w:val="ro-RO"/>
              </w:rPr>
              <w:t>1) pentru informaţiile prevăzute la pct.408, cel târziu cu 30 de zile înainte de licitaţia anuală a capacităţii anuale;</w:t>
            </w:r>
          </w:p>
          <w:p w:rsidR="00AD7C86" w:rsidRPr="00F377C0" w:rsidRDefault="00AD7C86" w:rsidP="00AD7C86">
            <w:pPr>
              <w:pStyle w:val="NoSpacing"/>
              <w:rPr>
                <w:sz w:val="18"/>
                <w:lang w:val="ro-RO"/>
              </w:rPr>
            </w:pPr>
            <w:r w:rsidRPr="00F377C0">
              <w:rPr>
                <w:sz w:val="18"/>
                <w:lang w:val="ro-RO"/>
              </w:rPr>
              <w:t>2) pentru informaţiile prevăzute la pct.408-411, cel târziu cu 30 de zile înainte de respectiva perioadă tarifară;</w:t>
            </w:r>
          </w:p>
          <w:p w:rsidR="00AD7C86" w:rsidRPr="00F377C0" w:rsidRDefault="00AD7C86" w:rsidP="00AD7C86">
            <w:pPr>
              <w:pStyle w:val="NoSpacing"/>
              <w:rPr>
                <w:sz w:val="18"/>
                <w:lang w:val="ro-RO"/>
              </w:rPr>
            </w:pPr>
            <w:r w:rsidRPr="00F377C0">
              <w:rPr>
                <w:sz w:val="18"/>
                <w:lang w:val="ro-RO"/>
              </w:rPr>
              <w:t>3) pentru tarifele pentru serviciul de transport al gazelor naturale actualizate în cadrul perioadei tarifare – imediat după aprobarea de către Agenţie, în conformitate cu pct.356.</w:t>
            </w:r>
          </w:p>
          <w:p w:rsidR="00AD7C86" w:rsidRPr="00F377C0" w:rsidRDefault="00AD7C86" w:rsidP="00AD7C86">
            <w:pPr>
              <w:pStyle w:val="NoSpacing"/>
              <w:jc w:val="both"/>
              <w:rPr>
                <w:b/>
                <w:bCs/>
                <w:sz w:val="18"/>
                <w:lang w:val="ro-RO"/>
              </w:rPr>
            </w:pPr>
          </w:p>
          <w:p w:rsidR="00D146AC" w:rsidRPr="00043955" w:rsidRDefault="00AD7C86" w:rsidP="00AD7C86">
            <w:pPr>
              <w:pStyle w:val="NoSpacing"/>
              <w:jc w:val="both"/>
              <w:rPr>
                <w:b/>
                <w:lang w:val="ro-RO"/>
              </w:rPr>
            </w:pPr>
            <w:r w:rsidRPr="00F377C0">
              <w:rPr>
                <w:b/>
                <w:bCs/>
                <w:sz w:val="18"/>
                <w:lang w:val="ro-RO"/>
              </w:rPr>
              <w:t>418.</w:t>
            </w:r>
            <w:r w:rsidRPr="00F377C0">
              <w:rPr>
                <w:sz w:val="18"/>
                <w:lang w:val="ro-RO"/>
              </w:rPr>
              <w:t xml:space="preserve"> Fiecare actualizare a tarifelor pentru serviciul de transport al gazelor naturale trebuie să fie însoţită de informaţii care să indice motivele pentru care nivelul tarifului a fost modificat. În cazul în care se aplică pct.355, subpunctul 2), fiecare actualizare a tarifelor pentru serviciul de transport trebuie să fie însoţită şi de </w:t>
            </w:r>
            <w:r w:rsidRPr="00F377C0">
              <w:rPr>
                <w:i/>
                <w:iCs/>
                <w:sz w:val="18"/>
                <w:lang w:val="ro-RO"/>
              </w:rPr>
              <w:t>raportul</w:t>
            </w:r>
            <w:r w:rsidRPr="00F377C0">
              <w:rPr>
                <w:sz w:val="18"/>
                <w:lang w:val="ro-RO"/>
              </w:rPr>
              <w:t xml:space="preserve"> actualizat menţionat la pct.407, subpunctul 2) pentru tipurile respective de PCS pentru capacitate întreruptibilă.</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BC4260" w:rsidRDefault="00D146AC" w:rsidP="00DA725A">
            <w:pPr>
              <w:jc w:val="both"/>
              <w:rPr>
                <w:b/>
                <w:sz w:val="18"/>
                <w:szCs w:val="18"/>
              </w:rPr>
            </w:pPr>
            <w:r w:rsidRPr="001675B2">
              <w:rPr>
                <w:sz w:val="18"/>
                <w:szCs w:val="18"/>
              </w:rPr>
              <w:t>Compatibi</w:t>
            </w:r>
            <w:r w:rsidR="00BC4260" w:rsidRPr="00BC4260">
              <w:rPr>
                <w:sz w:val="18"/>
                <w:szCs w:val="18"/>
              </w:rPr>
              <w:t>l</w:t>
            </w:r>
          </w:p>
          <w:p w:rsidR="00D146AC" w:rsidRPr="00043955" w:rsidRDefault="00D146AC" w:rsidP="00DA725A">
            <w:pPr>
              <w:jc w:val="both"/>
              <w:rPr>
                <w:b/>
                <w:sz w:val="18"/>
                <w:szCs w:val="18"/>
              </w:rPr>
            </w:pPr>
          </w:p>
        </w:tc>
        <w:tc>
          <w:tcPr>
            <w:tcW w:w="4253" w:type="dxa"/>
          </w:tcPr>
          <w:p w:rsidR="005D2471" w:rsidRPr="00E84D74" w:rsidRDefault="005D2471" w:rsidP="00DA725A">
            <w:pPr>
              <w:autoSpaceDE w:val="0"/>
              <w:autoSpaceDN w:val="0"/>
              <w:adjustRightInd w:val="0"/>
              <w:jc w:val="center"/>
              <w:rPr>
                <w:b/>
                <w:bCs/>
                <w:i/>
                <w:iCs/>
                <w:sz w:val="18"/>
                <w:szCs w:val="18"/>
              </w:rPr>
            </w:pPr>
            <w:r w:rsidRPr="00E84D74">
              <w:rPr>
                <w:b/>
                <w:bCs/>
                <w:i/>
                <w:iCs/>
                <w:sz w:val="18"/>
                <w:szCs w:val="18"/>
              </w:rPr>
              <w:t>Article 32</w:t>
            </w:r>
          </w:p>
          <w:p w:rsidR="005D2471" w:rsidRPr="00E84D74" w:rsidRDefault="005D2471" w:rsidP="00DA725A">
            <w:pPr>
              <w:autoSpaceDE w:val="0"/>
              <w:autoSpaceDN w:val="0"/>
              <w:adjustRightInd w:val="0"/>
              <w:jc w:val="center"/>
              <w:rPr>
                <w:b/>
                <w:bCs/>
                <w:sz w:val="18"/>
                <w:szCs w:val="18"/>
              </w:rPr>
            </w:pPr>
            <w:r w:rsidRPr="00E84D74">
              <w:rPr>
                <w:b/>
                <w:bCs/>
                <w:sz w:val="18"/>
                <w:szCs w:val="18"/>
              </w:rPr>
              <w:t>Publication notice period</w:t>
            </w:r>
          </w:p>
          <w:p w:rsidR="00991499" w:rsidRPr="00E84D74" w:rsidRDefault="00991499" w:rsidP="00DA725A">
            <w:pPr>
              <w:autoSpaceDE w:val="0"/>
              <w:autoSpaceDN w:val="0"/>
              <w:adjustRightInd w:val="0"/>
              <w:rPr>
                <w:sz w:val="18"/>
                <w:szCs w:val="18"/>
              </w:rPr>
            </w:pPr>
          </w:p>
          <w:p w:rsidR="005D2471" w:rsidRPr="00E84D74" w:rsidRDefault="005D2471" w:rsidP="00DA725A">
            <w:pPr>
              <w:autoSpaceDE w:val="0"/>
              <w:autoSpaceDN w:val="0"/>
              <w:adjustRightInd w:val="0"/>
              <w:rPr>
                <w:sz w:val="18"/>
                <w:szCs w:val="18"/>
              </w:rPr>
            </w:pPr>
            <w:r w:rsidRPr="00E84D74">
              <w:rPr>
                <w:sz w:val="18"/>
                <w:szCs w:val="18"/>
              </w:rPr>
              <w:t>The deadline for the publication of the information set out in Articles 29 and 30 shall be as follows:</w:t>
            </w:r>
          </w:p>
          <w:p w:rsidR="005D2471" w:rsidRPr="00E84D74" w:rsidRDefault="005D2471" w:rsidP="00DA725A">
            <w:pPr>
              <w:autoSpaceDE w:val="0"/>
              <w:autoSpaceDN w:val="0"/>
              <w:adjustRightInd w:val="0"/>
              <w:rPr>
                <w:sz w:val="18"/>
                <w:szCs w:val="18"/>
              </w:rPr>
            </w:pPr>
            <w:r w:rsidRPr="00E84D74">
              <w:rPr>
                <w:sz w:val="18"/>
                <w:szCs w:val="18"/>
              </w:rPr>
              <w:t>(a) for the information set out in Article 29, no later than thirty days before the annual yearly capacity</w:t>
            </w:r>
            <w:r w:rsidR="00991499" w:rsidRPr="00E84D74">
              <w:rPr>
                <w:sz w:val="18"/>
                <w:szCs w:val="18"/>
              </w:rPr>
              <w:t xml:space="preserve"> </w:t>
            </w:r>
            <w:r w:rsidRPr="00E84D74">
              <w:rPr>
                <w:sz w:val="18"/>
                <w:szCs w:val="18"/>
              </w:rPr>
              <w:t>auction;</w:t>
            </w:r>
          </w:p>
          <w:p w:rsidR="005D2471" w:rsidRPr="00E84D74" w:rsidRDefault="005D2471" w:rsidP="00DA725A">
            <w:pPr>
              <w:autoSpaceDE w:val="0"/>
              <w:autoSpaceDN w:val="0"/>
              <w:adjustRightInd w:val="0"/>
              <w:rPr>
                <w:sz w:val="18"/>
                <w:szCs w:val="18"/>
              </w:rPr>
            </w:pPr>
            <w:r w:rsidRPr="00E84D74">
              <w:rPr>
                <w:sz w:val="18"/>
                <w:szCs w:val="18"/>
              </w:rPr>
              <w:t>(b) for the information set out in Article 30, no later than thirty days before the respective tariff period;</w:t>
            </w:r>
          </w:p>
          <w:p w:rsidR="005D2471" w:rsidRPr="00E84D74" w:rsidRDefault="005D2471" w:rsidP="00DA725A">
            <w:pPr>
              <w:autoSpaceDE w:val="0"/>
              <w:autoSpaceDN w:val="0"/>
              <w:adjustRightInd w:val="0"/>
              <w:rPr>
                <w:sz w:val="18"/>
                <w:szCs w:val="18"/>
              </w:rPr>
            </w:pPr>
            <w:r w:rsidRPr="00E84D74">
              <w:rPr>
                <w:sz w:val="18"/>
                <w:szCs w:val="18"/>
              </w:rPr>
              <w:t>(c) for the respective transmission tariffs updated within the tariff period as set out in Article 12(3), immediately</w:t>
            </w:r>
          </w:p>
          <w:p w:rsidR="005D2471" w:rsidRPr="00E84D74" w:rsidRDefault="005D2471" w:rsidP="00DA725A">
            <w:pPr>
              <w:autoSpaceDE w:val="0"/>
              <w:autoSpaceDN w:val="0"/>
              <w:adjustRightInd w:val="0"/>
              <w:rPr>
                <w:sz w:val="18"/>
                <w:szCs w:val="18"/>
              </w:rPr>
            </w:pPr>
            <w:r w:rsidRPr="00E84D74">
              <w:rPr>
                <w:sz w:val="18"/>
                <w:szCs w:val="18"/>
              </w:rPr>
              <w:t>after the approval in accordance with Article 41(6)(a) of Directive 2009/73/EC.</w:t>
            </w:r>
          </w:p>
          <w:p w:rsidR="00991499" w:rsidRPr="00E84D74" w:rsidRDefault="00991499" w:rsidP="00DA725A">
            <w:pPr>
              <w:autoSpaceDE w:val="0"/>
              <w:autoSpaceDN w:val="0"/>
              <w:adjustRightInd w:val="0"/>
              <w:rPr>
                <w:sz w:val="18"/>
                <w:szCs w:val="18"/>
              </w:rPr>
            </w:pPr>
          </w:p>
          <w:p w:rsidR="00991499" w:rsidRPr="00E84D74" w:rsidRDefault="00991499" w:rsidP="00DA725A">
            <w:pPr>
              <w:autoSpaceDE w:val="0"/>
              <w:autoSpaceDN w:val="0"/>
              <w:adjustRightInd w:val="0"/>
              <w:rPr>
                <w:sz w:val="18"/>
                <w:szCs w:val="18"/>
              </w:rPr>
            </w:pPr>
          </w:p>
          <w:p w:rsidR="00D146AC" w:rsidRPr="00E84D74" w:rsidRDefault="005D2471" w:rsidP="00DA725A">
            <w:pPr>
              <w:autoSpaceDE w:val="0"/>
              <w:autoSpaceDN w:val="0"/>
              <w:adjustRightInd w:val="0"/>
              <w:rPr>
                <w:b/>
                <w:sz w:val="18"/>
                <w:szCs w:val="18"/>
              </w:rPr>
            </w:pPr>
            <w:r w:rsidRPr="00E84D74">
              <w:rPr>
                <w:sz w:val="18"/>
                <w:szCs w:val="18"/>
              </w:rPr>
              <w:t>Each update of the transmission tariffs shall be accompanied by information indicating the reasons for the</w:t>
            </w:r>
            <w:r w:rsidR="00AA5C04" w:rsidRPr="00E84D74">
              <w:rPr>
                <w:sz w:val="18"/>
                <w:szCs w:val="18"/>
              </w:rPr>
              <w:t xml:space="preserve"> </w:t>
            </w:r>
            <w:r w:rsidRPr="00E84D74">
              <w:rPr>
                <w:sz w:val="18"/>
                <w:szCs w:val="18"/>
              </w:rPr>
              <w:t>changes in their level. Where Article 12(3)(b) is applied, it shall also be accompanied by the updated report</w:t>
            </w:r>
            <w:r w:rsidR="00AA5C04" w:rsidRPr="00E84D74">
              <w:rPr>
                <w:sz w:val="18"/>
                <w:szCs w:val="18"/>
              </w:rPr>
              <w:t xml:space="preserve"> </w:t>
            </w:r>
            <w:r w:rsidRPr="00E84D74">
              <w:rPr>
                <w:sz w:val="18"/>
                <w:szCs w:val="18"/>
              </w:rPr>
              <w:t>referred to in Article 29(b) for the respective types of standard capacity products for interruptible capacity.</w:t>
            </w:r>
          </w:p>
        </w:tc>
      </w:tr>
      <w:tr w:rsidR="00D146AC" w:rsidRPr="00043955" w:rsidTr="00FC3840">
        <w:trPr>
          <w:trHeight w:val="1240"/>
        </w:trPr>
        <w:tc>
          <w:tcPr>
            <w:tcW w:w="5245" w:type="dxa"/>
          </w:tcPr>
          <w:p w:rsidR="00D146AC" w:rsidRPr="00D82EE4" w:rsidRDefault="00D146AC" w:rsidP="00DA725A">
            <w:pPr>
              <w:shd w:val="clear" w:color="auto" w:fill="FFFFFF"/>
              <w:jc w:val="both"/>
              <w:rPr>
                <w:b/>
                <w:bCs/>
                <w:sz w:val="18"/>
                <w:szCs w:val="18"/>
                <w:lang w:val="it-IT"/>
              </w:rPr>
            </w:pPr>
            <w:r w:rsidRPr="00D82EE4">
              <w:rPr>
                <w:b/>
                <w:bCs/>
                <w:sz w:val="18"/>
                <w:szCs w:val="18"/>
                <w:lang w:val="it-IT"/>
              </w:rPr>
              <w:lastRenderedPageBreak/>
              <w:t>CAPITOLUL IX</w:t>
            </w:r>
          </w:p>
          <w:p w:rsidR="00D146AC" w:rsidRPr="00D82EE4" w:rsidRDefault="00D146AC" w:rsidP="00DA725A">
            <w:pPr>
              <w:shd w:val="clear" w:color="auto" w:fill="FFFFFF"/>
              <w:jc w:val="both"/>
              <w:rPr>
                <w:b/>
                <w:bCs/>
                <w:sz w:val="18"/>
                <w:szCs w:val="18"/>
                <w:lang w:val="it-IT"/>
              </w:rPr>
            </w:pPr>
            <w:r w:rsidRPr="00D82EE4">
              <w:rPr>
                <w:b/>
                <w:bCs/>
                <w:sz w:val="18"/>
                <w:szCs w:val="18"/>
                <w:lang w:val="it-IT"/>
              </w:rPr>
              <w:t>CAPACITATEA INCREMENTALĂ</w:t>
            </w:r>
          </w:p>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33</w:t>
            </w:r>
          </w:p>
          <w:p w:rsidR="00D146AC" w:rsidRPr="00D82EE4" w:rsidRDefault="00D146AC" w:rsidP="00DA725A">
            <w:pPr>
              <w:shd w:val="clear" w:color="auto" w:fill="FFFFFF"/>
              <w:jc w:val="both"/>
              <w:rPr>
                <w:b/>
                <w:bCs/>
                <w:sz w:val="18"/>
                <w:szCs w:val="18"/>
                <w:lang w:val="it-IT"/>
              </w:rPr>
            </w:pPr>
            <w:r w:rsidRPr="00D82EE4">
              <w:rPr>
                <w:b/>
                <w:bCs/>
                <w:sz w:val="18"/>
                <w:szCs w:val="18"/>
                <w:lang w:val="it-IT"/>
              </w:rPr>
              <w:t>Principii tarifare privind capacitatea incrementală</w:t>
            </w:r>
          </w:p>
          <w:p w:rsidR="00D146AC" w:rsidRDefault="00D146AC" w:rsidP="00DA725A">
            <w:pPr>
              <w:shd w:val="clear" w:color="auto" w:fill="FFFFFF"/>
              <w:jc w:val="both"/>
              <w:rPr>
                <w:sz w:val="18"/>
                <w:szCs w:val="18"/>
                <w:lang w:val="it-IT"/>
              </w:rPr>
            </w:pPr>
            <w:r w:rsidRPr="00D82EE4">
              <w:rPr>
                <w:sz w:val="18"/>
                <w:szCs w:val="18"/>
                <w:lang w:val="it-IT"/>
              </w:rPr>
              <w:t>(1)   Prețul minim la care operatorii de transport și de sistem acceptă cererea de capacitate incrementală este prețul de referință. Pentru calcularea testului economic, prețurile de referință trebuie să fie determinate prin includerea în metodologia de stabilire a prețurilor de referință a ipotezelor relevante legate de oferta de capacitate incrementală.</w:t>
            </w:r>
          </w:p>
          <w:p w:rsidR="00E30C09" w:rsidRDefault="00E30C09" w:rsidP="00DA725A">
            <w:pPr>
              <w:shd w:val="clear" w:color="auto" w:fill="FFFFFF"/>
              <w:jc w:val="both"/>
              <w:rPr>
                <w:sz w:val="18"/>
                <w:szCs w:val="18"/>
                <w:lang w:val="it-IT"/>
              </w:rPr>
            </w:pPr>
          </w:p>
          <w:p w:rsidR="00E30C09" w:rsidRPr="00D82EE4" w:rsidRDefault="00E30C09"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(2)   În cazul în care abordarea privind prețul de plătit fix prevăzută la articolul 24 litera (b) este considerată a fi oferită pentru capacitatea incrementală, prețul de rezervă menționat la articolul 24 litera (b) se bazează pe costurile de investiții și de funcționare previzionate. Odată ce capacitatea incrementală este comandată, respectivul preț de rezervă se ajustează proporțional cu diferența dintre costurile de investiții previzionate și cele reale, indiferent dacă această diferență este pozitivă sau negativă.</w:t>
            </w:r>
          </w:p>
          <w:p w:rsidR="00E30C09" w:rsidRDefault="00E30C09" w:rsidP="00DA725A">
            <w:pPr>
              <w:shd w:val="clear" w:color="auto" w:fill="FFFFFF"/>
              <w:jc w:val="both"/>
              <w:rPr>
                <w:sz w:val="18"/>
                <w:szCs w:val="18"/>
                <w:lang w:val="it-IT"/>
              </w:rPr>
            </w:pPr>
          </w:p>
          <w:p w:rsidR="00E30C09" w:rsidRPr="00D82EE4" w:rsidRDefault="00E30C09"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În cazul în care alocarea capacității incrementale la prețul de referință nu ar genera venituri suficiente pentru a obține un rezultat pozitiv la testul economic, poate fi aplicată o primă minimă obligatorie în cadrul primei licitații sau al primului mecanism alternativ de alocare în care se oferă capacitate incrementală. Prima minimă obligatorie poate fi aplicată, de asemenea, în licitațiile ulterioare, atunci când se oferă capacitatea care a rămas inițial nevândută sau capacitatea care a fost inițial rezervată în conformitate cu articolul 8 alineatele (8) și (9) din Regulamentul (UE) 2017/459. Decizia privind oportunitatea aplicării unei prime minime obligatorii și licitațiile în cadrul cărora trebuie aplicată aceasta se adoptă în conformitate cu articolul 41 alineatul (6) litera (a) din Directiva 2009/73/CE.</w:t>
            </w:r>
          </w:p>
          <w:p w:rsidR="002F3406" w:rsidRDefault="002F3406" w:rsidP="00DA725A">
            <w:pPr>
              <w:shd w:val="clear" w:color="auto" w:fill="FFFFFF"/>
              <w:jc w:val="both"/>
              <w:rPr>
                <w:sz w:val="18"/>
                <w:szCs w:val="18"/>
                <w:lang w:val="it-IT"/>
              </w:rPr>
            </w:pPr>
          </w:p>
          <w:p w:rsidR="002F3406" w:rsidRPr="00D82EE4" w:rsidRDefault="002F3406"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(4)   Nivelul primei minime obligatorii trebuie să permită obținerea unui rezultat pozitiv la testul economic cu veniturile generate de capacitatea oferită în cadrul primei licitații sau al primului mecanism alternativ de alocare în care se oferă capacitate incrementală. Intervalul în care se situează nivelul primei minime obligatorii, în funcție de capacitatea alocată estimată, este transmis spre aprobare autorității naționale de reglementare în conformitate cu articolul 25 alineatul (1) litera (c) din Regulamentul (UE) 2017/459.</w:t>
            </w:r>
          </w:p>
          <w:p w:rsidR="002F3406" w:rsidRDefault="002F3406" w:rsidP="00DA725A">
            <w:pPr>
              <w:shd w:val="clear" w:color="auto" w:fill="FFFFFF"/>
              <w:jc w:val="both"/>
              <w:rPr>
                <w:sz w:val="18"/>
                <w:szCs w:val="18"/>
                <w:lang w:val="it-IT"/>
              </w:rPr>
            </w:pPr>
          </w:p>
          <w:p w:rsidR="002F3406" w:rsidRPr="00D82EE4" w:rsidRDefault="002F3406"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lastRenderedPageBreak/>
              <w:t>(5)   Prima minimă obligatorie aprobată de autoritatea națională de reglementare se adaugă la prețul de referință pentru produsele de capacitate agregată în punctul de interconectare corespunzător și se atribuie exclusiv operatorilor de transport și de sistem pentru care prima minimă obligatorie a fost aprobată de respectiva autoritate națională de reglementare. Acest principiu implicit de atribuire a primei minime obligatorii nu aduce atingere împărțirii unei eventuale prime de licitație suplimentare în conformitate cu articolul 21 alineatul (3), nici unui acord alternativ între autoritățile naționale de reglementare implicate.</w:t>
            </w:r>
          </w:p>
          <w:p w:rsidR="00D146AC" w:rsidRPr="00D82EE4" w:rsidRDefault="00D146AC" w:rsidP="00DA725A">
            <w:pPr>
              <w:shd w:val="clear" w:color="auto" w:fill="FFFFFF"/>
              <w:jc w:val="both"/>
              <w:rPr>
                <w:b/>
                <w:bCs/>
                <w:sz w:val="18"/>
                <w:szCs w:val="18"/>
                <w:lang w:val="it-IT"/>
              </w:rPr>
            </w:pPr>
          </w:p>
        </w:tc>
        <w:tc>
          <w:tcPr>
            <w:tcW w:w="4962" w:type="dxa"/>
          </w:tcPr>
          <w:p w:rsidR="00AD7C86" w:rsidRPr="00F377C0" w:rsidRDefault="00AD7C86" w:rsidP="00AD7C86">
            <w:pPr>
              <w:pStyle w:val="NoSpacing"/>
              <w:jc w:val="center"/>
              <w:rPr>
                <w:b/>
                <w:sz w:val="18"/>
                <w:lang w:val="ro-RO"/>
              </w:rPr>
            </w:pPr>
            <w:r w:rsidRPr="00F377C0">
              <w:rPr>
                <w:b/>
                <w:sz w:val="18"/>
                <w:lang w:val="ro-RO"/>
              </w:rPr>
              <w:lastRenderedPageBreak/>
              <w:t>Capitolul IX</w:t>
            </w:r>
          </w:p>
          <w:p w:rsidR="00AD7C86" w:rsidRPr="00F377C0" w:rsidRDefault="00AD7C86" w:rsidP="00AD7C86">
            <w:pPr>
              <w:pStyle w:val="NoSpacing"/>
              <w:jc w:val="center"/>
              <w:rPr>
                <w:b/>
                <w:sz w:val="18"/>
                <w:lang w:val="ro-RO"/>
              </w:rPr>
            </w:pPr>
            <w:r w:rsidRPr="00F377C0">
              <w:rPr>
                <w:b/>
                <w:sz w:val="18"/>
                <w:lang w:val="ro-RO"/>
              </w:rPr>
              <w:t>CAPACITATEA INCREMENTALĂ</w:t>
            </w:r>
          </w:p>
          <w:p w:rsidR="00AD7C86" w:rsidRPr="00F377C0" w:rsidRDefault="00AD7C86" w:rsidP="00AD7C86">
            <w:pPr>
              <w:pStyle w:val="NoSpacing"/>
              <w:jc w:val="center"/>
              <w:rPr>
                <w:b/>
                <w:sz w:val="18"/>
                <w:lang w:val="ro-RO"/>
              </w:rPr>
            </w:pPr>
          </w:p>
          <w:p w:rsidR="00AD7C86" w:rsidRPr="00F377C0" w:rsidRDefault="00AD7C86" w:rsidP="00AD7C86">
            <w:pPr>
              <w:pStyle w:val="NoSpacing"/>
              <w:jc w:val="center"/>
              <w:rPr>
                <w:b/>
                <w:sz w:val="18"/>
                <w:lang w:val="ro-RO"/>
              </w:rPr>
            </w:pPr>
            <w:r w:rsidRPr="00F377C0">
              <w:rPr>
                <w:b/>
                <w:sz w:val="18"/>
                <w:lang w:val="ro-RO"/>
              </w:rPr>
              <w:t>Secţiunea 1</w:t>
            </w:r>
          </w:p>
          <w:p w:rsidR="00AD7C86" w:rsidRPr="00F377C0" w:rsidRDefault="00AD7C86" w:rsidP="00AD7C86">
            <w:pPr>
              <w:pStyle w:val="NoSpacing"/>
              <w:jc w:val="center"/>
              <w:rPr>
                <w:b/>
                <w:sz w:val="18"/>
                <w:lang w:val="ro-RO"/>
              </w:rPr>
            </w:pPr>
            <w:r w:rsidRPr="00F377C0">
              <w:rPr>
                <w:b/>
                <w:sz w:val="18"/>
                <w:lang w:val="ro-RO"/>
              </w:rPr>
              <w:t>Principii tarifare privind capacitatea incrementală</w:t>
            </w:r>
          </w:p>
          <w:p w:rsidR="00AD7C86" w:rsidRDefault="00AD7C86" w:rsidP="00AD7C86">
            <w:pPr>
              <w:pStyle w:val="NoSpacing"/>
              <w:jc w:val="both"/>
              <w:rPr>
                <w:sz w:val="18"/>
                <w:lang w:val="ro-RO"/>
              </w:rPr>
            </w:pPr>
            <w:r w:rsidRPr="00F377C0">
              <w:rPr>
                <w:b/>
                <w:sz w:val="18"/>
                <w:lang w:val="ro-RO"/>
              </w:rPr>
              <w:t>419</w:t>
            </w:r>
            <w:r w:rsidRPr="00F377C0">
              <w:rPr>
                <w:sz w:val="18"/>
                <w:lang w:val="ro-RO"/>
              </w:rPr>
              <w:t>. Preţul minim la care OST acceptă cererea de capacitate incrementală este preţul de referinţă. Pentru calcularea testului economic, preţurile de referinţă trebuie să fie determinate prin includerea în metoda de calculare a preţurilor de referinţă a ipotezelor relevante legate de oferta de capacitate incrementală.</w:t>
            </w:r>
          </w:p>
          <w:p w:rsidR="00E30C09" w:rsidRDefault="00E30C09" w:rsidP="00AD7C86">
            <w:pPr>
              <w:pStyle w:val="NoSpacing"/>
              <w:jc w:val="both"/>
              <w:rPr>
                <w:sz w:val="18"/>
                <w:lang w:val="ro-RO"/>
              </w:rPr>
            </w:pPr>
          </w:p>
          <w:p w:rsidR="00E30C09" w:rsidRPr="00F377C0" w:rsidRDefault="00E30C09" w:rsidP="00AD7C86">
            <w:pPr>
              <w:pStyle w:val="NoSpacing"/>
              <w:jc w:val="both"/>
              <w:rPr>
                <w:sz w:val="18"/>
                <w:lang w:val="ro-RO"/>
              </w:rPr>
            </w:pPr>
          </w:p>
          <w:p w:rsidR="00AD7C86" w:rsidRDefault="00AD7C86" w:rsidP="00AD7C86">
            <w:pPr>
              <w:pStyle w:val="NoSpacing"/>
              <w:jc w:val="both"/>
              <w:rPr>
                <w:sz w:val="18"/>
                <w:lang w:val="ro-RO"/>
              </w:rPr>
            </w:pPr>
            <w:r w:rsidRPr="00F377C0">
              <w:rPr>
                <w:b/>
                <w:sz w:val="18"/>
                <w:lang w:val="ro-RO"/>
              </w:rPr>
              <w:t>420</w:t>
            </w:r>
            <w:r w:rsidRPr="00F377C0">
              <w:rPr>
                <w:sz w:val="18"/>
                <w:lang w:val="ro-RO"/>
              </w:rPr>
              <w:t>. În cazul în care abordarea privind preţul fix prevăzută la pct.391, subpunctul 2) este considerată a fi oferită pentru capacitatea incrementală, preţul de rezervă menţionat la pct.391, subpunctul 2) se bazează pe costurile de investiţii şi de funcţionare estimate. Odată ce capacitatea incrementală este comandată, respectivul preţ de rezervă se ajustează proporţional cu diferenţa dintre costurile de investiţii estimate şi cele reale, indiferent dacă această diferenţă este pozitivă sau negativă.</w:t>
            </w:r>
          </w:p>
          <w:p w:rsidR="00E30C09" w:rsidRDefault="00E30C09" w:rsidP="00AD7C86">
            <w:pPr>
              <w:pStyle w:val="NoSpacing"/>
              <w:jc w:val="both"/>
              <w:rPr>
                <w:sz w:val="18"/>
                <w:lang w:val="ro-RO"/>
              </w:rPr>
            </w:pPr>
          </w:p>
          <w:p w:rsidR="00E30C09" w:rsidRPr="00F377C0" w:rsidRDefault="00E30C09" w:rsidP="00AD7C86">
            <w:pPr>
              <w:pStyle w:val="NoSpacing"/>
              <w:jc w:val="both"/>
              <w:rPr>
                <w:sz w:val="18"/>
                <w:lang w:val="ro-RO"/>
              </w:rPr>
            </w:pPr>
          </w:p>
          <w:p w:rsidR="00AD7C86" w:rsidRDefault="00AD7C86" w:rsidP="00AD7C86">
            <w:pPr>
              <w:pStyle w:val="NoSpacing"/>
              <w:jc w:val="both"/>
              <w:rPr>
                <w:sz w:val="18"/>
                <w:lang w:val="ro-RO"/>
              </w:rPr>
            </w:pPr>
            <w:r w:rsidRPr="00F377C0">
              <w:rPr>
                <w:b/>
                <w:sz w:val="18"/>
                <w:lang w:val="ro-RO"/>
              </w:rPr>
              <w:t>421</w:t>
            </w:r>
            <w:r w:rsidRPr="00F377C0">
              <w:rPr>
                <w:sz w:val="18"/>
                <w:lang w:val="ro-RO"/>
              </w:rPr>
              <w:t>. În cazul în care alocarea capacităţii incrementale la preţul de referinţă nu ar genera venituri suficiente pentru a obţine un rezultat pozitiv la testul economic, poate fi aplicată o primă minimă obligatorie în cadrul primei licitaţii sau al primului mecanism alternativ de alocare în care se oferă capacitate incrementală. Prima minimă obligatorie poate fi aplicată, de asemenea, în licitaţiile ulterioare, atunci când se oferă capacitatea care a rămas iniţial nevândută sau capacitatea care a fost iniţial rezervată în conformitate cu pct.143 şi 144 a prezentului Cod. Decizia privind oportunitatea aplicării unei prime minime obligatorii şi licitaţiile în cadrul cărora trebuie aplicată aceasta se adoptă de către Agenţie în conformitate cu art.98-99 din Legea nr.108/2016.</w:t>
            </w:r>
          </w:p>
          <w:p w:rsidR="002F3406" w:rsidRPr="00F377C0" w:rsidRDefault="002F3406" w:rsidP="00AD7C86">
            <w:pPr>
              <w:pStyle w:val="NoSpacing"/>
              <w:jc w:val="both"/>
              <w:rPr>
                <w:sz w:val="18"/>
                <w:lang w:val="ro-RO"/>
              </w:rPr>
            </w:pPr>
          </w:p>
          <w:p w:rsidR="00AD7C86" w:rsidRPr="00F377C0" w:rsidRDefault="00AD7C86" w:rsidP="00AD7C86">
            <w:pPr>
              <w:pStyle w:val="NoSpacing"/>
              <w:jc w:val="both"/>
              <w:rPr>
                <w:sz w:val="18"/>
                <w:lang w:val="ro-RO"/>
              </w:rPr>
            </w:pPr>
            <w:r w:rsidRPr="00F377C0">
              <w:rPr>
                <w:b/>
                <w:sz w:val="18"/>
                <w:lang w:val="ro-RO"/>
              </w:rPr>
              <w:t>422</w:t>
            </w:r>
            <w:r w:rsidRPr="00F377C0">
              <w:rPr>
                <w:sz w:val="18"/>
                <w:lang w:val="ro-RO"/>
              </w:rPr>
              <w:t>. Nivelul primei minime obligatorii trebuie să permită obţinerea unui rezultat pozitiv la testul economic cu veniturile generate de capacitatea oferită în cadrul primei licitaţii sau al primului mecanism alternativ de alocare în care se oferă capacitate incrementală. Intervalul în care se situează nivelul primei minime obligatorii, în funcţie de capacitatea alocată estimată, este transmis spre aprobare Agenţie în conformitate cu pct.260, subpunctul 3).</w:t>
            </w:r>
          </w:p>
          <w:p w:rsidR="00F377C0" w:rsidRDefault="00F377C0" w:rsidP="00AD7C86">
            <w:pPr>
              <w:pStyle w:val="NoSpacing"/>
              <w:jc w:val="both"/>
              <w:rPr>
                <w:b/>
                <w:sz w:val="18"/>
                <w:lang w:val="ro-RO"/>
              </w:rPr>
            </w:pPr>
          </w:p>
          <w:p w:rsidR="002F3406" w:rsidRDefault="002F3406" w:rsidP="00AD7C86">
            <w:pPr>
              <w:pStyle w:val="NoSpacing"/>
              <w:jc w:val="both"/>
              <w:rPr>
                <w:b/>
                <w:sz w:val="18"/>
                <w:lang w:val="ro-RO"/>
              </w:rPr>
            </w:pPr>
          </w:p>
          <w:p w:rsidR="00D146AC" w:rsidRPr="00043955" w:rsidRDefault="00AD7C86" w:rsidP="00AD7C86">
            <w:pPr>
              <w:pStyle w:val="NoSpacing"/>
              <w:jc w:val="both"/>
              <w:rPr>
                <w:lang w:val="ro-RO"/>
              </w:rPr>
            </w:pPr>
            <w:r w:rsidRPr="00F377C0">
              <w:rPr>
                <w:b/>
                <w:sz w:val="18"/>
                <w:lang w:val="ro-RO"/>
              </w:rPr>
              <w:t>423</w:t>
            </w:r>
            <w:r w:rsidRPr="00F377C0">
              <w:rPr>
                <w:sz w:val="18"/>
                <w:lang w:val="ro-RO"/>
              </w:rPr>
              <w:t xml:space="preserve">. O primă minimă obligatorie aprobată de Agenţie se adaugă la preţul de referinţă pentru produsele de capacitate agregată în punctul de interconectare corespunzător şi se atribuie exclusiv </w:t>
            </w:r>
            <w:r w:rsidRPr="00F377C0">
              <w:rPr>
                <w:sz w:val="18"/>
                <w:lang w:val="ro-RO"/>
              </w:rPr>
              <w:lastRenderedPageBreak/>
              <w:t>OST pentru care prima minimă obligatorie a fost aprobată de Agenţie. Acest principiu implicit de atribuire a primei minime obligatorii nu aduce atingere unei eventuale prime de licitaţie suplimentare în conformitate cu pct.384, nici unui acord alternativ între autorităţile naţionale de reglementare implicate.</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641823" w:rsidRDefault="00D146AC" w:rsidP="00DA725A">
            <w:pPr>
              <w:jc w:val="both"/>
              <w:rPr>
                <w:sz w:val="18"/>
                <w:szCs w:val="18"/>
                <w:lang w:val="it-IT"/>
              </w:rPr>
            </w:pPr>
          </w:p>
          <w:p w:rsidR="00D146AC" w:rsidRPr="00641823"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84A71" w:rsidRPr="00E30C09" w:rsidRDefault="00D84A71" w:rsidP="00DA725A">
            <w:pPr>
              <w:jc w:val="both"/>
              <w:rPr>
                <w:sz w:val="18"/>
                <w:szCs w:val="18"/>
                <w:lang w:val="it-IT"/>
              </w:rPr>
            </w:pPr>
          </w:p>
          <w:p w:rsidR="00D84A71" w:rsidRPr="00E30C09" w:rsidRDefault="00D84A71" w:rsidP="00DA725A">
            <w:pPr>
              <w:jc w:val="both"/>
              <w:rPr>
                <w:sz w:val="18"/>
                <w:szCs w:val="18"/>
                <w:lang w:val="it-IT"/>
              </w:rPr>
            </w:pPr>
          </w:p>
          <w:p w:rsidR="00D84A71" w:rsidRPr="00E30C09" w:rsidRDefault="00D84A71" w:rsidP="00DA725A">
            <w:pPr>
              <w:jc w:val="both"/>
              <w:rPr>
                <w:sz w:val="18"/>
                <w:szCs w:val="18"/>
                <w:lang w:val="it-IT"/>
              </w:rPr>
            </w:pPr>
          </w:p>
          <w:p w:rsidR="00D84A71" w:rsidRPr="00E30C09" w:rsidRDefault="00D84A71"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Default="00D146AC" w:rsidP="00DA725A">
            <w:pPr>
              <w:jc w:val="both"/>
              <w:rPr>
                <w:sz w:val="18"/>
                <w:szCs w:val="18"/>
                <w:lang w:val="it-IT"/>
              </w:rPr>
            </w:pPr>
          </w:p>
          <w:p w:rsidR="002F3406" w:rsidRPr="00E30C09" w:rsidRDefault="002F3406"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b/>
                <w:sz w:val="18"/>
                <w:szCs w:val="18"/>
                <w:lang w:val="it-IT"/>
              </w:rPr>
            </w:pPr>
          </w:p>
          <w:p w:rsidR="00D146AC" w:rsidRPr="00E30C09" w:rsidRDefault="00D146AC" w:rsidP="00DA725A">
            <w:pPr>
              <w:jc w:val="both"/>
              <w:rPr>
                <w:b/>
                <w:sz w:val="18"/>
                <w:szCs w:val="18"/>
                <w:lang w:val="it-IT"/>
              </w:rPr>
            </w:pPr>
          </w:p>
        </w:tc>
        <w:tc>
          <w:tcPr>
            <w:tcW w:w="4253" w:type="dxa"/>
          </w:tcPr>
          <w:p w:rsidR="005D2471" w:rsidRPr="00E84D74" w:rsidRDefault="005D2471" w:rsidP="00DA725A">
            <w:pPr>
              <w:autoSpaceDE w:val="0"/>
              <w:autoSpaceDN w:val="0"/>
              <w:adjustRightInd w:val="0"/>
              <w:jc w:val="center"/>
              <w:rPr>
                <w:b/>
                <w:bCs/>
                <w:sz w:val="18"/>
                <w:szCs w:val="18"/>
              </w:rPr>
            </w:pPr>
            <w:r w:rsidRPr="00E84D74">
              <w:rPr>
                <w:b/>
                <w:bCs/>
                <w:sz w:val="18"/>
                <w:szCs w:val="18"/>
              </w:rPr>
              <w:lastRenderedPageBreak/>
              <w:t>CHAPTER IX</w:t>
            </w:r>
          </w:p>
          <w:p w:rsidR="005D2471" w:rsidRPr="00E84D74" w:rsidRDefault="005D2471" w:rsidP="00DA725A">
            <w:pPr>
              <w:autoSpaceDE w:val="0"/>
              <w:autoSpaceDN w:val="0"/>
              <w:adjustRightInd w:val="0"/>
              <w:jc w:val="center"/>
              <w:rPr>
                <w:b/>
                <w:bCs/>
                <w:sz w:val="18"/>
                <w:szCs w:val="18"/>
              </w:rPr>
            </w:pPr>
            <w:r w:rsidRPr="00E84D74">
              <w:rPr>
                <w:b/>
                <w:bCs/>
                <w:sz w:val="18"/>
                <w:szCs w:val="18"/>
              </w:rPr>
              <w:t>INCREMENTAL CAPACITY</w:t>
            </w:r>
          </w:p>
          <w:p w:rsidR="00457838" w:rsidRPr="00E84D74" w:rsidRDefault="00457838" w:rsidP="00DA725A">
            <w:pPr>
              <w:autoSpaceDE w:val="0"/>
              <w:autoSpaceDN w:val="0"/>
              <w:adjustRightInd w:val="0"/>
              <w:jc w:val="center"/>
              <w:rPr>
                <w:b/>
                <w:bCs/>
                <w:i/>
                <w:iCs/>
                <w:sz w:val="18"/>
                <w:szCs w:val="18"/>
              </w:rPr>
            </w:pPr>
          </w:p>
          <w:p w:rsidR="005D2471" w:rsidRPr="00E84D74" w:rsidRDefault="005D2471" w:rsidP="00DA725A">
            <w:pPr>
              <w:autoSpaceDE w:val="0"/>
              <w:autoSpaceDN w:val="0"/>
              <w:adjustRightInd w:val="0"/>
              <w:jc w:val="center"/>
              <w:rPr>
                <w:b/>
                <w:bCs/>
                <w:i/>
                <w:iCs/>
                <w:sz w:val="18"/>
                <w:szCs w:val="18"/>
              </w:rPr>
            </w:pPr>
            <w:r w:rsidRPr="00E84D74">
              <w:rPr>
                <w:b/>
                <w:bCs/>
                <w:i/>
                <w:iCs/>
                <w:sz w:val="18"/>
                <w:szCs w:val="18"/>
              </w:rPr>
              <w:t>Article 33</w:t>
            </w:r>
          </w:p>
          <w:p w:rsidR="005D2471" w:rsidRPr="00E84D74" w:rsidRDefault="005D2471" w:rsidP="00DA725A">
            <w:pPr>
              <w:autoSpaceDE w:val="0"/>
              <w:autoSpaceDN w:val="0"/>
              <w:adjustRightInd w:val="0"/>
              <w:jc w:val="center"/>
              <w:rPr>
                <w:b/>
                <w:bCs/>
                <w:sz w:val="18"/>
                <w:szCs w:val="18"/>
              </w:rPr>
            </w:pPr>
            <w:r w:rsidRPr="00E84D74">
              <w:rPr>
                <w:b/>
                <w:bCs/>
                <w:sz w:val="18"/>
                <w:szCs w:val="18"/>
              </w:rPr>
              <w:t>Tariff principles for incremental capacity</w:t>
            </w:r>
          </w:p>
          <w:p w:rsidR="005D2471" w:rsidRPr="00E84D74" w:rsidRDefault="005D2471" w:rsidP="00DA725A">
            <w:pPr>
              <w:autoSpaceDE w:val="0"/>
              <w:autoSpaceDN w:val="0"/>
              <w:adjustRightInd w:val="0"/>
              <w:rPr>
                <w:sz w:val="18"/>
                <w:szCs w:val="18"/>
              </w:rPr>
            </w:pPr>
            <w:r w:rsidRPr="00E84D74">
              <w:rPr>
                <w:sz w:val="18"/>
                <w:szCs w:val="18"/>
              </w:rPr>
              <w:t>1. The minimum price at which transmission system operators shall accept a request for incremental</w:t>
            </w:r>
          </w:p>
          <w:p w:rsidR="005D2471" w:rsidRPr="00E84D74" w:rsidRDefault="005D2471" w:rsidP="00DA725A">
            <w:pPr>
              <w:autoSpaceDE w:val="0"/>
              <w:autoSpaceDN w:val="0"/>
              <w:adjustRightInd w:val="0"/>
              <w:rPr>
                <w:sz w:val="18"/>
                <w:szCs w:val="18"/>
              </w:rPr>
            </w:pPr>
            <w:r w:rsidRPr="00E84D74">
              <w:rPr>
                <w:sz w:val="18"/>
                <w:szCs w:val="18"/>
              </w:rPr>
              <w:t>capacity is the reference price. For the calculation of the economic test, reference prices shall be derived</w:t>
            </w:r>
            <w:r w:rsidR="002B29EB" w:rsidRPr="00E84D74">
              <w:rPr>
                <w:sz w:val="18"/>
                <w:szCs w:val="18"/>
              </w:rPr>
              <w:t xml:space="preserve"> </w:t>
            </w:r>
            <w:r w:rsidRPr="00E84D74">
              <w:rPr>
                <w:sz w:val="18"/>
                <w:szCs w:val="18"/>
              </w:rPr>
              <w:t xml:space="preserve">by including into the reference price methodology the </w:t>
            </w:r>
            <w:r w:rsidR="002B29EB" w:rsidRPr="00E84D74">
              <w:rPr>
                <w:sz w:val="18"/>
                <w:szCs w:val="18"/>
              </w:rPr>
              <w:t xml:space="preserve"> </w:t>
            </w:r>
            <w:r w:rsidRPr="00E84D74">
              <w:rPr>
                <w:sz w:val="18"/>
                <w:szCs w:val="18"/>
              </w:rPr>
              <w:t>relevant assumptions related to the offer of incremental</w:t>
            </w:r>
          </w:p>
          <w:p w:rsidR="005D2471" w:rsidRPr="00E84D74" w:rsidRDefault="005D2471" w:rsidP="00DA725A">
            <w:pPr>
              <w:autoSpaceDE w:val="0"/>
              <w:autoSpaceDN w:val="0"/>
              <w:adjustRightInd w:val="0"/>
              <w:rPr>
                <w:sz w:val="18"/>
                <w:szCs w:val="18"/>
              </w:rPr>
            </w:pPr>
            <w:r w:rsidRPr="00E84D74">
              <w:rPr>
                <w:sz w:val="18"/>
                <w:szCs w:val="18"/>
              </w:rPr>
              <w:t>capacity.</w:t>
            </w:r>
          </w:p>
          <w:p w:rsidR="005D2471" w:rsidRPr="00E84D74" w:rsidRDefault="005D2471" w:rsidP="00DA725A">
            <w:pPr>
              <w:autoSpaceDE w:val="0"/>
              <w:autoSpaceDN w:val="0"/>
              <w:adjustRightInd w:val="0"/>
              <w:rPr>
                <w:sz w:val="18"/>
                <w:szCs w:val="18"/>
              </w:rPr>
            </w:pPr>
            <w:r w:rsidRPr="00E84D74">
              <w:rPr>
                <w:sz w:val="18"/>
                <w:szCs w:val="18"/>
              </w:rPr>
              <w:t>2. Where the fixed payable price approach set out in Article 24(b) is considered to be offered for incremental</w:t>
            </w:r>
          </w:p>
          <w:p w:rsidR="005D2471" w:rsidRPr="00E84D74" w:rsidRDefault="005D2471" w:rsidP="00DA725A">
            <w:pPr>
              <w:autoSpaceDE w:val="0"/>
              <w:autoSpaceDN w:val="0"/>
              <w:adjustRightInd w:val="0"/>
              <w:rPr>
                <w:sz w:val="18"/>
                <w:szCs w:val="18"/>
              </w:rPr>
            </w:pPr>
            <w:r w:rsidRPr="00E84D74">
              <w:rPr>
                <w:sz w:val="18"/>
                <w:szCs w:val="18"/>
              </w:rPr>
              <w:t>capacity, the reserve price referred to in Article 24(b) shall be based on projected investment and</w:t>
            </w:r>
            <w:r w:rsidR="002B29EB" w:rsidRPr="00E84D74">
              <w:rPr>
                <w:sz w:val="18"/>
                <w:szCs w:val="18"/>
              </w:rPr>
              <w:t xml:space="preserve"> </w:t>
            </w:r>
            <w:r w:rsidRPr="00E84D74">
              <w:rPr>
                <w:sz w:val="18"/>
                <w:szCs w:val="18"/>
              </w:rPr>
              <w:t>operating costs. Once the incremental capacity is commissioned, such reserve price shall be adjusted</w:t>
            </w:r>
            <w:r w:rsidR="002B29EB" w:rsidRPr="00E84D74">
              <w:rPr>
                <w:sz w:val="18"/>
                <w:szCs w:val="18"/>
              </w:rPr>
              <w:t xml:space="preserve"> </w:t>
            </w:r>
            <w:r w:rsidRPr="00E84D74">
              <w:rPr>
                <w:sz w:val="18"/>
                <w:szCs w:val="18"/>
              </w:rPr>
              <w:t>proportionally to the difference, irrespective whether positive or negative, between the projected investment</w:t>
            </w:r>
            <w:r w:rsidR="002B29EB" w:rsidRPr="00E84D74">
              <w:rPr>
                <w:sz w:val="18"/>
                <w:szCs w:val="18"/>
              </w:rPr>
              <w:t xml:space="preserve"> </w:t>
            </w:r>
            <w:r w:rsidRPr="00E84D74">
              <w:rPr>
                <w:sz w:val="18"/>
                <w:szCs w:val="18"/>
              </w:rPr>
              <w:t>costs and the actual investment costs.</w:t>
            </w:r>
          </w:p>
          <w:p w:rsidR="005D2471" w:rsidRPr="00E84D74" w:rsidRDefault="005D2471" w:rsidP="002F3406">
            <w:pPr>
              <w:autoSpaceDE w:val="0"/>
              <w:autoSpaceDN w:val="0"/>
              <w:adjustRightInd w:val="0"/>
              <w:jc w:val="both"/>
              <w:rPr>
                <w:sz w:val="18"/>
                <w:szCs w:val="18"/>
              </w:rPr>
            </w:pPr>
            <w:r w:rsidRPr="00E84D74">
              <w:rPr>
                <w:sz w:val="18"/>
                <w:szCs w:val="18"/>
              </w:rPr>
              <w:t>3. In case the allocation of all incremental capacity at the reference price would not generate sufficient</w:t>
            </w:r>
            <w:r w:rsidR="002B29EB" w:rsidRPr="00E84D74">
              <w:rPr>
                <w:sz w:val="18"/>
                <w:szCs w:val="18"/>
              </w:rPr>
              <w:t xml:space="preserve"> </w:t>
            </w:r>
            <w:r w:rsidRPr="00E84D74">
              <w:rPr>
                <w:sz w:val="18"/>
                <w:szCs w:val="18"/>
              </w:rPr>
              <w:t>revenues for a positive economic test outcome, a mandatory minimum premium may be applied in the</w:t>
            </w:r>
            <w:r w:rsidR="002B29EB" w:rsidRPr="00E84D74">
              <w:rPr>
                <w:sz w:val="18"/>
                <w:szCs w:val="18"/>
              </w:rPr>
              <w:t xml:space="preserve"> </w:t>
            </w:r>
            <w:r w:rsidRPr="00E84D74">
              <w:rPr>
                <w:sz w:val="18"/>
                <w:szCs w:val="18"/>
              </w:rPr>
              <w:t>first auction or alternative allocation mechanism in which the incremental capacity is offered. The mandatory</w:t>
            </w:r>
            <w:r w:rsidR="002B29EB" w:rsidRPr="00E84D74">
              <w:rPr>
                <w:sz w:val="18"/>
                <w:szCs w:val="18"/>
              </w:rPr>
              <w:t xml:space="preserve"> </w:t>
            </w:r>
            <w:r w:rsidRPr="00E84D74">
              <w:rPr>
                <w:sz w:val="18"/>
                <w:szCs w:val="18"/>
              </w:rPr>
              <w:t>minimum premium may also be applied in subsequent auctions when the capacity is offered that</w:t>
            </w:r>
            <w:r w:rsidR="002B29EB" w:rsidRPr="00E84D74">
              <w:rPr>
                <w:sz w:val="18"/>
                <w:szCs w:val="18"/>
              </w:rPr>
              <w:t xml:space="preserve"> </w:t>
            </w:r>
            <w:r w:rsidRPr="00E84D74">
              <w:rPr>
                <w:sz w:val="18"/>
                <w:szCs w:val="18"/>
              </w:rPr>
              <w:t>initially remained unsold or when capacity is offered that was initially set aside according to Article 8(8)</w:t>
            </w:r>
            <w:r w:rsidR="002B29EB" w:rsidRPr="00E84D74">
              <w:rPr>
                <w:sz w:val="18"/>
                <w:szCs w:val="18"/>
              </w:rPr>
              <w:t xml:space="preserve"> </w:t>
            </w:r>
            <w:r w:rsidRPr="00E84D74">
              <w:rPr>
                <w:sz w:val="18"/>
                <w:szCs w:val="18"/>
              </w:rPr>
              <w:t>and (9) of Regulation (EU) 2017/459. The decision on whether and in which auctions to apply a mandatory</w:t>
            </w:r>
          </w:p>
          <w:p w:rsidR="005D2471" w:rsidRPr="00E84D74" w:rsidRDefault="005D2471" w:rsidP="002F3406">
            <w:pPr>
              <w:autoSpaceDE w:val="0"/>
              <w:autoSpaceDN w:val="0"/>
              <w:adjustRightInd w:val="0"/>
              <w:jc w:val="both"/>
              <w:rPr>
                <w:sz w:val="18"/>
                <w:szCs w:val="18"/>
              </w:rPr>
            </w:pPr>
            <w:r w:rsidRPr="00E84D74">
              <w:rPr>
                <w:sz w:val="18"/>
                <w:szCs w:val="18"/>
              </w:rPr>
              <w:t>minimum premium shall be taken in accordance with Article 41(6)(a) of Directive 2009/73/EC.</w:t>
            </w:r>
          </w:p>
          <w:p w:rsidR="005D2471" w:rsidRPr="00E84D74" w:rsidRDefault="005D2471" w:rsidP="00DA725A">
            <w:pPr>
              <w:autoSpaceDE w:val="0"/>
              <w:autoSpaceDN w:val="0"/>
              <w:adjustRightInd w:val="0"/>
              <w:rPr>
                <w:sz w:val="18"/>
                <w:szCs w:val="18"/>
              </w:rPr>
            </w:pPr>
            <w:r w:rsidRPr="00E84D74">
              <w:rPr>
                <w:sz w:val="18"/>
                <w:szCs w:val="18"/>
              </w:rPr>
              <w:t>4. The level of the mandatory minimum premium shall enable a positive economic test outcome with the</w:t>
            </w:r>
          </w:p>
          <w:p w:rsidR="005D2471" w:rsidRPr="00E84D74" w:rsidRDefault="005D2471" w:rsidP="00DA725A">
            <w:pPr>
              <w:autoSpaceDE w:val="0"/>
              <w:autoSpaceDN w:val="0"/>
              <w:adjustRightInd w:val="0"/>
              <w:rPr>
                <w:sz w:val="18"/>
                <w:szCs w:val="18"/>
              </w:rPr>
            </w:pPr>
            <w:r w:rsidRPr="00E84D74">
              <w:rPr>
                <w:sz w:val="18"/>
                <w:szCs w:val="18"/>
              </w:rPr>
              <w:t>revenues generated by the offered capacity in the first auction or alternative allocation mechanism in</w:t>
            </w:r>
          </w:p>
          <w:p w:rsidR="005D2471" w:rsidRPr="00E84D74" w:rsidRDefault="005D2471" w:rsidP="00DA725A">
            <w:pPr>
              <w:autoSpaceDE w:val="0"/>
              <w:autoSpaceDN w:val="0"/>
              <w:adjustRightInd w:val="0"/>
              <w:rPr>
                <w:sz w:val="18"/>
                <w:szCs w:val="18"/>
              </w:rPr>
            </w:pPr>
            <w:r w:rsidRPr="00E84D74">
              <w:rPr>
                <w:sz w:val="18"/>
                <w:szCs w:val="18"/>
              </w:rPr>
              <w:t>which the incremental capacity is on offer. The range of the level for the mandatory minimum premium,</w:t>
            </w:r>
          </w:p>
          <w:p w:rsidR="004F077A" w:rsidRPr="00E84D74" w:rsidRDefault="005D2471" w:rsidP="00DA725A">
            <w:pPr>
              <w:autoSpaceDE w:val="0"/>
              <w:autoSpaceDN w:val="0"/>
              <w:adjustRightInd w:val="0"/>
              <w:rPr>
                <w:sz w:val="18"/>
                <w:szCs w:val="18"/>
              </w:rPr>
            </w:pPr>
            <w:r w:rsidRPr="00E84D74">
              <w:rPr>
                <w:sz w:val="18"/>
                <w:szCs w:val="18"/>
              </w:rPr>
              <w:t>depending on the expected allocated capacity, shall be submitted to the relevant national regulatory</w:t>
            </w:r>
            <w:r w:rsidR="004F077A" w:rsidRPr="00E84D74">
              <w:rPr>
                <w:sz w:val="18"/>
                <w:szCs w:val="18"/>
              </w:rPr>
              <w:t xml:space="preserve"> authorities for approval in accordance with Article 25(1)(c) of Regulation (EU) 2017/459.</w:t>
            </w:r>
          </w:p>
          <w:p w:rsidR="004F077A" w:rsidRPr="00E84D74" w:rsidRDefault="004F077A" w:rsidP="00DA725A">
            <w:pPr>
              <w:autoSpaceDE w:val="0"/>
              <w:autoSpaceDN w:val="0"/>
              <w:adjustRightInd w:val="0"/>
              <w:rPr>
                <w:sz w:val="18"/>
                <w:szCs w:val="18"/>
              </w:rPr>
            </w:pPr>
            <w:r w:rsidRPr="00E84D74">
              <w:rPr>
                <w:sz w:val="18"/>
                <w:szCs w:val="18"/>
              </w:rPr>
              <w:lastRenderedPageBreak/>
              <w:t>5. A mandatory minimum premium approved by the national regulatory authority shall be added to the</w:t>
            </w:r>
          </w:p>
          <w:p w:rsidR="004F077A" w:rsidRPr="00E84D74" w:rsidRDefault="004F077A" w:rsidP="00DA725A">
            <w:pPr>
              <w:autoSpaceDE w:val="0"/>
              <w:autoSpaceDN w:val="0"/>
              <w:adjustRightInd w:val="0"/>
              <w:rPr>
                <w:sz w:val="18"/>
                <w:szCs w:val="18"/>
              </w:rPr>
            </w:pPr>
            <w:r w:rsidRPr="00E84D74">
              <w:rPr>
                <w:sz w:val="18"/>
                <w:szCs w:val="18"/>
              </w:rPr>
              <w:t>reference price for the bundled capacity products at the respective interconnection point and shall exclusively</w:t>
            </w:r>
          </w:p>
          <w:p w:rsidR="00D146AC" w:rsidRPr="00E84D74" w:rsidRDefault="004F077A" w:rsidP="00DA725A">
            <w:pPr>
              <w:autoSpaceDE w:val="0"/>
              <w:autoSpaceDN w:val="0"/>
              <w:adjustRightInd w:val="0"/>
              <w:rPr>
                <w:b/>
                <w:sz w:val="18"/>
                <w:szCs w:val="18"/>
              </w:rPr>
            </w:pPr>
            <w:r w:rsidRPr="00E84D74">
              <w:rPr>
                <w:sz w:val="18"/>
                <w:szCs w:val="18"/>
              </w:rPr>
              <w:t>be attributed to the transmission system operators for which the mandatory minimum premium</w:t>
            </w:r>
            <w:r w:rsidR="002B29EB" w:rsidRPr="00E84D74">
              <w:rPr>
                <w:sz w:val="18"/>
                <w:szCs w:val="18"/>
              </w:rPr>
              <w:t xml:space="preserve"> </w:t>
            </w:r>
            <w:r w:rsidRPr="00E84D74">
              <w:rPr>
                <w:sz w:val="18"/>
                <w:szCs w:val="18"/>
              </w:rPr>
              <w:t>was approved by the respective national regulatory authority. This default principle for the attribution of a</w:t>
            </w:r>
            <w:r w:rsidR="00893CFB" w:rsidRPr="00E84D74">
              <w:rPr>
                <w:sz w:val="18"/>
                <w:szCs w:val="18"/>
              </w:rPr>
              <w:t xml:space="preserve"> </w:t>
            </w:r>
            <w:r w:rsidRPr="00E84D74">
              <w:rPr>
                <w:sz w:val="18"/>
                <w:szCs w:val="18"/>
              </w:rPr>
              <w:t>mandatory minimum premium is without prejudice to the split of a possible additional auction premium according</w:t>
            </w:r>
            <w:r w:rsidR="00893CFB" w:rsidRPr="00E84D74">
              <w:rPr>
                <w:sz w:val="18"/>
                <w:szCs w:val="18"/>
              </w:rPr>
              <w:t xml:space="preserve"> </w:t>
            </w:r>
            <w:r w:rsidRPr="00E84D74">
              <w:rPr>
                <w:sz w:val="18"/>
                <w:szCs w:val="18"/>
              </w:rPr>
              <w:t>to Article 21(3) or an alternative agreement between the involved national regulatory authorities.</w:t>
            </w:r>
          </w:p>
        </w:tc>
      </w:tr>
      <w:tr w:rsidR="00D146AC" w:rsidRPr="00B3313F" w:rsidTr="00FC3840">
        <w:trPr>
          <w:trHeight w:val="1240"/>
        </w:trPr>
        <w:tc>
          <w:tcPr>
            <w:tcW w:w="5245" w:type="dxa"/>
          </w:tcPr>
          <w:p w:rsidR="00D146AC" w:rsidRPr="00D82EE4" w:rsidRDefault="00D146AC" w:rsidP="00DA725A">
            <w:pPr>
              <w:shd w:val="clear" w:color="auto" w:fill="FFFFFF"/>
              <w:jc w:val="both"/>
              <w:rPr>
                <w:b/>
                <w:bCs/>
                <w:sz w:val="18"/>
                <w:szCs w:val="18"/>
                <w:lang w:val="it-IT"/>
              </w:rPr>
            </w:pPr>
            <w:r w:rsidRPr="00D82EE4">
              <w:rPr>
                <w:b/>
                <w:bCs/>
                <w:sz w:val="18"/>
                <w:szCs w:val="18"/>
                <w:lang w:val="it-IT"/>
              </w:rPr>
              <w:lastRenderedPageBreak/>
              <w:t>CAPITOLUL X</w:t>
            </w:r>
          </w:p>
          <w:p w:rsidR="00D146AC" w:rsidRPr="00D82EE4" w:rsidRDefault="00D146AC" w:rsidP="00DA725A">
            <w:pPr>
              <w:shd w:val="clear" w:color="auto" w:fill="FFFFFF"/>
              <w:jc w:val="both"/>
              <w:rPr>
                <w:b/>
                <w:bCs/>
                <w:sz w:val="18"/>
                <w:szCs w:val="18"/>
                <w:lang w:val="it-IT"/>
              </w:rPr>
            </w:pPr>
            <w:r w:rsidRPr="00D82EE4">
              <w:rPr>
                <w:b/>
                <w:bCs/>
                <w:sz w:val="18"/>
                <w:szCs w:val="18"/>
                <w:lang w:val="it-IT"/>
              </w:rPr>
              <w:t>DISPOZIȚII FINALE ȘI TRANZITORII</w:t>
            </w:r>
          </w:p>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34</w:t>
            </w:r>
          </w:p>
          <w:p w:rsidR="00D146AC" w:rsidRPr="00D82EE4" w:rsidRDefault="00D146AC" w:rsidP="00DA725A">
            <w:pPr>
              <w:shd w:val="clear" w:color="auto" w:fill="FFFFFF"/>
              <w:jc w:val="both"/>
              <w:rPr>
                <w:b/>
                <w:bCs/>
                <w:sz w:val="18"/>
                <w:szCs w:val="18"/>
                <w:lang w:val="it-IT"/>
              </w:rPr>
            </w:pPr>
            <w:r w:rsidRPr="00D82EE4">
              <w:rPr>
                <w:b/>
                <w:bCs/>
                <w:sz w:val="18"/>
                <w:szCs w:val="18"/>
                <w:lang w:val="it-IT"/>
              </w:rPr>
              <w:t>Metodologiile și parametrii utilizați pentru a determina venitul autorizat sau venitul-țintă al operatorilor de transport și de sistem</w:t>
            </w:r>
          </w:p>
          <w:p w:rsidR="007E7C8C" w:rsidRDefault="007E7C8C" w:rsidP="007E7C8C">
            <w:pPr>
              <w:shd w:val="clear" w:color="auto" w:fill="FFFFFF"/>
              <w:jc w:val="both"/>
              <w:rPr>
                <w:sz w:val="18"/>
                <w:szCs w:val="18"/>
                <w:lang w:val="it-IT"/>
              </w:rPr>
            </w:pPr>
          </w:p>
          <w:p w:rsidR="00D146AC" w:rsidRPr="007E7C8C" w:rsidRDefault="00D146AC" w:rsidP="007E7C8C">
            <w:pPr>
              <w:shd w:val="clear" w:color="auto" w:fill="FFFFFF"/>
              <w:jc w:val="both"/>
              <w:rPr>
                <w:sz w:val="18"/>
                <w:szCs w:val="18"/>
                <w:lang w:val="it-IT"/>
              </w:rPr>
            </w:pPr>
            <w:r w:rsidRPr="007E7C8C">
              <w:rPr>
                <w:sz w:val="18"/>
                <w:szCs w:val="18"/>
                <w:lang w:val="it-IT"/>
              </w:rPr>
              <w:t>Înainte de 6 aprilie 2019, Agenția publică un raport cu privire la metodologiile și parametrii utilizați pentru a determina venitul autorizat și venitul-țintă al operatorilor de transport și de sistem. Raportul se bazează cel puțin pe parametrii menționați la articolul 30 alineatul (1) litera (b) punctul (iii).</w:t>
            </w:r>
          </w:p>
          <w:p w:rsidR="007E7C8C" w:rsidRDefault="007E7C8C" w:rsidP="007E7C8C">
            <w:pPr>
              <w:shd w:val="clear" w:color="auto" w:fill="FFFFFF"/>
              <w:jc w:val="both"/>
              <w:rPr>
                <w:sz w:val="18"/>
                <w:szCs w:val="18"/>
                <w:lang w:val="it-IT"/>
              </w:rPr>
            </w:pPr>
          </w:p>
          <w:p w:rsidR="007E7C8C" w:rsidRPr="007E7C8C" w:rsidRDefault="007E7C8C" w:rsidP="007E7C8C">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(2)   Autoritățile naționale de reglementare transmit Agenției, în conformitate cu procedura definită de aceasta, toate informațiile necesare legate de metodologiile și de parametrii utilizați pentru determinarea venitului autorizat și a venitului-țintă al operatorilor de transport și de sistem.</w:t>
            </w:r>
          </w:p>
        </w:tc>
        <w:tc>
          <w:tcPr>
            <w:tcW w:w="4962" w:type="dxa"/>
          </w:tcPr>
          <w:p w:rsidR="005E1E1C" w:rsidRPr="005E1E1C" w:rsidRDefault="005E1E1C" w:rsidP="005E1E1C">
            <w:pPr>
              <w:jc w:val="both"/>
              <w:rPr>
                <w:sz w:val="18"/>
                <w:szCs w:val="18"/>
                <w:lang w:val="ro-RO"/>
              </w:rPr>
            </w:pPr>
            <w:r w:rsidRPr="005E1E1C">
              <w:rPr>
                <w:b/>
                <w:bCs/>
                <w:sz w:val="18"/>
                <w:szCs w:val="18"/>
                <w:lang w:val="ro-RO"/>
              </w:rPr>
              <w:t>Capitolul X</w:t>
            </w:r>
          </w:p>
          <w:p w:rsidR="005E1E1C" w:rsidRPr="005E1E1C" w:rsidRDefault="005E1E1C" w:rsidP="005E1E1C">
            <w:pPr>
              <w:jc w:val="both"/>
              <w:rPr>
                <w:sz w:val="18"/>
                <w:szCs w:val="18"/>
                <w:lang w:val="ro-RO"/>
              </w:rPr>
            </w:pPr>
            <w:r w:rsidRPr="005E1E1C">
              <w:rPr>
                <w:sz w:val="18"/>
                <w:szCs w:val="18"/>
                <w:lang w:val="ro-RO"/>
              </w:rPr>
              <w:t> </w:t>
            </w:r>
          </w:p>
          <w:p w:rsidR="005E1E1C" w:rsidRPr="005E1E1C" w:rsidRDefault="005E1E1C" w:rsidP="005E1E1C">
            <w:pPr>
              <w:jc w:val="both"/>
              <w:rPr>
                <w:sz w:val="18"/>
                <w:szCs w:val="18"/>
                <w:lang w:val="ro-RO"/>
              </w:rPr>
            </w:pPr>
            <w:r w:rsidRPr="005E1E1C">
              <w:rPr>
                <w:b/>
                <w:bCs/>
                <w:sz w:val="18"/>
                <w:szCs w:val="18"/>
                <w:lang w:val="ro-RO"/>
              </w:rPr>
              <w:t>Secţiunea 1</w:t>
            </w:r>
          </w:p>
          <w:p w:rsidR="005E1E1C" w:rsidRDefault="005E1E1C" w:rsidP="002F3406">
            <w:pPr>
              <w:jc w:val="both"/>
              <w:rPr>
                <w:b/>
                <w:bCs/>
                <w:sz w:val="18"/>
                <w:szCs w:val="18"/>
                <w:lang w:val="ro-RO"/>
              </w:rPr>
            </w:pPr>
            <w:r w:rsidRPr="005E1E1C">
              <w:rPr>
                <w:b/>
                <w:bCs/>
                <w:sz w:val="18"/>
                <w:szCs w:val="18"/>
                <w:lang w:val="ro-RO"/>
              </w:rPr>
              <w:t xml:space="preserve">Metodologiile şi parametrii utilizaţi pentru a determina </w:t>
            </w:r>
            <w:r w:rsidRPr="007E7C8C">
              <w:rPr>
                <w:b/>
                <w:bCs/>
                <w:sz w:val="18"/>
                <w:szCs w:val="18"/>
                <w:lang w:val="ro-RO"/>
              </w:rPr>
              <w:t>venitulreglementat sau venitul-ţintă al OST. Contractele existente</w:t>
            </w: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Pr="007E7C8C" w:rsidRDefault="007E7C8C" w:rsidP="002F3406">
            <w:pPr>
              <w:jc w:val="both"/>
              <w:rPr>
                <w:sz w:val="18"/>
                <w:szCs w:val="18"/>
                <w:lang w:val="ro-RO"/>
              </w:rPr>
            </w:pPr>
          </w:p>
          <w:p w:rsidR="005E1E1C" w:rsidRPr="005E1E1C" w:rsidRDefault="005E1E1C" w:rsidP="005E1E1C">
            <w:pPr>
              <w:jc w:val="both"/>
              <w:rPr>
                <w:sz w:val="18"/>
                <w:szCs w:val="18"/>
                <w:lang w:val="ro-RO"/>
              </w:rPr>
            </w:pPr>
            <w:r w:rsidRPr="007E7C8C">
              <w:rPr>
                <w:b/>
                <w:bCs/>
                <w:sz w:val="18"/>
                <w:szCs w:val="18"/>
                <w:lang w:val="ro-RO"/>
              </w:rPr>
              <w:t>424.</w:t>
            </w:r>
            <w:r w:rsidRPr="007E7C8C">
              <w:rPr>
                <w:sz w:val="18"/>
                <w:szCs w:val="18"/>
                <w:lang w:val="ro-RO"/>
              </w:rPr>
              <w:t xml:space="preserve"> Agenţia transmite </w:t>
            </w:r>
            <w:r w:rsidRPr="005E1E1C">
              <w:rPr>
                <w:sz w:val="18"/>
                <w:szCs w:val="18"/>
                <w:lang w:val="ro-RO"/>
              </w:rPr>
              <w:t>Comitetului de reglementare al CE, în conformitate cu procedura definită de acesta, toate informaţiile necesare cu privire la metodologiile şi parametrii utilizaţi pentru determinarea venitului reglementat şi a venitului-ţintă al OST în acest sens, OST trimit Agenţiei cu titlu informativ, contractele sau informaţiile privind rezervările de capacitate.</w:t>
            </w:r>
          </w:p>
          <w:p w:rsidR="00D146AC" w:rsidRPr="007E7C8C" w:rsidRDefault="005E1E1C" w:rsidP="00CE76D5">
            <w:pPr>
              <w:jc w:val="both"/>
              <w:rPr>
                <w:i/>
                <w:iCs/>
                <w:sz w:val="18"/>
                <w:szCs w:val="18"/>
                <w:lang w:val="ro-RO"/>
              </w:rPr>
            </w:pPr>
            <w:r w:rsidRPr="005E1E1C">
              <w:rPr>
                <w:i/>
                <w:iCs/>
                <w:sz w:val="18"/>
                <w:szCs w:val="18"/>
                <w:lang w:val="ro-RO"/>
              </w:rPr>
              <w:t>[Pct.424 completat prin Hot. ANRE nr.442/2020 din 24.</w:t>
            </w:r>
            <w:r w:rsidR="007E7C8C">
              <w:rPr>
                <w:i/>
                <w:iCs/>
                <w:sz w:val="18"/>
                <w:szCs w:val="18"/>
                <w:lang w:val="ro-RO"/>
              </w:rPr>
              <w:t>11.2020, în vigoare 12.12.2020]</w:t>
            </w:r>
          </w:p>
        </w:tc>
        <w:tc>
          <w:tcPr>
            <w:tcW w:w="1275" w:type="dxa"/>
          </w:tcPr>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Default="00D146AC" w:rsidP="00DA725A">
            <w:pPr>
              <w:jc w:val="both"/>
              <w:rPr>
                <w:b/>
                <w:sz w:val="18"/>
                <w:szCs w:val="18"/>
              </w:rPr>
            </w:pPr>
          </w:p>
          <w:p w:rsidR="007E7C8C" w:rsidRPr="007E7C8C" w:rsidRDefault="007E7C8C" w:rsidP="00DA725A">
            <w:pPr>
              <w:jc w:val="both"/>
              <w:rPr>
                <w:sz w:val="18"/>
                <w:szCs w:val="18"/>
              </w:rPr>
            </w:pPr>
            <w:r w:rsidRPr="007E7C8C">
              <w:rPr>
                <w:sz w:val="18"/>
                <w:szCs w:val="18"/>
              </w:rPr>
              <w:t>Prevederi UE neaplicabile</w:t>
            </w:r>
          </w:p>
          <w:p w:rsidR="007E7C8C" w:rsidRDefault="007E7C8C" w:rsidP="00DA725A">
            <w:pPr>
              <w:jc w:val="both"/>
              <w:rPr>
                <w:b/>
                <w:sz w:val="18"/>
                <w:szCs w:val="18"/>
              </w:rPr>
            </w:pPr>
          </w:p>
          <w:p w:rsidR="007E7C8C" w:rsidRDefault="007E7C8C" w:rsidP="00DA725A">
            <w:pPr>
              <w:jc w:val="both"/>
              <w:rPr>
                <w:b/>
                <w:sz w:val="18"/>
                <w:szCs w:val="18"/>
              </w:rPr>
            </w:pPr>
          </w:p>
          <w:p w:rsidR="007E7C8C" w:rsidRDefault="007E7C8C" w:rsidP="00DA725A">
            <w:pPr>
              <w:jc w:val="both"/>
              <w:rPr>
                <w:b/>
                <w:sz w:val="18"/>
                <w:szCs w:val="18"/>
              </w:rPr>
            </w:pPr>
          </w:p>
          <w:p w:rsidR="007E7C8C" w:rsidRDefault="007E7C8C" w:rsidP="00DA725A">
            <w:pPr>
              <w:jc w:val="both"/>
              <w:rPr>
                <w:b/>
                <w:sz w:val="18"/>
                <w:szCs w:val="18"/>
              </w:rPr>
            </w:pPr>
          </w:p>
          <w:p w:rsidR="00D146AC" w:rsidRDefault="00D146AC" w:rsidP="00DA725A">
            <w:pPr>
              <w:jc w:val="both"/>
              <w:rPr>
                <w:b/>
                <w:sz w:val="18"/>
                <w:szCs w:val="18"/>
              </w:rPr>
            </w:pPr>
            <w:r w:rsidRPr="001675B2">
              <w:rPr>
                <w:sz w:val="18"/>
                <w:szCs w:val="18"/>
              </w:rPr>
              <w:t>Compatibi</w:t>
            </w:r>
            <w:r>
              <w:rPr>
                <w:b/>
                <w:sz w:val="18"/>
                <w:szCs w:val="18"/>
              </w:rPr>
              <w:t>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CC1F78">
            <w:pPr>
              <w:jc w:val="both"/>
              <w:rPr>
                <w:b/>
                <w:sz w:val="18"/>
                <w:szCs w:val="18"/>
              </w:rPr>
            </w:pPr>
          </w:p>
        </w:tc>
        <w:tc>
          <w:tcPr>
            <w:tcW w:w="4253" w:type="dxa"/>
          </w:tcPr>
          <w:p w:rsidR="004F077A" w:rsidRPr="00E84D74" w:rsidRDefault="004F077A" w:rsidP="00DA725A">
            <w:pPr>
              <w:autoSpaceDE w:val="0"/>
              <w:autoSpaceDN w:val="0"/>
              <w:adjustRightInd w:val="0"/>
              <w:jc w:val="center"/>
              <w:rPr>
                <w:b/>
                <w:bCs/>
                <w:sz w:val="18"/>
                <w:szCs w:val="18"/>
              </w:rPr>
            </w:pPr>
            <w:r w:rsidRPr="00E84D74">
              <w:rPr>
                <w:b/>
                <w:bCs/>
                <w:sz w:val="18"/>
                <w:szCs w:val="18"/>
              </w:rPr>
              <w:t>CHAPTER X</w:t>
            </w:r>
          </w:p>
          <w:p w:rsidR="004F077A" w:rsidRPr="00E84D74" w:rsidRDefault="004F077A" w:rsidP="00DA725A">
            <w:pPr>
              <w:autoSpaceDE w:val="0"/>
              <w:autoSpaceDN w:val="0"/>
              <w:adjustRightInd w:val="0"/>
              <w:jc w:val="center"/>
              <w:rPr>
                <w:b/>
                <w:bCs/>
                <w:sz w:val="18"/>
                <w:szCs w:val="18"/>
              </w:rPr>
            </w:pPr>
            <w:r w:rsidRPr="00E84D74">
              <w:rPr>
                <w:b/>
                <w:bCs/>
                <w:sz w:val="18"/>
                <w:szCs w:val="18"/>
              </w:rPr>
              <w:t>FINAL AND TRANSITIONAL PROVISIONS</w:t>
            </w:r>
          </w:p>
          <w:p w:rsidR="003C44FC" w:rsidRPr="00E84D74" w:rsidRDefault="003C44FC" w:rsidP="00DA725A">
            <w:pPr>
              <w:autoSpaceDE w:val="0"/>
              <w:autoSpaceDN w:val="0"/>
              <w:adjustRightInd w:val="0"/>
              <w:jc w:val="center"/>
              <w:rPr>
                <w:b/>
                <w:bCs/>
                <w:i/>
                <w:iCs/>
                <w:sz w:val="18"/>
                <w:szCs w:val="18"/>
              </w:rPr>
            </w:pPr>
          </w:p>
          <w:p w:rsidR="004F077A" w:rsidRPr="00E84D74" w:rsidRDefault="004F077A" w:rsidP="00DA725A">
            <w:pPr>
              <w:autoSpaceDE w:val="0"/>
              <w:autoSpaceDN w:val="0"/>
              <w:adjustRightInd w:val="0"/>
              <w:jc w:val="center"/>
              <w:rPr>
                <w:b/>
                <w:bCs/>
                <w:i/>
                <w:iCs/>
                <w:sz w:val="18"/>
                <w:szCs w:val="18"/>
              </w:rPr>
            </w:pPr>
            <w:r w:rsidRPr="00E84D74">
              <w:rPr>
                <w:b/>
                <w:bCs/>
                <w:i/>
                <w:iCs/>
                <w:sz w:val="18"/>
                <w:szCs w:val="18"/>
              </w:rPr>
              <w:t>Article 34</w:t>
            </w:r>
          </w:p>
          <w:p w:rsidR="004F077A" w:rsidRPr="00E84D74" w:rsidRDefault="004F077A" w:rsidP="00DA725A">
            <w:pPr>
              <w:autoSpaceDE w:val="0"/>
              <w:autoSpaceDN w:val="0"/>
              <w:adjustRightInd w:val="0"/>
              <w:jc w:val="center"/>
              <w:rPr>
                <w:b/>
                <w:bCs/>
                <w:sz w:val="18"/>
                <w:szCs w:val="18"/>
              </w:rPr>
            </w:pPr>
            <w:r w:rsidRPr="00E84D74">
              <w:rPr>
                <w:b/>
                <w:bCs/>
                <w:sz w:val="18"/>
                <w:szCs w:val="18"/>
              </w:rPr>
              <w:t>Methodologies and parameters used to determine the allowed or target revenue of transmission</w:t>
            </w:r>
          </w:p>
          <w:p w:rsidR="004F077A" w:rsidRPr="00E84D74" w:rsidRDefault="004F077A" w:rsidP="00DA725A">
            <w:pPr>
              <w:autoSpaceDE w:val="0"/>
              <w:autoSpaceDN w:val="0"/>
              <w:adjustRightInd w:val="0"/>
              <w:jc w:val="center"/>
              <w:rPr>
                <w:b/>
                <w:bCs/>
                <w:sz w:val="18"/>
                <w:szCs w:val="18"/>
              </w:rPr>
            </w:pPr>
            <w:r w:rsidRPr="00E84D74">
              <w:rPr>
                <w:b/>
                <w:bCs/>
                <w:sz w:val="18"/>
                <w:szCs w:val="18"/>
              </w:rPr>
              <w:t>system operators</w:t>
            </w:r>
          </w:p>
          <w:p w:rsidR="004F077A" w:rsidRPr="00E84D74" w:rsidRDefault="004F077A" w:rsidP="00DA725A">
            <w:pPr>
              <w:autoSpaceDE w:val="0"/>
              <w:autoSpaceDN w:val="0"/>
              <w:adjustRightInd w:val="0"/>
              <w:rPr>
                <w:sz w:val="18"/>
                <w:szCs w:val="18"/>
              </w:rPr>
            </w:pPr>
            <w:r w:rsidRPr="00E84D74">
              <w:rPr>
                <w:sz w:val="18"/>
                <w:szCs w:val="18"/>
              </w:rPr>
              <w:t xml:space="preserve">1. Before </w:t>
            </w:r>
            <w:r w:rsidRPr="00E84D74">
              <w:rPr>
                <w:b/>
                <w:bCs/>
                <w:sz w:val="18"/>
                <w:szCs w:val="18"/>
              </w:rPr>
              <w:t>1 October 2021</w:t>
            </w:r>
            <w:r w:rsidRPr="00E84D74">
              <w:rPr>
                <w:sz w:val="18"/>
                <w:szCs w:val="18"/>
              </w:rPr>
              <w:t xml:space="preserve">, the </w:t>
            </w:r>
            <w:r w:rsidRPr="00E84D74">
              <w:rPr>
                <w:b/>
                <w:bCs/>
                <w:sz w:val="18"/>
                <w:szCs w:val="18"/>
              </w:rPr>
              <w:t xml:space="preserve">Energy Community Regulatory Board </w:t>
            </w:r>
            <w:r w:rsidRPr="00E84D74">
              <w:rPr>
                <w:sz w:val="18"/>
                <w:szCs w:val="18"/>
              </w:rPr>
              <w:t>shall publish a report on the</w:t>
            </w:r>
            <w:r w:rsidR="006A1AC2" w:rsidRPr="00E84D74">
              <w:rPr>
                <w:sz w:val="18"/>
                <w:szCs w:val="18"/>
              </w:rPr>
              <w:t xml:space="preserve"> </w:t>
            </w:r>
            <w:r w:rsidRPr="00E84D74">
              <w:rPr>
                <w:sz w:val="18"/>
                <w:szCs w:val="18"/>
              </w:rPr>
              <w:t>methodologies and parameters used to determine the allowed or target revenue of transmission system</w:t>
            </w:r>
            <w:r w:rsidR="006A1AC2" w:rsidRPr="00E84D74">
              <w:rPr>
                <w:sz w:val="18"/>
                <w:szCs w:val="18"/>
              </w:rPr>
              <w:t xml:space="preserve"> </w:t>
            </w:r>
            <w:r w:rsidRPr="00E84D74">
              <w:rPr>
                <w:sz w:val="18"/>
                <w:szCs w:val="18"/>
              </w:rPr>
              <w:t>operators. The report shall be based on at least the parameters referred to in Article 30(1)(b)(iii).</w:t>
            </w:r>
          </w:p>
          <w:p w:rsidR="00D146AC" w:rsidRPr="00E84D74" w:rsidRDefault="004F077A" w:rsidP="007E7C8C">
            <w:pPr>
              <w:autoSpaceDE w:val="0"/>
              <w:autoSpaceDN w:val="0"/>
              <w:adjustRightInd w:val="0"/>
              <w:rPr>
                <w:b/>
                <w:sz w:val="18"/>
                <w:szCs w:val="18"/>
              </w:rPr>
            </w:pPr>
            <w:r w:rsidRPr="00E84D74">
              <w:rPr>
                <w:sz w:val="18"/>
                <w:szCs w:val="18"/>
              </w:rPr>
              <w:t xml:space="preserve">2. National regulatory authorities shall submit to the </w:t>
            </w:r>
            <w:r w:rsidRPr="00E84D74">
              <w:rPr>
                <w:b/>
                <w:bCs/>
                <w:sz w:val="18"/>
                <w:szCs w:val="18"/>
              </w:rPr>
              <w:t>Energy Community Regulatory Board</w:t>
            </w:r>
            <w:r w:rsidRPr="00E84D74">
              <w:rPr>
                <w:sz w:val="18"/>
                <w:szCs w:val="18"/>
              </w:rPr>
              <w:t>, in accordance</w:t>
            </w:r>
            <w:r w:rsidR="007E7C8C">
              <w:rPr>
                <w:sz w:val="18"/>
                <w:szCs w:val="18"/>
              </w:rPr>
              <w:t xml:space="preserve"> </w:t>
            </w:r>
            <w:r w:rsidRPr="00E84D74">
              <w:rPr>
                <w:sz w:val="18"/>
                <w:szCs w:val="18"/>
              </w:rPr>
              <w:t xml:space="preserve">with the process defined by the </w:t>
            </w:r>
            <w:r w:rsidRPr="00E84D74">
              <w:rPr>
                <w:b/>
                <w:bCs/>
                <w:sz w:val="18"/>
                <w:szCs w:val="18"/>
              </w:rPr>
              <w:t>Energy Community Regulatory Board</w:t>
            </w:r>
            <w:r w:rsidRPr="00E84D74">
              <w:rPr>
                <w:sz w:val="18"/>
                <w:szCs w:val="18"/>
              </w:rPr>
              <w:t>, all necessary information</w:t>
            </w:r>
            <w:r w:rsidR="006A1AC2" w:rsidRPr="00E84D74">
              <w:rPr>
                <w:sz w:val="18"/>
                <w:szCs w:val="18"/>
              </w:rPr>
              <w:t xml:space="preserve"> </w:t>
            </w:r>
            <w:r w:rsidRPr="00E84D74">
              <w:rPr>
                <w:sz w:val="18"/>
                <w:szCs w:val="18"/>
              </w:rPr>
              <w:t>related to the methodologies and parameters used to determine the allowed or target revenue</w:t>
            </w:r>
            <w:r w:rsidR="006A1AC2" w:rsidRPr="00E84D74">
              <w:rPr>
                <w:sz w:val="18"/>
                <w:szCs w:val="18"/>
              </w:rPr>
              <w:t xml:space="preserve"> </w:t>
            </w:r>
            <w:r w:rsidRPr="00E84D74">
              <w:rPr>
                <w:sz w:val="18"/>
                <w:szCs w:val="18"/>
              </w:rPr>
              <w:t>of transmission system operators.</w:t>
            </w:r>
          </w:p>
        </w:tc>
      </w:tr>
      <w:tr w:rsidR="00D146AC" w:rsidRPr="00B3313F" w:rsidTr="00FC3840">
        <w:trPr>
          <w:trHeight w:val="1240"/>
        </w:trPr>
        <w:tc>
          <w:tcPr>
            <w:tcW w:w="5245" w:type="dxa"/>
          </w:tcPr>
          <w:p w:rsidR="00D146AC" w:rsidRPr="00AF0E15" w:rsidRDefault="00D146AC" w:rsidP="00DA725A">
            <w:pPr>
              <w:shd w:val="clear" w:color="auto" w:fill="FFFFFF"/>
              <w:jc w:val="both"/>
              <w:rPr>
                <w:i/>
                <w:iCs/>
                <w:sz w:val="18"/>
                <w:szCs w:val="18"/>
              </w:rPr>
            </w:pPr>
            <w:r w:rsidRPr="00AF0E15">
              <w:rPr>
                <w:i/>
                <w:iCs/>
                <w:sz w:val="18"/>
                <w:szCs w:val="18"/>
              </w:rPr>
              <w:t>Articolul 35</w:t>
            </w:r>
          </w:p>
          <w:p w:rsidR="00D146AC" w:rsidRPr="00AF0E15" w:rsidRDefault="00D146AC" w:rsidP="00DA725A">
            <w:pPr>
              <w:shd w:val="clear" w:color="auto" w:fill="FFFFFF"/>
              <w:jc w:val="both"/>
              <w:rPr>
                <w:b/>
                <w:bCs/>
                <w:sz w:val="18"/>
                <w:szCs w:val="18"/>
              </w:rPr>
            </w:pPr>
            <w:r w:rsidRPr="00AF0E15">
              <w:rPr>
                <w:b/>
                <w:bCs/>
                <w:sz w:val="18"/>
                <w:szCs w:val="18"/>
              </w:rPr>
              <w:t>Contractele existente</w:t>
            </w:r>
          </w:p>
          <w:p w:rsidR="00D146AC" w:rsidRDefault="00D146AC" w:rsidP="00DA725A">
            <w:pPr>
              <w:shd w:val="clear" w:color="auto" w:fill="FFFFFF"/>
              <w:jc w:val="both"/>
              <w:rPr>
                <w:sz w:val="18"/>
                <w:szCs w:val="18"/>
              </w:rPr>
            </w:pPr>
            <w:r w:rsidRPr="00AF0E15">
              <w:rPr>
                <w:sz w:val="18"/>
                <w:szCs w:val="18"/>
              </w:rPr>
              <w:t>(1)   Prezentul regulament nu aduce atingere nivelurilor tarifelor de transport rezultate din contractele sau din rezervările de capacitate încheiate înainte de 6 aprilie 2017, dacă aceste contracte sau rezervări de capacitate nu prevăd nicio modificare a nivelurilor tarifelor de transport bazate pe capacitate și/sau volumetrice, cu excepția indexărilor, dacă este cazul.</w:t>
            </w:r>
          </w:p>
          <w:p w:rsidR="00CC1F78" w:rsidRDefault="00CC1F78" w:rsidP="00DA725A">
            <w:pPr>
              <w:shd w:val="clear" w:color="auto" w:fill="FFFFFF"/>
              <w:jc w:val="both"/>
              <w:rPr>
                <w:sz w:val="18"/>
                <w:szCs w:val="18"/>
              </w:rPr>
            </w:pPr>
          </w:p>
          <w:p w:rsidR="00CC1F78" w:rsidRPr="00AF0E15" w:rsidRDefault="00CC1F78" w:rsidP="00DA725A">
            <w:pPr>
              <w:shd w:val="clear" w:color="auto" w:fill="FFFFFF"/>
              <w:jc w:val="both"/>
              <w:rPr>
                <w:sz w:val="18"/>
                <w:szCs w:val="18"/>
              </w:rPr>
            </w:pPr>
          </w:p>
          <w:p w:rsidR="00D146AC" w:rsidRDefault="00D146AC" w:rsidP="00DA725A">
            <w:pPr>
              <w:shd w:val="clear" w:color="auto" w:fill="FFFFFF"/>
              <w:jc w:val="both"/>
              <w:rPr>
                <w:sz w:val="18"/>
                <w:szCs w:val="18"/>
                <w:lang w:val="it-IT"/>
              </w:rPr>
            </w:pPr>
            <w:r w:rsidRPr="00D82EE4">
              <w:rPr>
                <w:sz w:val="18"/>
                <w:szCs w:val="18"/>
                <w:lang w:val="it-IT"/>
              </w:rPr>
              <w:t>(2)   Prevederile contractuale legate de tarifele de transport și de rezervările de capacitate menționate la alineatul (1) nu pot fi reînnoite, prelungite sau reportate după data expirării lor.</w:t>
            </w:r>
          </w:p>
          <w:p w:rsidR="00CC1F78" w:rsidRPr="00D82EE4" w:rsidRDefault="00CC1F78"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(3)   Înainte de 6 mai 2017, operatorul de transport și de sistem trimite autorității naționale de reglementare, cu titlu informativ, contractele sau informațiile privind rezervările de capacitate, dacă este cazul, menționate la alineatul (1).</w:t>
            </w:r>
          </w:p>
          <w:p w:rsidR="00D146AC" w:rsidRPr="00D82EE4" w:rsidRDefault="00D146AC" w:rsidP="00DA725A">
            <w:pPr>
              <w:shd w:val="clear" w:color="auto" w:fill="FFFFFF"/>
              <w:jc w:val="both"/>
              <w:rPr>
                <w:b/>
                <w:bCs/>
                <w:sz w:val="18"/>
                <w:szCs w:val="18"/>
                <w:lang w:val="it-IT"/>
              </w:rPr>
            </w:pPr>
          </w:p>
        </w:tc>
        <w:tc>
          <w:tcPr>
            <w:tcW w:w="4962" w:type="dxa"/>
          </w:tcPr>
          <w:p w:rsidR="00CE76D5" w:rsidRPr="00485F66" w:rsidRDefault="00CE76D5" w:rsidP="00CE76D5">
            <w:pPr>
              <w:jc w:val="both"/>
              <w:rPr>
                <w:b/>
                <w:bCs/>
                <w:sz w:val="18"/>
                <w:szCs w:val="18"/>
                <w:lang w:val="it-IT"/>
              </w:rPr>
            </w:pPr>
          </w:p>
          <w:p w:rsidR="007E7C8C" w:rsidRPr="007E7C8C" w:rsidRDefault="007E7C8C" w:rsidP="00CE76D5">
            <w:pPr>
              <w:jc w:val="both"/>
              <w:rPr>
                <w:b/>
                <w:bCs/>
                <w:sz w:val="18"/>
                <w:szCs w:val="18"/>
                <w:lang w:val="ro-RO"/>
              </w:rPr>
            </w:pPr>
          </w:p>
          <w:p w:rsidR="00CE76D5" w:rsidRPr="007E7C8C" w:rsidRDefault="00CE76D5" w:rsidP="00CE76D5">
            <w:pPr>
              <w:jc w:val="both"/>
              <w:rPr>
                <w:sz w:val="18"/>
                <w:szCs w:val="18"/>
                <w:lang w:val="ro-RO"/>
              </w:rPr>
            </w:pPr>
            <w:r w:rsidRPr="007E7C8C">
              <w:rPr>
                <w:b/>
                <w:bCs/>
                <w:sz w:val="18"/>
                <w:szCs w:val="18"/>
                <w:lang w:val="ro-RO"/>
              </w:rPr>
              <w:t>425.</w:t>
            </w:r>
            <w:r w:rsidRPr="007E7C8C">
              <w:rPr>
                <w:sz w:val="18"/>
                <w:szCs w:val="18"/>
                <w:lang w:val="ro-RO"/>
              </w:rPr>
              <w:t xml:space="preserve"> Prezentul Cod nu aduce atingere nivelurilor tarifelor pentru serviciul de transport rezultate din contractele sau din rezervările de capacitate încheiate înainte de aprobarea a noilor tarife elaborate în conformitate cu prezentul Cod, dacă aceste contracte sau rezervări de capacitate nu prevăd nicio modificare a nivelurilor tarifelor pentru serviciul de transport bazate pe capacitate şi/sau volumetrice, cu excepţia indexărilor, dacă este cazul.</w:t>
            </w:r>
          </w:p>
          <w:p w:rsidR="003147EF" w:rsidRPr="007E7C8C" w:rsidRDefault="003147EF" w:rsidP="003147EF">
            <w:pPr>
              <w:jc w:val="both"/>
              <w:rPr>
                <w:sz w:val="18"/>
                <w:szCs w:val="18"/>
                <w:lang w:val="ro-RO"/>
              </w:rPr>
            </w:pPr>
            <w:r w:rsidRPr="007E7C8C">
              <w:rPr>
                <w:b/>
                <w:bCs/>
                <w:sz w:val="18"/>
                <w:szCs w:val="18"/>
                <w:lang w:val="ro-RO"/>
              </w:rPr>
              <w:t>426.</w:t>
            </w:r>
            <w:r w:rsidRPr="007E7C8C">
              <w:rPr>
                <w:sz w:val="18"/>
                <w:szCs w:val="18"/>
                <w:lang w:val="ro-RO"/>
              </w:rPr>
              <w:t xml:space="preserve"> Prevederile contractuale ce ţin de tarifele pentru serviciul de transport şi de rezervările de capacitate menţionate la pct.425 nu pot fi reînnoite, modificate sau prelungite după data expirării lor.</w:t>
            </w:r>
          </w:p>
          <w:p w:rsidR="00D146AC" w:rsidRPr="00485F66" w:rsidRDefault="007E7C8C" w:rsidP="007E7C8C">
            <w:pPr>
              <w:jc w:val="both"/>
              <w:rPr>
                <w:sz w:val="18"/>
                <w:szCs w:val="18"/>
                <w:lang w:val="it-IT"/>
              </w:rPr>
            </w:pPr>
            <w:r w:rsidRPr="00485F66">
              <w:rPr>
                <w:b/>
                <w:bCs/>
                <w:sz w:val="18"/>
                <w:szCs w:val="18"/>
                <w:lang w:val="it-IT"/>
              </w:rPr>
              <w:lastRenderedPageBreak/>
              <w:t>636.</w:t>
            </w:r>
            <w:r w:rsidRPr="00485F66">
              <w:rPr>
                <w:sz w:val="18"/>
                <w:szCs w:val="18"/>
                <w:lang w:val="it-IT"/>
              </w:rPr>
              <w:t xml:space="preserve"> La data intrării în vigoare a Codului, OST trimite Agenţiei cu titlu informativ, contractele sau informaţiile privind rezervările de capacitate, în conformitate cu pct.424.</w:t>
            </w:r>
          </w:p>
        </w:tc>
        <w:tc>
          <w:tcPr>
            <w:tcW w:w="1275" w:type="dxa"/>
            <w:shd w:val="clear" w:color="auto" w:fill="FFFFFF" w:themeFill="background1"/>
          </w:tcPr>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7E7C8C" w:rsidRPr="007E7C8C" w:rsidRDefault="007E7C8C" w:rsidP="007E7C8C">
            <w:pPr>
              <w:shd w:val="clear" w:color="auto" w:fill="FFFFFF" w:themeFill="background1"/>
              <w:jc w:val="both"/>
              <w:rPr>
                <w:b/>
                <w:sz w:val="18"/>
                <w:szCs w:val="18"/>
              </w:rPr>
            </w:pPr>
            <w:r w:rsidRPr="007E7C8C">
              <w:rPr>
                <w:sz w:val="18"/>
                <w:szCs w:val="18"/>
              </w:rPr>
              <w:t>Compatibi</w:t>
            </w:r>
            <w:r w:rsidRPr="007E7C8C">
              <w:rPr>
                <w:b/>
                <w:sz w:val="18"/>
                <w:szCs w:val="18"/>
              </w:rPr>
              <w:t>l</w:t>
            </w:r>
          </w:p>
          <w:p w:rsidR="009D4C0C" w:rsidRPr="007E7C8C" w:rsidRDefault="009D4C0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BA1B76" w:rsidRPr="007E7C8C" w:rsidRDefault="00BA1B76" w:rsidP="00BA1B76">
            <w:pPr>
              <w:jc w:val="both"/>
              <w:rPr>
                <w:b/>
                <w:sz w:val="18"/>
                <w:szCs w:val="18"/>
              </w:rPr>
            </w:pPr>
            <w:r w:rsidRPr="007E7C8C">
              <w:rPr>
                <w:sz w:val="18"/>
                <w:szCs w:val="18"/>
              </w:rPr>
              <w:t>Compatibi</w:t>
            </w:r>
            <w:r w:rsidRPr="007E7C8C">
              <w:rPr>
                <w:b/>
                <w:sz w:val="18"/>
                <w:szCs w:val="18"/>
              </w:rPr>
              <w:t>l</w:t>
            </w: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7E7C8C">
            <w:pPr>
              <w:jc w:val="both"/>
              <w:rPr>
                <w:b/>
                <w:sz w:val="18"/>
                <w:szCs w:val="18"/>
              </w:rPr>
            </w:pPr>
            <w:r w:rsidRPr="007E7C8C">
              <w:rPr>
                <w:sz w:val="18"/>
                <w:szCs w:val="18"/>
              </w:rPr>
              <w:t>Compatibi</w:t>
            </w:r>
            <w:r w:rsidRPr="007E7C8C">
              <w:rPr>
                <w:b/>
                <w:sz w:val="18"/>
                <w:szCs w:val="18"/>
              </w:rPr>
              <w:t>l</w:t>
            </w:r>
          </w:p>
          <w:p w:rsidR="007E7C8C" w:rsidRPr="007E7C8C" w:rsidRDefault="007E7C8C" w:rsidP="00CE76D5">
            <w:pPr>
              <w:rPr>
                <w:b/>
                <w:sz w:val="18"/>
                <w:szCs w:val="18"/>
                <w:lang w:val="it-IT"/>
              </w:rPr>
            </w:pPr>
          </w:p>
        </w:tc>
        <w:tc>
          <w:tcPr>
            <w:tcW w:w="4253" w:type="dxa"/>
          </w:tcPr>
          <w:p w:rsidR="004F077A" w:rsidRPr="00E84D74" w:rsidRDefault="004F077A" w:rsidP="00DA725A">
            <w:pPr>
              <w:autoSpaceDE w:val="0"/>
              <w:autoSpaceDN w:val="0"/>
              <w:adjustRightInd w:val="0"/>
              <w:jc w:val="center"/>
              <w:rPr>
                <w:b/>
                <w:bCs/>
                <w:i/>
                <w:iCs/>
                <w:sz w:val="18"/>
                <w:szCs w:val="18"/>
              </w:rPr>
            </w:pPr>
            <w:r w:rsidRPr="00E84D74">
              <w:rPr>
                <w:b/>
                <w:bCs/>
                <w:i/>
                <w:iCs/>
                <w:sz w:val="18"/>
                <w:szCs w:val="18"/>
              </w:rPr>
              <w:lastRenderedPageBreak/>
              <w:t>Article 35</w:t>
            </w:r>
          </w:p>
          <w:p w:rsidR="004F077A" w:rsidRPr="00E84D74" w:rsidRDefault="004F077A" w:rsidP="00DA725A">
            <w:pPr>
              <w:autoSpaceDE w:val="0"/>
              <w:autoSpaceDN w:val="0"/>
              <w:adjustRightInd w:val="0"/>
              <w:jc w:val="center"/>
              <w:rPr>
                <w:b/>
                <w:bCs/>
                <w:sz w:val="18"/>
                <w:szCs w:val="18"/>
              </w:rPr>
            </w:pPr>
            <w:r w:rsidRPr="00E84D74">
              <w:rPr>
                <w:b/>
                <w:bCs/>
                <w:sz w:val="18"/>
                <w:szCs w:val="18"/>
              </w:rPr>
              <w:t>Existing contracts</w:t>
            </w:r>
          </w:p>
          <w:p w:rsidR="004F077A" w:rsidRPr="00E84D74" w:rsidRDefault="004F077A" w:rsidP="00DA725A">
            <w:pPr>
              <w:autoSpaceDE w:val="0"/>
              <w:autoSpaceDN w:val="0"/>
              <w:adjustRightInd w:val="0"/>
              <w:rPr>
                <w:sz w:val="18"/>
                <w:szCs w:val="18"/>
              </w:rPr>
            </w:pPr>
            <w:r w:rsidRPr="00E84D74">
              <w:rPr>
                <w:sz w:val="18"/>
                <w:szCs w:val="18"/>
              </w:rPr>
              <w:t>1. This Regulation shall not affect the levels of transmission tariffs resulting from contracts or capacity</w:t>
            </w:r>
          </w:p>
          <w:p w:rsidR="004F077A" w:rsidRPr="00E84D74" w:rsidRDefault="004F077A" w:rsidP="00DA725A">
            <w:pPr>
              <w:autoSpaceDE w:val="0"/>
              <w:autoSpaceDN w:val="0"/>
              <w:adjustRightInd w:val="0"/>
              <w:rPr>
                <w:sz w:val="18"/>
                <w:szCs w:val="18"/>
              </w:rPr>
            </w:pPr>
            <w:r w:rsidRPr="00E84D74">
              <w:rPr>
                <w:sz w:val="18"/>
                <w:szCs w:val="18"/>
              </w:rPr>
              <w:t xml:space="preserve">bookings concluded before </w:t>
            </w:r>
            <w:r w:rsidRPr="00E84D74">
              <w:rPr>
                <w:b/>
                <w:bCs/>
                <w:sz w:val="18"/>
                <w:szCs w:val="18"/>
              </w:rPr>
              <w:t xml:space="preserve">1 October 2019 </w:t>
            </w:r>
            <w:r w:rsidRPr="00E84D74">
              <w:rPr>
                <w:sz w:val="18"/>
                <w:szCs w:val="18"/>
              </w:rPr>
              <w:t>where such contracts or capacity bookings foresee no</w:t>
            </w:r>
            <w:r w:rsidR="001A422B" w:rsidRPr="00E84D74">
              <w:rPr>
                <w:sz w:val="18"/>
                <w:szCs w:val="18"/>
              </w:rPr>
              <w:t xml:space="preserve"> </w:t>
            </w:r>
            <w:r w:rsidRPr="00E84D74">
              <w:rPr>
                <w:sz w:val="18"/>
                <w:szCs w:val="18"/>
              </w:rPr>
              <w:t>change in the levels of the capacity- and/or commodity-based transmission tariffs except for indexation,</w:t>
            </w:r>
            <w:r w:rsidR="001A422B" w:rsidRPr="00E84D74">
              <w:rPr>
                <w:sz w:val="18"/>
                <w:szCs w:val="18"/>
              </w:rPr>
              <w:t xml:space="preserve"> </w:t>
            </w:r>
            <w:r w:rsidRPr="00E84D74">
              <w:rPr>
                <w:sz w:val="18"/>
                <w:szCs w:val="18"/>
              </w:rPr>
              <w:t>if any.</w:t>
            </w:r>
          </w:p>
          <w:p w:rsidR="001A422B" w:rsidRPr="00E84D74" w:rsidRDefault="001A422B" w:rsidP="00DA725A">
            <w:pPr>
              <w:autoSpaceDE w:val="0"/>
              <w:autoSpaceDN w:val="0"/>
              <w:adjustRightInd w:val="0"/>
              <w:rPr>
                <w:sz w:val="18"/>
                <w:szCs w:val="18"/>
              </w:rPr>
            </w:pPr>
          </w:p>
          <w:p w:rsidR="004F077A" w:rsidRPr="00E84D74" w:rsidRDefault="004F077A" w:rsidP="00DA725A">
            <w:pPr>
              <w:autoSpaceDE w:val="0"/>
              <w:autoSpaceDN w:val="0"/>
              <w:adjustRightInd w:val="0"/>
              <w:rPr>
                <w:sz w:val="18"/>
                <w:szCs w:val="18"/>
              </w:rPr>
            </w:pPr>
            <w:r w:rsidRPr="00E84D74">
              <w:rPr>
                <w:sz w:val="18"/>
                <w:szCs w:val="18"/>
              </w:rPr>
              <w:t>2. The contract provisions related to transmission tariffs and capacity bookings referred to in paragraph</w:t>
            </w:r>
          </w:p>
          <w:p w:rsidR="004F077A" w:rsidRPr="00E84D74" w:rsidRDefault="004F077A" w:rsidP="00DA725A">
            <w:pPr>
              <w:autoSpaceDE w:val="0"/>
              <w:autoSpaceDN w:val="0"/>
              <w:adjustRightInd w:val="0"/>
              <w:rPr>
                <w:sz w:val="18"/>
                <w:szCs w:val="18"/>
              </w:rPr>
            </w:pPr>
            <w:r w:rsidRPr="00E84D74">
              <w:rPr>
                <w:sz w:val="18"/>
                <w:szCs w:val="18"/>
              </w:rPr>
              <w:t>1 shall not be renewed, prolonged or rolled over after their expiration date.</w:t>
            </w:r>
          </w:p>
          <w:p w:rsidR="003562AD" w:rsidRPr="00E84D74" w:rsidRDefault="003562AD" w:rsidP="00DA725A">
            <w:pPr>
              <w:autoSpaceDE w:val="0"/>
              <w:autoSpaceDN w:val="0"/>
              <w:adjustRightInd w:val="0"/>
              <w:rPr>
                <w:sz w:val="18"/>
                <w:szCs w:val="18"/>
              </w:rPr>
            </w:pPr>
          </w:p>
          <w:p w:rsidR="004F077A" w:rsidRPr="007E7C8C" w:rsidRDefault="004F077A" w:rsidP="00DA725A">
            <w:pPr>
              <w:autoSpaceDE w:val="0"/>
              <w:autoSpaceDN w:val="0"/>
              <w:adjustRightInd w:val="0"/>
              <w:rPr>
                <w:sz w:val="18"/>
                <w:szCs w:val="18"/>
              </w:rPr>
            </w:pPr>
            <w:r w:rsidRPr="007E7C8C">
              <w:rPr>
                <w:sz w:val="18"/>
                <w:szCs w:val="18"/>
              </w:rPr>
              <w:t xml:space="preserve">3. Before </w:t>
            </w:r>
            <w:r w:rsidRPr="007E7C8C">
              <w:rPr>
                <w:b/>
                <w:bCs/>
                <w:sz w:val="18"/>
                <w:szCs w:val="18"/>
              </w:rPr>
              <w:t>1 November 2019</w:t>
            </w:r>
            <w:r w:rsidRPr="007E7C8C">
              <w:rPr>
                <w:sz w:val="18"/>
                <w:szCs w:val="18"/>
              </w:rPr>
              <w:t>, a transmission system operator shall send the contracts or the information</w:t>
            </w:r>
          </w:p>
          <w:p w:rsidR="004F077A" w:rsidRPr="007E7C8C" w:rsidRDefault="004F077A" w:rsidP="00DA725A">
            <w:pPr>
              <w:autoSpaceDE w:val="0"/>
              <w:autoSpaceDN w:val="0"/>
              <w:adjustRightInd w:val="0"/>
              <w:rPr>
                <w:sz w:val="18"/>
                <w:szCs w:val="18"/>
              </w:rPr>
            </w:pPr>
            <w:r w:rsidRPr="007E7C8C">
              <w:rPr>
                <w:sz w:val="18"/>
                <w:szCs w:val="18"/>
              </w:rPr>
              <w:t>on capacity bookings, if any, referred to in paragraph 1 to the national regulatory authority for</w:t>
            </w:r>
          </w:p>
          <w:p w:rsidR="00D146AC" w:rsidRPr="00E84D74" w:rsidRDefault="004F077A" w:rsidP="00DA725A">
            <w:pPr>
              <w:jc w:val="both"/>
              <w:rPr>
                <w:b/>
                <w:sz w:val="18"/>
                <w:szCs w:val="18"/>
                <w:lang w:val="it-IT"/>
              </w:rPr>
            </w:pPr>
            <w:r w:rsidRPr="007E7C8C">
              <w:rPr>
                <w:sz w:val="18"/>
                <w:szCs w:val="18"/>
              </w:rPr>
              <w:t>information.</w:t>
            </w:r>
          </w:p>
        </w:tc>
      </w:tr>
      <w:tr w:rsidR="00D146AC" w:rsidRPr="00B3313F"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36</w:t>
            </w:r>
          </w:p>
          <w:p w:rsidR="00D146AC" w:rsidRPr="00D82EE4" w:rsidRDefault="00D146AC" w:rsidP="00DA725A">
            <w:pPr>
              <w:shd w:val="clear" w:color="auto" w:fill="FFFFFF"/>
              <w:jc w:val="both"/>
              <w:rPr>
                <w:b/>
                <w:bCs/>
                <w:sz w:val="18"/>
                <w:szCs w:val="18"/>
                <w:lang w:val="it-IT"/>
              </w:rPr>
            </w:pPr>
            <w:r w:rsidRPr="00D82EE4">
              <w:rPr>
                <w:b/>
                <w:bCs/>
                <w:sz w:val="18"/>
                <w:szCs w:val="18"/>
                <w:lang w:val="it-IT"/>
              </w:rPr>
              <w:t>Monitorizarea punerii în aplicare</w:t>
            </w:r>
          </w:p>
          <w:p w:rsidR="00D146AC" w:rsidRPr="00043955" w:rsidRDefault="00D146AC" w:rsidP="00DA725A">
            <w:pPr>
              <w:shd w:val="clear" w:color="auto" w:fill="FFFFFF"/>
              <w:jc w:val="both"/>
              <w:rPr>
                <w:sz w:val="18"/>
                <w:szCs w:val="18"/>
              </w:rPr>
            </w:pPr>
            <w:r w:rsidRPr="00D82EE4">
              <w:rPr>
                <w:sz w:val="18"/>
                <w:szCs w:val="18"/>
                <w:lang w:val="it-IT"/>
              </w:rPr>
              <w:t xml:space="preserve">(1)   Pentru a asista Agenția la îndeplinirea sarcinilor sale de monitorizare în temeiul articolului 9 alineatul (1) din Regulamentul (CE) nr. 715/2009, ENTSOG monitorizează și analizează modul în care operatorii de transport și de sistem au pus în aplicare prezentul regulament, în conformitate cu articolul 8 alineatele (8) și (9) din Regulamentul (CE) nr. 715/2009. În special, ENTSOG asigură integralitatea și corectitudinea tuturor informațiilor relevante care trebuie furnizate de operatorii de transport și de sistem. </w:t>
            </w:r>
            <w:r w:rsidRPr="00043955">
              <w:rPr>
                <w:sz w:val="18"/>
                <w:szCs w:val="18"/>
              </w:rPr>
              <w:t>ENTSOG transmite informațiile respective Agenției, respectând următoarele termene: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7"/>
              <w:gridCol w:w="4812"/>
            </w:tblGrid>
            <w:tr w:rsidR="00D146AC" w:rsidRPr="00C27D66" w:rsidTr="00B92DDC">
              <w:tc>
                <w:tcPr>
                  <w:tcW w:w="387"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6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martie 2018, în ceea ce privește cerințele de la capitolul VIII;</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857"/>
            </w:tblGrid>
            <w:tr w:rsidR="00D146AC" w:rsidRPr="00C27D66" w:rsidTr="00B92DDC">
              <w:tc>
                <w:tcPr>
                  <w:tcW w:w="303"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52"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martie 2020, în ceea ce privește toate celelalte dispoziții ale prezentului regulament.</w:t>
                  </w:r>
                </w:p>
              </w:tc>
            </w:tr>
          </w:tbl>
          <w:p w:rsidR="00D146AC" w:rsidRPr="00D82EE4" w:rsidRDefault="00D146AC" w:rsidP="00DA725A">
            <w:pPr>
              <w:shd w:val="clear" w:color="auto" w:fill="FFFFFF"/>
              <w:jc w:val="both"/>
              <w:rPr>
                <w:sz w:val="18"/>
                <w:szCs w:val="18"/>
                <w:lang w:val="it-IT"/>
              </w:rPr>
            </w:pPr>
            <w:r w:rsidRPr="00D82EE4">
              <w:rPr>
                <w:sz w:val="18"/>
                <w:szCs w:val="18"/>
                <w:lang w:val="it-IT"/>
              </w:rPr>
              <w:t>(2)   Operatorii de transport și de sistem transmit ENTSOG toate informațiile solicitate de ENTSOG pentru a-și îndeplini obligațiile în temeiul alineatului (1), respectând următoarele termene: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5"/>
              <w:gridCol w:w="4824"/>
            </w:tblGrid>
            <w:tr w:rsidR="00D146AC" w:rsidRPr="00C27D66" w:rsidTr="00B92DDC">
              <w:tc>
                <w:tcPr>
                  <w:tcW w:w="365"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9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decembrie 2017, în ceea ce privește cerințele de la capitolul VIII;</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5"/>
              <w:gridCol w:w="4864"/>
            </w:tblGrid>
            <w:tr w:rsidR="00D146AC" w:rsidRPr="00C27D66" w:rsidTr="00B92DDC">
              <w:tc>
                <w:tcPr>
                  <w:tcW w:w="29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6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decembrie 2019, în ceea ce privește toate celelalte dispoziții ale prezentului regulament.</w:t>
                  </w:r>
                </w:p>
              </w:tc>
            </w:tr>
          </w:tbl>
          <w:p w:rsidR="00D146AC" w:rsidRDefault="00D146AC" w:rsidP="00DA725A">
            <w:pPr>
              <w:shd w:val="clear" w:color="auto" w:fill="FFFFFF"/>
              <w:jc w:val="both"/>
              <w:rPr>
                <w:sz w:val="18"/>
                <w:szCs w:val="18"/>
                <w:lang w:val="it-IT"/>
              </w:rPr>
            </w:pPr>
            <w:r w:rsidRPr="00D82EE4">
              <w:rPr>
                <w:sz w:val="18"/>
                <w:szCs w:val="18"/>
                <w:lang w:val="it-IT"/>
              </w:rPr>
              <w:t>(3)   Ciclul de monitorizare a punerii în aplicare, astfel cum este stabilit la alineatele (1) și (2), se repetă în anii următori, sub rezerva unor solicitări corespunzătoare din partea Comisiei.</w:t>
            </w:r>
          </w:p>
          <w:p w:rsidR="007E7C8C" w:rsidRDefault="007E7C8C" w:rsidP="00DA725A">
            <w:pPr>
              <w:shd w:val="clear" w:color="auto" w:fill="FFFFFF"/>
              <w:jc w:val="both"/>
              <w:rPr>
                <w:sz w:val="18"/>
                <w:szCs w:val="18"/>
                <w:lang w:val="it-IT"/>
              </w:rPr>
            </w:pPr>
          </w:p>
          <w:p w:rsidR="007E7C8C" w:rsidRDefault="007E7C8C" w:rsidP="00DA725A">
            <w:pPr>
              <w:shd w:val="clear" w:color="auto" w:fill="FFFFFF"/>
              <w:jc w:val="both"/>
              <w:rPr>
                <w:sz w:val="18"/>
                <w:szCs w:val="18"/>
                <w:lang w:val="it-IT"/>
              </w:rPr>
            </w:pPr>
          </w:p>
          <w:p w:rsidR="00243A1C" w:rsidRDefault="00243A1C" w:rsidP="00DA725A">
            <w:pPr>
              <w:shd w:val="clear" w:color="auto" w:fill="FFFFFF"/>
              <w:jc w:val="both"/>
              <w:rPr>
                <w:sz w:val="18"/>
                <w:szCs w:val="18"/>
                <w:lang w:val="it-IT"/>
              </w:rPr>
            </w:pPr>
          </w:p>
          <w:p w:rsidR="007E7C8C" w:rsidRDefault="007E7C8C"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(4)   ENTSOG și Agenția păstrează confidențialitatea informațiilor sensibile din punct de vedere comercial.</w:t>
            </w:r>
          </w:p>
          <w:p w:rsidR="007E7C8C" w:rsidRDefault="007E7C8C" w:rsidP="00DA725A">
            <w:pPr>
              <w:shd w:val="clear" w:color="auto" w:fill="FFFFFF"/>
              <w:jc w:val="both"/>
              <w:rPr>
                <w:sz w:val="18"/>
                <w:szCs w:val="18"/>
                <w:lang w:val="it-IT"/>
              </w:rPr>
            </w:pPr>
          </w:p>
          <w:p w:rsidR="004739CB" w:rsidRDefault="004739CB" w:rsidP="00DA725A">
            <w:pPr>
              <w:shd w:val="clear" w:color="auto" w:fill="FFFFFF"/>
              <w:jc w:val="both"/>
              <w:rPr>
                <w:sz w:val="18"/>
                <w:szCs w:val="18"/>
                <w:lang w:val="it-IT"/>
              </w:rPr>
            </w:pPr>
          </w:p>
          <w:p w:rsidR="007E7C8C" w:rsidRPr="00D82EE4" w:rsidRDefault="007E7C8C"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(5)   În termen de trei ani de la intrarea în vigoare a prezentului regulament, Agenția publică un raport privind aplicarea metodologiilor de stabilire a prețurilor de referință în statele membre.</w:t>
            </w:r>
          </w:p>
        </w:tc>
        <w:tc>
          <w:tcPr>
            <w:tcW w:w="4962" w:type="dxa"/>
          </w:tcPr>
          <w:p w:rsidR="00706276" w:rsidRPr="00706276" w:rsidRDefault="00706276" w:rsidP="007E7C8C">
            <w:pPr>
              <w:pStyle w:val="NoSpacing"/>
              <w:jc w:val="center"/>
              <w:rPr>
                <w:b/>
                <w:lang w:val="ro-RO"/>
              </w:rPr>
            </w:pPr>
            <w:r w:rsidRPr="00706276">
              <w:rPr>
                <w:b/>
                <w:bCs/>
                <w:lang w:val="ro-RO"/>
              </w:rPr>
              <w:t>Secţiunea 2</w:t>
            </w:r>
          </w:p>
          <w:p w:rsidR="00706276" w:rsidRPr="00706276" w:rsidRDefault="00706276" w:rsidP="007E7C8C">
            <w:pPr>
              <w:pStyle w:val="NoSpacing"/>
              <w:jc w:val="center"/>
              <w:rPr>
                <w:b/>
                <w:lang w:val="ro-RO"/>
              </w:rPr>
            </w:pPr>
            <w:r w:rsidRPr="00706276">
              <w:rPr>
                <w:b/>
                <w:bCs/>
                <w:lang w:val="ro-RO"/>
              </w:rPr>
              <w:t>Monitorizarea punerii în aplicare</w:t>
            </w:r>
          </w:p>
          <w:p w:rsidR="00BC754D" w:rsidRDefault="00BC754D" w:rsidP="00706276">
            <w:pPr>
              <w:pStyle w:val="NoSpacing"/>
              <w:rPr>
                <w:b/>
                <w:bCs/>
                <w:lang w:val="ro-RO"/>
              </w:rPr>
            </w:pPr>
          </w:p>
          <w:p w:rsidR="00706276" w:rsidRPr="00F377C0" w:rsidRDefault="00706276" w:rsidP="007E7C8C">
            <w:pPr>
              <w:pStyle w:val="NoSpacing"/>
              <w:jc w:val="both"/>
              <w:rPr>
                <w:sz w:val="18"/>
                <w:lang w:val="ro-RO"/>
              </w:rPr>
            </w:pPr>
            <w:r w:rsidRPr="00F377C0">
              <w:rPr>
                <w:b/>
                <w:bCs/>
                <w:sz w:val="18"/>
                <w:lang w:val="ro-RO"/>
              </w:rPr>
              <w:t>427.</w:t>
            </w:r>
            <w:r w:rsidRPr="00F377C0">
              <w:rPr>
                <w:b/>
                <w:sz w:val="18"/>
                <w:lang w:val="ro-RO"/>
              </w:rPr>
              <w:t xml:space="preserve"> </w:t>
            </w:r>
            <w:r w:rsidRPr="00F377C0">
              <w:rPr>
                <w:sz w:val="18"/>
                <w:lang w:val="ro-RO"/>
              </w:rPr>
              <w:t>În contextul implementării responsabilităţilor de monitorizare şi analizare a modului în care OST pune în aplicare prezentul Cod, Agenţia şi OST transmit informaţia solicitată de Secretariatul Comunităţii Energetice şi ENTSO-G.</w:t>
            </w:r>
          </w:p>
          <w:p w:rsidR="00706276" w:rsidRDefault="00706276"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Pr="00485F66" w:rsidRDefault="007E7C8C" w:rsidP="007E7C8C">
            <w:pPr>
              <w:jc w:val="both"/>
              <w:rPr>
                <w:sz w:val="18"/>
                <w:szCs w:val="18"/>
                <w:lang w:val="ro-RO"/>
              </w:rPr>
            </w:pPr>
            <w:r w:rsidRPr="00485F66">
              <w:rPr>
                <w:b/>
                <w:bCs/>
                <w:sz w:val="18"/>
                <w:szCs w:val="18"/>
                <w:lang w:val="ro-RO"/>
              </w:rPr>
              <w:t>637.</w:t>
            </w:r>
            <w:r w:rsidRPr="00485F66">
              <w:rPr>
                <w:sz w:val="18"/>
                <w:szCs w:val="18"/>
                <w:lang w:val="ro-RO"/>
              </w:rPr>
              <w:t xml:space="preserve"> OST transmit toate informaţiile solicitate de Secretariatul Comunităţii Energetice pentru a-şi îndeplini obligaţiile în conformitate cu pct.427, respectând următoarele termene:</w:t>
            </w:r>
          </w:p>
          <w:p w:rsidR="007E7C8C" w:rsidRPr="00485F66" w:rsidRDefault="007E7C8C" w:rsidP="007E7C8C">
            <w:pPr>
              <w:jc w:val="both"/>
              <w:rPr>
                <w:sz w:val="18"/>
                <w:szCs w:val="18"/>
                <w:lang w:val="it-IT"/>
              </w:rPr>
            </w:pPr>
            <w:r w:rsidRPr="00485F66">
              <w:rPr>
                <w:sz w:val="18"/>
                <w:szCs w:val="18"/>
                <w:lang w:val="it-IT"/>
              </w:rPr>
              <w:t>1) referitor la cerinţele de la capitolul VIII, Titlul V - la intrarea în vigoare a Codului;</w:t>
            </w:r>
          </w:p>
          <w:p w:rsidR="007E7C8C" w:rsidRPr="00485F66" w:rsidRDefault="007E7C8C" w:rsidP="007E7C8C">
            <w:pPr>
              <w:jc w:val="both"/>
              <w:rPr>
                <w:sz w:val="18"/>
                <w:szCs w:val="18"/>
                <w:lang w:val="it-IT"/>
              </w:rPr>
            </w:pPr>
            <w:r w:rsidRPr="00485F66">
              <w:rPr>
                <w:sz w:val="18"/>
                <w:szCs w:val="18"/>
                <w:lang w:val="it-IT"/>
              </w:rPr>
              <w:t>2) 31 decembrie 2021, referitor la toate celelalte dispoziţii ale Titlului V.</w:t>
            </w:r>
          </w:p>
          <w:p w:rsidR="007E7C8C" w:rsidRPr="00485F66" w:rsidRDefault="007E7C8C" w:rsidP="007E7C8C">
            <w:pPr>
              <w:pStyle w:val="NoSpacing"/>
              <w:jc w:val="both"/>
              <w:rPr>
                <w:b/>
                <w:bCs/>
                <w:sz w:val="18"/>
                <w:lang w:val="it-IT"/>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243A1C" w:rsidRDefault="00243A1C" w:rsidP="007E7C8C">
            <w:pPr>
              <w:pStyle w:val="NoSpacing"/>
              <w:jc w:val="both"/>
              <w:rPr>
                <w:b/>
                <w:bCs/>
                <w:sz w:val="18"/>
                <w:lang w:val="ro-RO"/>
              </w:rPr>
            </w:pPr>
          </w:p>
          <w:p w:rsidR="007E7C8C" w:rsidRPr="00F377C0" w:rsidRDefault="007E7C8C" w:rsidP="007E7C8C">
            <w:pPr>
              <w:pStyle w:val="NoSpacing"/>
              <w:jc w:val="both"/>
              <w:rPr>
                <w:b/>
                <w:bCs/>
                <w:sz w:val="18"/>
                <w:lang w:val="ro-RO"/>
              </w:rPr>
            </w:pPr>
          </w:p>
          <w:p w:rsidR="00706276" w:rsidRPr="00706276" w:rsidRDefault="00706276" w:rsidP="007E7C8C">
            <w:pPr>
              <w:pStyle w:val="NoSpacing"/>
              <w:jc w:val="both"/>
              <w:rPr>
                <w:lang w:val="ro-RO"/>
              </w:rPr>
            </w:pPr>
            <w:r w:rsidRPr="00F377C0">
              <w:rPr>
                <w:b/>
                <w:bCs/>
                <w:sz w:val="18"/>
                <w:lang w:val="ro-RO"/>
              </w:rPr>
              <w:t>428</w:t>
            </w:r>
            <w:r w:rsidRPr="00F377C0">
              <w:rPr>
                <w:bCs/>
                <w:sz w:val="18"/>
                <w:lang w:val="ro-RO"/>
              </w:rPr>
              <w:t>.</w:t>
            </w:r>
            <w:r w:rsidRPr="00F377C0">
              <w:rPr>
                <w:sz w:val="18"/>
                <w:lang w:val="ro-RO"/>
              </w:rPr>
              <w:t xml:space="preserve"> Confidenţialitatea informaţiilor sensibile din punct de vedere comercial este asigurată de Secretariatul Comunităţii Energetice, Comitetul de reglementare al CE şi ENTSO-G</w:t>
            </w:r>
            <w:r w:rsidRPr="00706276">
              <w:rPr>
                <w:lang w:val="ro-RO"/>
              </w:rPr>
              <w:t>.</w:t>
            </w:r>
          </w:p>
          <w:p w:rsidR="00D146AC" w:rsidRPr="00043955" w:rsidRDefault="00D146AC" w:rsidP="00DA725A">
            <w:pPr>
              <w:pStyle w:val="NoSpacing"/>
              <w:jc w:val="both"/>
              <w:rPr>
                <w:lang w:val="ro-RO"/>
              </w:rPr>
            </w:pPr>
          </w:p>
        </w:tc>
        <w:tc>
          <w:tcPr>
            <w:tcW w:w="1275" w:type="dxa"/>
            <w:shd w:val="clear" w:color="auto" w:fill="FFFFFF" w:themeFill="background1"/>
          </w:tcPr>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D146AC" w:rsidRPr="00485F66" w:rsidRDefault="00D146AC" w:rsidP="00DA725A">
            <w:pPr>
              <w:jc w:val="both"/>
              <w:rPr>
                <w:sz w:val="18"/>
                <w:szCs w:val="18"/>
                <w:lang w:val="it-IT"/>
              </w:rPr>
            </w:pPr>
            <w:r w:rsidRPr="00485F66">
              <w:rPr>
                <w:sz w:val="18"/>
                <w:szCs w:val="18"/>
                <w:lang w:val="it-IT"/>
              </w:rPr>
              <w:t>Compatibil</w:t>
            </w:r>
          </w:p>
          <w:p w:rsidR="00D146AC" w:rsidRPr="00485F66" w:rsidRDefault="00D146AC" w:rsidP="00DA725A">
            <w:pPr>
              <w:jc w:val="both"/>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CC1F78" w:rsidRPr="00485F66" w:rsidRDefault="00CC1F78" w:rsidP="00DA725A">
            <w:pPr>
              <w:rPr>
                <w:b/>
                <w:sz w:val="18"/>
                <w:szCs w:val="18"/>
                <w:lang w:val="it-IT"/>
              </w:rPr>
            </w:pPr>
          </w:p>
          <w:p w:rsidR="00D146AC" w:rsidRPr="00485F66" w:rsidRDefault="00D146AC" w:rsidP="00DA725A">
            <w:pPr>
              <w:jc w:val="both"/>
              <w:rPr>
                <w:sz w:val="18"/>
                <w:szCs w:val="18"/>
                <w:lang w:val="it-IT"/>
              </w:rPr>
            </w:pPr>
            <w:r w:rsidRPr="00485F66">
              <w:rPr>
                <w:sz w:val="18"/>
                <w:szCs w:val="18"/>
                <w:lang w:val="it-IT"/>
              </w:rPr>
              <w:t>Compatibil</w:t>
            </w: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243A1C" w:rsidRDefault="007E7C8C" w:rsidP="00DA725A">
            <w:pPr>
              <w:rPr>
                <w:sz w:val="18"/>
                <w:szCs w:val="18"/>
                <w:lang w:val="it-IT"/>
              </w:rPr>
            </w:pPr>
            <w:r w:rsidRPr="00243A1C">
              <w:rPr>
                <w:sz w:val="18"/>
                <w:szCs w:val="18"/>
                <w:lang w:val="it-IT"/>
              </w:rPr>
              <w:t>Prevederi UE neaplicabile</w:t>
            </w:r>
          </w:p>
          <w:p w:rsidR="007E7C8C" w:rsidRPr="00485F66" w:rsidRDefault="007E7C8C" w:rsidP="00DA725A">
            <w:pPr>
              <w:rPr>
                <w:b/>
                <w:sz w:val="18"/>
                <w:szCs w:val="18"/>
                <w:lang w:val="it-IT"/>
              </w:rPr>
            </w:pPr>
          </w:p>
          <w:p w:rsidR="00D146AC" w:rsidRPr="00485F66" w:rsidRDefault="00D146AC" w:rsidP="00DA725A">
            <w:pPr>
              <w:jc w:val="both"/>
              <w:rPr>
                <w:sz w:val="18"/>
                <w:szCs w:val="18"/>
                <w:lang w:val="it-IT"/>
              </w:rPr>
            </w:pPr>
            <w:r w:rsidRPr="00485F66">
              <w:rPr>
                <w:sz w:val="18"/>
                <w:szCs w:val="18"/>
                <w:lang w:val="it-IT"/>
              </w:rPr>
              <w:t>Compatibil</w:t>
            </w:r>
          </w:p>
          <w:p w:rsidR="00D146AC" w:rsidRDefault="00D146AC" w:rsidP="00DA725A">
            <w:pPr>
              <w:rPr>
                <w:b/>
                <w:sz w:val="18"/>
                <w:szCs w:val="18"/>
                <w:lang w:val="it-IT"/>
              </w:rPr>
            </w:pPr>
          </w:p>
          <w:p w:rsidR="004739CB" w:rsidRPr="00485F66" w:rsidRDefault="004739CB" w:rsidP="00DA725A">
            <w:pPr>
              <w:rPr>
                <w:b/>
                <w:sz w:val="18"/>
                <w:szCs w:val="18"/>
                <w:lang w:val="it-IT"/>
              </w:rPr>
            </w:pPr>
          </w:p>
          <w:p w:rsidR="00D146AC" w:rsidRDefault="00D146AC" w:rsidP="00DA725A">
            <w:pPr>
              <w:rPr>
                <w:b/>
                <w:sz w:val="18"/>
                <w:szCs w:val="18"/>
                <w:lang w:val="it-IT"/>
              </w:rPr>
            </w:pPr>
          </w:p>
          <w:p w:rsidR="00243A1C" w:rsidRPr="00485F66" w:rsidRDefault="00243A1C" w:rsidP="00DA725A">
            <w:pPr>
              <w:rPr>
                <w:b/>
                <w:sz w:val="18"/>
                <w:szCs w:val="18"/>
                <w:lang w:val="it-IT"/>
              </w:rPr>
            </w:pPr>
          </w:p>
          <w:p w:rsidR="007E7C8C" w:rsidRPr="007E7C8C" w:rsidRDefault="007E7C8C" w:rsidP="007E7C8C">
            <w:pPr>
              <w:rPr>
                <w:sz w:val="18"/>
                <w:szCs w:val="18"/>
              </w:rPr>
            </w:pPr>
            <w:r w:rsidRPr="007E7C8C">
              <w:rPr>
                <w:sz w:val="18"/>
                <w:szCs w:val="18"/>
              </w:rPr>
              <w:t>Prevederi UE neaplicabile</w:t>
            </w:r>
          </w:p>
          <w:p w:rsidR="00D146AC" w:rsidRPr="007E7C8C" w:rsidRDefault="00D146AC" w:rsidP="00DA725A">
            <w:pPr>
              <w:rPr>
                <w:b/>
                <w:sz w:val="18"/>
                <w:szCs w:val="18"/>
              </w:rPr>
            </w:pPr>
          </w:p>
        </w:tc>
        <w:tc>
          <w:tcPr>
            <w:tcW w:w="4253" w:type="dxa"/>
            <w:shd w:val="clear" w:color="auto" w:fill="FFFFFF" w:themeFill="background1"/>
          </w:tcPr>
          <w:p w:rsidR="001F69BE" w:rsidRPr="007E7C8C" w:rsidRDefault="001F69BE" w:rsidP="00DA725A">
            <w:pPr>
              <w:autoSpaceDE w:val="0"/>
              <w:autoSpaceDN w:val="0"/>
              <w:adjustRightInd w:val="0"/>
              <w:jc w:val="center"/>
              <w:rPr>
                <w:b/>
                <w:bCs/>
                <w:i/>
                <w:iCs/>
                <w:sz w:val="18"/>
                <w:szCs w:val="18"/>
              </w:rPr>
            </w:pPr>
            <w:r w:rsidRPr="007E7C8C">
              <w:rPr>
                <w:b/>
                <w:bCs/>
                <w:i/>
                <w:iCs/>
                <w:sz w:val="18"/>
                <w:szCs w:val="18"/>
              </w:rPr>
              <w:t>Article 36</w:t>
            </w:r>
          </w:p>
          <w:p w:rsidR="001F69BE" w:rsidRPr="007E7C8C" w:rsidRDefault="001F69BE" w:rsidP="00DA725A">
            <w:pPr>
              <w:autoSpaceDE w:val="0"/>
              <w:autoSpaceDN w:val="0"/>
              <w:adjustRightInd w:val="0"/>
              <w:jc w:val="center"/>
              <w:rPr>
                <w:b/>
                <w:bCs/>
                <w:sz w:val="18"/>
                <w:szCs w:val="18"/>
              </w:rPr>
            </w:pPr>
            <w:r w:rsidRPr="007E7C8C">
              <w:rPr>
                <w:b/>
                <w:bCs/>
                <w:sz w:val="18"/>
                <w:szCs w:val="18"/>
              </w:rPr>
              <w:t>Implementation monitoring</w:t>
            </w:r>
          </w:p>
          <w:p w:rsidR="00FE4D11" w:rsidRPr="007E7C8C" w:rsidRDefault="00FE4D11" w:rsidP="00DA725A">
            <w:pPr>
              <w:autoSpaceDE w:val="0"/>
              <w:autoSpaceDN w:val="0"/>
              <w:adjustRightInd w:val="0"/>
              <w:rPr>
                <w:sz w:val="18"/>
                <w:szCs w:val="18"/>
              </w:rPr>
            </w:pPr>
          </w:p>
          <w:p w:rsidR="001F69BE" w:rsidRPr="007E7C8C" w:rsidRDefault="001F69BE" w:rsidP="00DA725A">
            <w:pPr>
              <w:autoSpaceDE w:val="0"/>
              <w:autoSpaceDN w:val="0"/>
              <w:adjustRightInd w:val="0"/>
              <w:rPr>
                <w:b/>
                <w:bCs/>
                <w:sz w:val="18"/>
                <w:szCs w:val="18"/>
              </w:rPr>
            </w:pPr>
            <w:r w:rsidRPr="007E7C8C">
              <w:rPr>
                <w:sz w:val="18"/>
                <w:szCs w:val="18"/>
              </w:rPr>
              <w:t xml:space="preserve">1. </w:t>
            </w:r>
            <w:r w:rsidRPr="007E7C8C">
              <w:rPr>
                <w:b/>
                <w:bCs/>
                <w:sz w:val="18"/>
                <w:szCs w:val="18"/>
              </w:rPr>
              <w:t>&lt;…&gt; In context of its implementation monitoring responsibilities, the Energy Community</w:t>
            </w:r>
          </w:p>
          <w:p w:rsidR="001F69BE" w:rsidRPr="007E7C8C" w:rsidRDefault="001F69BE" w:rsidP="00DA725A">
            <w:pPr>
              <w:autoSpaceDE w:val="0"/>
              <w:autoSpaceDN w:val="0"/>
              <w:adjustRightInd w:val="0"/>
              <w:rPr>
                <w:sz w:val="18"/>
                <w:szCs w:val="18"/>
              </w:rPr>
            </w:pPr>
            <w:r w:rsidRPr="007E7C8C">
              <w:rPr>
                <w:b/>
                <w:bCs/>
                <w:sz w:val="18"/>
                <w:szCs w:val="18"/>
              </w:rPr>
              <w:t xml:space="preserve">Secretariat </w:t>
            </w:r>
            <w:r w:rsidRPr="007E7C8C">
              <w:rPr>
                <w:sz w:val="18"/>
                <w:szCs w:val="18"/>
              </w:rPr>
              <w:t xml:space="preserve">shall monitor and analyse </w:t>
            </w:r>
            <w:r w:rsidRPr="007E7C8C">
              <w:rPr>
                <w:b/>
                <w:bCs/>
                <w:sz w:val="18"/>
                <w:szCs w:val="18"/>
              </w:rPr>
              <w:t xml:space="preserve">&lt;…&gt; </w:t>
            </w:r>
            <w:r w:rsidRPr="007E7C8C">
              <w:rPr>
                <w:sz w:val="18"/>
                <w:szCs w:val="18"/>
              </w:rPr>
              <w:t>how transmission system operators have implemented this</w:t>
            </w:r>
          </w:p>
          <w:p w:rsidR="001F69BE" w:rsidRPr="007E7C8C" w:rsidRDefault="001F69BE" w:rsidP="00DA725A">
            <w:pPr>
              <w:autoSpaceDE w:val="0"/>
              <w:autoSpaceDN w:val="0"/>
              <w:adjustRightInd w:val="0"/>
              <w:rPr>
                <w:b/>
                <w:bCs/>
                <w:sz w:val="18"/>
                <w:szCs w:val="18"/>
              </w:rPr>
            </w:pPr>
            <w:r w:rsidRPr="007E7C8C">
              <w:rPr>
                <w:sz w:val="18"/>
                <w:szCs w:val="18"/>
              </w:rPr>
              <w:t xml:space="preserve">Regulation. </w:t>
            </w:r>
            <w:r w:rsidRPr="007E7C8C">
              <w:rPr>
                <w:b/>
                <w:bCs/>
                <w:sz w:val="18"/>
                <w:szCs w:val="18"/>
              </w:rPr>
              <w:t>&lt;…&gt;</w:t>
            </w:r>
          </w:p>
          <w:p w:rsidR="00FE4D11" w:rsidRPr="007E7C8C" w:rsidRDefault="00FE4D11"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1F69BE" w:rsidRPr="007E7C8C" w:rsidRDefault="001F69BE" w:rsidP="00DA725A">
            <w:pPr>
              <w:autoSpaceDE w:val="0"/>
              <w:autoSpaceDN w:val="0"/>
              <w:adjustRightInd w:val="0"/>
              <w:rPr>
                <w:sz w:val="18"/>
                <w:szCs w:val="18"/>
              </w:rPr>
            </w:pPr>
            <w:r w:rsidRPr="007E7C8C">
              <w:rPr>
                <w:sz w:val="18"/>
                <w:szCs w:val="18"/>
              </w:rPr>
              <w:t xml:space="preserve">2. Transmission system operators shall submit to </w:t>
            </w:r>
            <w:r w:rsidRPr="007E7C8C">
              <w:rPr>
                <w:b/>
                <w:bCs/>
                <w:sz w:val="18"/>
                <w:szCs w:val="18"/>
              </w:rPr>
              <w:t xml:space="preserve">the Energy Community Secretariat </w:t>
            </w:r>
            <w:r w:rsidRPr="007E7C8C">
              <w:rPr>
                <w:sz w:val="18"/>
                <w:szCs w:val="18"/>
              </w:rPr>
              <w:t>all information</w:t>
            </w:r>
          </w:p>
          <w:p w:rsidR="001F69BE" w:rsidRPr="007E7C8C" w:rsidRDefault="001F69BE" w:rsidP="00DA725A">
            <w:pPr>
              <w:autoSpaceDE w:val="0"/>
              <w:autoSpaceDN w:val="0"/>
              <w:adjustRightInd w:val="0"/>
              <w:rPr>
                <w:sz w:val="18"/>
                <w:szCs w:val="18"/>
              </w:rPr>
            </w:pPr>
            <w:r w:rsidRPr="007E7C8C">
              <w:rPr>
                <w:sz w:val="18"/>
                <w:szCs w:val="18"/>
              </w:rPr>
              <w:t xml:space="preserve">required by </w:t>
            </w:r>
            <w:r w:rsidRPr="007E7C8C">
              <w:rPr>
                <w:b/>
                <w:bCs/>
                <w:sz w:val="18"/>
                <w:szCs w:val="18"/>
              </w:rPr>
              <w:t xml:space="preserve">the Energy Community Secretariat </w:t>
            </w:r>
            <w:r w:rsidRPr="007E7C8C">
              <w:rPr>
                <w:sz w:val="18"/>
                <w:szCs w:val="18"/>
              </w:rPr>
              <w:t>to comply with its obligations pursuant to paragraph</w:t>
            </w:r>
          </w:p>
          <w:p w:rsidR="001F69BE" w:rsidRPr="007E7C8C" w:rsidRDefault="001F69BE" w:rsidP="00DA725A">
            <w:pPr>
              <w:autoSpaceDE w:val="0"/>
              <w:autoSpaceDN w:val="0"/>
              <w:adjustRightInd w:val="0"/>
              <w:rPr>
                <w:sz w:val="18"/>
                <w:szCs w:val="18"/>
              </w:rPr>
            </w:pPr>
            <w:r w:rsidRPr="007E7C8C">
              <w:rPr>
                <w:sz w:val="18"/>
                <w:szCs w:val="18"/>
              </w:rPr>
              <w:t>1, in accordance with the following deadlines:</w:t>
            </w:r>
          </w:p>
          <w:p w:rsidR="001F69BE" w:rsidRPr="007E7C8C" w:rsidRDefault="001F69BE" w:rsidP="00DA725A">
            <w:pPr>
              <w:autoSpaceDE w:val="0"/>
              <w:autoSpaceDN w:val="0"/>
              <w:adjustRightInd w:val="0"/>
              <w:rPr>
                <w:sz w:val="18"/>
                <w:szCs w:val="18"/>
              </w:rPr>
            </w:pPr>
            <w:r w:rsidRPr="007E7C8C">
              <w:rPr>
                <w:sz w:val="18"/>
                <w:szCs w:val="18"/>
              </w:rPr>
              <w:t xml:space="preserve">(a) </w:t>
            </w:r>
            <w:r w:rsidRPr="007E7C8C">
              <w:rPr>
                <w:b/>
                <w:bCs/>
                <w:sz w:val="18"/>
                <w:szCs w:val="18"/>
              </w:rPr>
              <w:t xml:space="preserve">1 July 2020 </w:t>
            </w:r>
            <w:r w:rsidRPr="007E7C8C">
              <w:rPr>
                <w:sz w:val="18"/>
                <w:szCs w:val="18"/>
              </w:rPr>
              <w:t>as regards the requirements under Chapter VIII;</w:t>
            </w:r>
          </w:p>
          <w:p w:rsidR="001F69BE" w:rsidRPr="007E7C8C" w:rsidRDefault="001F69BE" w:rsidP="00DA725A">
            <w:pPr>
              <w:autoSpaceDE w:val="0"/>
              <w:autoSpaceDN w:val="0"/>
              <w:adjustRightInd w:val="0"/>
              <w:rPr>
                <w:sz w:val="18"/>
                <w:szCs w:val="18"/>
              </w:rPr>
            </w:pPr>
            <w:r w:rsidRPr="007E7C8C">
              <w:rPr>
                <w:sz w:val="18"/>
                <w:szCs w:val="18"/>
              </w:rPr>
              <w:t xml:space="preserve">(b) 31 December </w:t>
            </w:r>
            <w:r w:rsidRPr="007E7C8C">
              <w:rPr>
                <w:b/>
                <w:bCs/>
                <w:sz w:val="18"/>
                <w:szCs w:val="18"/>
              </w:rPr>
              <w:t xml:space="preserve">2021 </w:t>
            </w:r>
            <w:r w:rsidRPr="007E7C8C">
              <w:rPr>
                <w:sz w:val="18"/>
                <w:szCs w:val="18"/>
              </w:rPr>
              <w:t>as regards all other provisions of this Regulation.</w:t>
            </w:r>
          </w:p>
          <w:p w:rsidR="00FE4D11" w:rsidRPr="007E7C8C" w:rsidRDefault="00FE4D11" w:rsidP="00DA725A">
            <w:pPr>
              <w:autoSpaceDE w:val="0"/>
              <w:autoSpaceDN w:val="0"/>
              <w:adjustRightInd w:val="0"/>
              <w:rPr>
                <w:sz w:val="18"/>
                <w:szCs w:val="18"/>
              </w:rPr>
            </w:pPr>
          </w:p>
          <w:p w:rsidR="00243A1C" w:rsidRPr="00243A1C" w:rsidRDefault="001F69BE" w:rsidP="00243A1C">
            <w:pPr>
              <w:pStyle w:val="ListParagraph"/>
              <w:numPr>
                <w:ilvl w:val="0"/>
                <w:numId w:val="49"/>
              </w:numPr>
              <w:autoSpaceDE w:val="0"/>
              <w:autoSpaceDN w:val="0"/>
              <w:adjustRightInd w:val="0"/>
              <w:rPr>
                <w:b/>
                <w:bCs/>
                <w:sz w:val="18"/>
                <w:szCs w:val="18"/>
              </w:rPr>
            </w:pPr>
            <w:r w:rsidRPr="00243A1C">
              <w:rPr>
                <w:b/>
                <w:bCs/>
                <w:sz w:val="18"/>
                <w:szCs w:val="18"/>
              </w:rPr>
              <w:t>&lt;…&gt;</w:t>
            </w:r>
          </w:p>
          <w:p w:rsidR="00243A1C" w:rsidRDefault="00243A1C" w:rsidP="00243A1C">
            <w:pPr>
              <w:pStyle w:val="ListParagraph"/>
              <w:autoSpaceDE w:val="0"/>
              <w:autoSpaceDN w:val="0"/>
              <w:adjustRightInd w:val="0"/>
              <w:ind w:left="10"/>
              <w:rPr>
                <w:b/>
                <w:bCs/>
                <w:sz w:val="18"/>
                <w:szCs w:val="18"/>
              </w:rPr>
            </w:pPr>
          </w:p>
          <w:p w:rsidR="00243A1C" w:rsidRPr="00243A1C" w:rsidRDefault="00243A1C" w:rsidP="00243A1C">
            <w:pPr>
              <w:pStyle w:val="ListParagraph"/>
              <w:autoSpaceDE w:val="0"/>
              <w:autoSpaceDN w:val="0"/>
              <w:adjustRightInd w:val="0"/>
              <w:ind w:left="10"/>
              <w:rPr>
                <w:b/>
                <w:bCs/>
                <w:sz w:val="18"/>
                <w:szCs w:val="18"/>
              </w:rPr>
            </w:pPr>
          </w:p>
          <w:p w:rsidR="001F69BE" w:rsidRPr="007E7C8C" w:rsidRDefault="001F69BE" w:rsidP="00243A1C">
            <w:pPr>
              <w:autoSpaceDE w:val="0"/>
              <w:autoSpaceDN w:val="0"/>
              <w:adjustRightInd w:val="0"/>
              <w:rPr>
                <w:sz w:val="18"/>
                <w:szCs w:val="18"/>
              </w:rPr>
            </w:pPr>
            <w:r w:rsidRPr="007E7C8C">
              <w:rPr>
                <w:sz w:val="18"/>
                <w:szCs w:val="18"/>
              </w:rPr>
              <w:t xml:space="preserve">4. The confidentiality of commercially sensitive information shall be preserved by </w:t>
            </w:r>
            <w:r w:rsidRPr="007E7C8C">
              <w:rPr>
                <w:b/>
                <w:bCs/>
                <w:sz w:val="18"/>
                <w:szCs w:val="18"/>
              </w:rPr>
              <w:t>the Energy Community</w:t>
            </w:r>
            <w:r w:rsidR="00FE4D11" w:rsidRPr="007E7C8C">
              <w:rPr>
                <w:b/>
                <w:bCs/>
                <w:sz w:val="18"/>
                <w:szCs w:val="18"/>
              </w:rPr>
              <w:t xml:space="preserve"> </w:t>
            </w:r>
            <w:r w:rsidRPr="007E7C8C">
              <w:rPr>
                <w:b/>
                <w:bCs/>
                <w:sz w:val="18"/>
                <w:szCs w:val="18"/>
              </w:rPr>
              <w:t>Secretariat</w:t>
            </w:r>
            <w:r w:rsidRPr="007E7C8C">
              <w:rPr>
                <w:sz w:val="18"/>
                <w:szCs w:val="18"/>
              </w:rPr>
              <w:t>.</w:t>
            </w:r>
          </w:p>
          <w:p w:rsidR="00D6274E" w:rsidRPr="007E7C8C" w:rsidRDefault="00D6274E" w:rsidP="00DA725A">
            <w:pPr>
              <w:autoSpaceDE w:val="0"/>
              <w:autoSpaceDN w:val="0"/>
              <w:adjustRightInd w:val="0"/>
              <w:rPr>
                <w:sz w:val="18"/>
                <w:szCs w:val="18"/>
              </w:rPr>
            </w:pPr>
          </w:p>
          <w:p w:rsidR="00D146AC" w:rsidRPr="007E7C8C" w:rsidRDefault="001F69BE" w:rsidP="00DA725A">
            <w:pPr>
              <w:autoSpaceDE w:val="0"/>
              <w:autoSpaceDN w:val="0"/>
              <w:adjustRightInd w:val="0"/>
              <w:rPr>
                <w:b/>
                <w:sz w:val="18"/>
                <w:szCs w:val="18"/>
              </w:rPr>
            </w:pPr>
            <w:r w:rsidRPr="007E7C8C">
              <w:rPr>
                <w:sz w:val="18"/>
                <w:szCs w:val="18"/>
              </w:rPr>
              <w:t xml:space="preserve">5. Within three years as from the </w:t>
            </w:r>
            <w:r w:rsidRPr="007E7C8C">
              <w:rPr>
                <w:b/>
                <w:bCs/>
                <w:sz w:val="18"/>
                <w:szCs w:val="18"/>
              </w:rPr>
              <w:t xml:space="preserve">deadline for transposition </w:t>
            </w:r>
            <w:r w:rsidRPr="007E7C8C">
              <w:rPr>
                <w:sz w:val="18"/>
                <w:szCs w:val="18"/>
              </w:rPr>
              <w:t xml:space="preserve">of this Regulation </w:t>
            </w:r>
            <w:r w:rsidRPr="007E7C8C">
              <w:rPr>
                <w:b/>
                <w:bCs/>
                <w:sz w:val="18"/>
                <w:szCs w:val="18"/>
              </w:rPr>
              <w:t xml:space="preserve">in the Energy </w:t>
            </w:r>
            <w:r w:rsidR="00FE4D11" w:rsidRPr="007E7C8C">
              <w:rPr>
                <w:b/>
                <w:bCs/>
                <w:sz w:val="18"/>
                <w:szCs w:val="18"/>
              </w:rPr>
              <w:t xml:space="preserve"> C</w:t>
            </w:r>
            <w:r w:rsidRPr="007E7C8C">
              <w:rPr>
                <w:b/>
                <w:bCs/>
                <w:sz w:val="18"/>
                <w:szCs w:val="18"/>
              </w:rPr>
              <w:t>ommunity</w:t>
            </w:r>
            <w:r w:rsidRPr="007E7C8C">
              <w:rPr>
                <w:sz w:val="18"/>
                <w:szCs w:val="18"/>
              </w:rPr>
              <w:t>,</w:t>
            </w:r>
            <w:r w:rsidR="00FE4D11" w:rsidRPr="007E7C8C">
              <w:rPr>
                <w:sz w:val="18"/>
                <w:szCs w:val="18"/>
              </w:rPr>
              <w:t xml:space="preserve"> </w:t>
            </w:r>
            <w:r w:rsidRPr="007E7C8C">
              <w:rPr>
                <w:sz w:val="18"/>
                <w:szCs w:val="18"/>
              </w:rPr>
              <w:t xml:space="preserve">the </w:t>
            </w:r>
            <w:r w:rsidRPr="007E7C8C">
              <w:rPr>
                <w:b/>
                <w:bCs/>
                <w:sz w:val="18"/>
                <w:szCs w:val="18"/>
              </w:rPr>
              <w:t xml:space="preserve">Energy Community Regulatory Board </w:t>
            </w:r>
            <w:r w:rsidRPr="007E7C8C">
              <w:rPr>
                <w:sz w:val="18"/>
                <w:szCs w:val="18"/>
              </w:rPr>
              <w:t>shall publish a report on the application of reference</w:t>
            </w:r>
            <w:r w:rsidR="00FE4D11" w:rsidRPr="007E7C8C">
              <w:rPr>
                <w:sz w:val="18"/>
                <w:szCs w:val="18"/>
              </w:rPr>
              <w:t xml:space="preserve"> </w:t>
            </w:r>
            <w:r w:rsidRPr="007E7C8C">
              <w:rPr>
                <w:sz w:val="18"/>
                <w:szCs w:val="18"/>
              </w:rPr>
              <w:t xml:space="preserve">price methodologies in </w:t>
            </w:r>
            <w:r w:rsidRPr="007E7C8C">
              <w:rPr>
                <w:b/>
                <w:bCs/>
                <w:sz w:val="18"/>
                <w:szCs w:val="18"/>
              </w:rPr>
              <w:t>Contracting Parties</w:t>
            </w:r>
            <w:r w:rsidRPr="007E7C8C">
              <w:rPr>
                <w:sz w:val="18"/>
                <w:szCs w:val="18"/>
              </w:rPr>
              <w:t>.</w:t>
            </w: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37</w:t>
            </w:r>
          </w:p>
          <w:p w:rsidR="00D146AC" w:rsidRPr="00D82EE4" w:rsidRDefault="00D146AC" w:rsidP="00DA725A">
            <w:pPr>
              <w:shd w:val="clear" w:color="auto" w:fill="FFFFFF"/>
              <w:jc w:val="both"/>
              <w:rPr>
                <w:b/>
                <w:bCs/>
                <w:sz w:val="18"/>
                <w:szCs w:val="18"/>
                <w:lang w:val="it-IT"/>
              </w:rPr>
            </w:pPr>
            <w:r w:rsidRPr="00D82EE4">
              <w:rPr>
                <w:b/>
                <w:bCs/>
                <w:sz w:val="18"/>
                <w:szCs w:val="18"/>
                <w:lang w:val="it-IT"/>
              </w:rPr>
              <w:t>Competența de a acorda derogări</w:t>
            </w:r>
          </w:p>
          <w:p w:rsidR="00D146AC" w:rsidRPr="00043955" w:rsidRDefault="00D146AC" w:rsidP="00DA725A">
            <w:pPr>
              <w:shd w:val="clear" w:color="auto" w:fill="FFFFFF"/>
              <w:jc w:val="both"/>
              <w:rPr>
                <w:sz w:val="18"/>
                <w:szCs w:val="18"/>
              </w:rPr>
            </w:pPr>
            <w:r w:rsidRPr="00D82EE4">
              <w:rPr>
                <w:sz w:val="18"/>
                <w:szCs w:val="18"/>
                <w:lang w:val="it-IT"/>
              </w:rPr>
              <w:t xml:space="preserve">(1)   La cererea unei entități care exploatează o conductă de interconectare care a beneficiat de o derogare de la articolul 41 alineatele (6), (8) și (10) din Directiva 2009/73/CE în conformitate cu articolul 36 din directiva respectivă sau de o derogare similară, autoritățile naționale de reglementare pot acorda entității respective, în comun, o derogare de la aplicarea unuia sau mai multor articole din prezentul regulament, în conformitate cu alineatele (2)-(6) ale prezentului articol, dacă aplicarea articolelor respective în cazul entității respective ar avea una sau mai multe dintre consecințele negative enumerate în continuare. </w:t>
            </w:r>
            <w:r w:rsidRPr="00043955">
              <w:rPr>
                <w:sz w:val="18"/>
                <w:szCs w:val="18"/>
              </w:rPr>
              <w:t>Aplicarea articolelor respective: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0"/>
              <w:gridCol w:w="4849"/>
            </w:tblGrid>
            <w:tr w:rsidR="00D146AC" w:rsidRPr="00C27D66" w:rsidTr="00B92DDC">
              <w:tc>
                <w:tcPr>
                  <w:tcW w:w="31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03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nu ar facilita comerțul eficient cu gaze și nici concurența eficientă în domeniu;</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9"/>
              <w:gridCol w:w="4900"/>
            </w:tblGrid>
            <w:tr w:rsidR="00D146AC" w:rsidRPr="00C27D66" w:rsidTr="00B92DDC">
              <w:tc>
                <w:tcPr>
                  <w:tcW w:w="223"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32"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nu ar furniza stimulente pentru investiții în capacitate nouă sau în vederea menținerii nivelurilor de capacitate existente;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45"/>
              <w:gridCol w:w="4784"/>
            </w:tblGrid>
            <w:tr w:rsidR="00D146AC" w:rsidRPr="00C27D66" w:rsidTr="00B92DDC">
              <w:tc>
                <w:tcPr>
                  <w:tcW w:w="441"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8914" w:type="dxa"/>
                  <w:shd w:val="clear" w:color="auto" w:fill="FFFFFF"/>
                  <w:hideMark/>
                </w:tcPr>
                <w:p w:rsidR="00D146AC" w:rsidRPr="00D82EE4" w:rsidRDefault="00D146AC" w:rsidP="00DA725A">
                  <w:pPr>
                    <w:jc w:val="both"/>
                    <w:rPr>
                      <w:sz w:val="18"/>
                      <w:szCs w:val="18"/>
                      <w:lang w:val="it-IT"/>
                    </w:rPr>
                  </w:pPr>
                  <w:r w:rsidRPr="00D82EE4">
                    <w:rPr>
                      <w:sz w:val="18"/>
                      <w:szCs w:val="18"/>
                      <w:lang w:val="it-IT"/>
                    </w:rPr>
                    <w:t>ar denatura în mod nerezonabil comerțul transfrontalier;</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91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ar denatura concurența cu alți operatori de infrastructură care oferă servicii de natură similară cu cele ale conductei de interconectare;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7"/>
              <w:gridCol w:w="4882"/>
            </w:tblGrid>
            <w:tr w:rsidR="00D146AC" w:rsidRPr="00C27D66" w:rsidTr="00B92DDC">
              <w:tc>
                <w:tcPr>
                  <w:tcW w:w="257" w:type="dxa"/>
                  <w:shd w:val="clear" w:color="auto" w:fill="FFFFFF"/>
                  <w:hideMark/>
                </w:tcPr>
                <w:p w:rsidR="00D146AC" w:rsidRPr="00043955" w:rsidRDefault="00D146AC" w:rsidP="00DA725A">
                  <w:pPr>
                    <w:jc w:val="both"/>
                    <w:rPr>
                      <w:sz w:val="18"/>
                      <w:szCs w:val="18"/>
                    </w:rPr>
                  </w:pPr>
                  <w:r w:rsidRPr="00043955">
                    <w:rPr>
                      <w:sz w:val="18"/>
                      <w:szCs w:val="18"/>
                    </w:rPr>
                    <w:t>(e)</w:t>
                  </w:r>
                </w:p>
              </w:tc>
              <w:tc>
                <w:tcPr>
                  <w:tcW w:w="909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ar fi imposibil de pus în aplicare, având în vedere natura specifică a conductelor de interconectare.</w:t>
                  </w:r>
                </w:p>
              </w:tc>
            </w:tr>
          </w:tbl>
          <w:p w:rsidR="00D146AC" w:rsidRDefault="00D146AC" w:rsidP="00DA725A">
            <w:pPr>
              <w:shd w:val="clear" w:color="auto" w:fill="FFFFFF"/>
              <w:jc w:val="both"/>
              <w:rPr>
                <w:sz w:val="18"/>
                <w:szCs w:val="18"/>
                <w:lang w:val="it-IT"/>
              </w:rPr>
            </w:pPr>
            <w:r w:rsidRPr="00D82EE4">
              <w:rPr>
                <w:sz w:val="18"/>
                <w:szCs w:val="18"/>
                <w:lang w:val="it-IT"/>
              </w:rPr>
              <w:t>(2)   Entitatea care solicită o derogare în temeiul alineatului (1) trebuie să includă în cererea sa o motivare amănunțită, însoțită de toate documentele justificative, inclusiv, dacă este cazul, o analiză cost-beneficiu, care să demonstreze îndeplinirea uneia sau mai multor condiții prevăzute la alineatul (1) literele (a)-(e).</w:t>
            </w:r>
          </w:p>
          <w:p w:rsidR="00CC1F78" w:rsidRPr="00D82EE4" w:rsidRDefault="00CC1F78"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Autoritățile naționale de reglementare în cauză evaluează în comun cererea de derogare și o tratează în strânsă cooperare. În cazul în care acordă o derogare, autoritățile naționale de reglementare relevante specifică durata acesteia în deciziile lor.</w:t>
            </w:r>
          </w:p>
          <w:p w:rsidR="00CC1F78" w:rsidRDefault="00CC1F78" w:rsidP="00DA725A">
            <w:pPr>
              <w:shd w:val="clear" w:color="auto" w:fill="FFFFFF"/>
              <w:jc w:val="both"/>
              <w:rPr>
                <w:sz w:val="18"/>
                <w:szCs w:val="18"/>
                <w:lang w:val="it-IT"/>
              </w:rPr>
            </w:pPr>
          </w:p>
          <w:p w:rsidR="00CC1F78" w:rsidRPr="00D82EE4" w:rsidRDefault="00CC1F78"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(4)   Autoritățile naționale de reglementare notifică Agenției și Comisiei deciziile lor de acordare a unor astfel de derogări.</w:t>
            </w:r>
          </w:p>
          <w:p w:rsidR="00CC1F78" w:rsidRDefault="00CC1F78" w:rsidP="00DA725A">
            <w:pPr>
              <w:shd w:val="clear" w:color="auto" w:fill="FFFFFF"/>
              <w:jc w:val="both"/>
              <w:rPr>
                <w:sz w:val="18"/>
                <w:szCs w:val="18"/>
                <w:lang w:val="it-IT"/>
              </w:rPr>
            </w:pPr>
          </w:p>
          <w:p w:rsidR="00CC1F78" w:rsidRPr="00D82EE4" w:rsidRDefault="00CC1F78"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(5)   Autoritățile naționale de reglementare pot revoca o derogare dacă împrejurările sau motivele subiacente, sau ambele, nu mai sunt valabile sau ca urmare a unei recomandări motivate din partea Agenției sau a Comisiei vizând revocarea unei derogări din cauza lipsei de justificare a acesteia.</w:t>
            </w:r>
          </w:p>
        </w:tc>
        <w:tc>
          <w:tcPr>
            <w:tcW w:w="4962" w:type="dxa"/>
          </w:tcPr>
          <w:p w:rsidR="003C4BE9" w:rsidRPr="003C4BE9" w:rsidRDefault="003C4BE9" w:rsidP="00F377C0">
            <w:pPr>
              <w:jc w:val="center"/>
              <w:rPr>
                <w:sz w:val="18"/>
                <w:szCs w:val="18"/>
                <w:lang w:val="ro-RO"/>
              </w:rPr>
            </w:pPr>
            <w:r w:rsidRPr="003C4BE9">
              <w:rPr>
                <w:b/>
                <w:bCs/>
                <w:sz w:val="18"/>
                <w:szCs w:val="18"/>
                <w:lang w:val="ro-RO"/>
              </w:rPr>
              <w:t>Secţiunea 3</w:t>
            </w:r>
          </w:p>
          <w:p w:rsidR="003C4BE9" w:rsidRPr="003C4BE9" w:rsidRDefault="003C4BE9" w:rsidP="00F377C0">
            <w:pPr>
              <w:jc w:val="center"/>
              <w:rPr>
                <w:sz w:val="18"/>
                <w:szCs w:val="18"/>
                <w:lang w:val="ro-RO"/>
              </w:rPr>
            </w:pPr>
            <w:r w:rsidRPr="003C4BE9">
              <w:rPr>
                <w:b/>
                <w:bCs/>
                <w:sz w:val="18"/>
                <w:szCs w:val="18"/>
                <w:lang w:val="ro-RO"/>
              </w:rPr>
              <w:t>Acordarea derogărilor</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429.</w:t>
            </w:r>
            <w:r w:rsidRPr="003C4BE9">
              <w:rPr>
                <w:sz w:val="18"/>
                <w:szCs w:val="18"/>
                <w:lang w:val="ro-RO"/>
              </w:rPr>
              <w:t xml:space="preserve"> La cererea unei entităţi care exploatează o conductă de interconectare care a beneficiat de o derogare de la art.98 şi 99 din </w:t>
            </w:r>
            <w:hyperlink r:id="rId87" w:history="1">
              <w:r w:rsidRPr="003C4BE9">
                <w:rPr>
                  <w:rStyle w:val="Hyperlink"/>
                  <w:sz w:val="18"/>
                  <w:szCs w:val="18"/>
                  <w:lang w:val="ro-RO"/>
                </w:rPr>
                <w:t>Legea nr.108/2016</w:t>
              </w:r>
            </w:hyperlink>
            <w:r w:rsidRPr="003C4BE9">
              <w:rPr>
                <w:sz w:val="18"/>
                <w:szCs w:val="18"/>
                <w:lang w:val="ro-RO"/>
              </w:rPr>
              <w:t xml:space="preserve"> sau de o derogare similară, autorităţile naţionale de reglementare au dreptul de a acorda entităţii respective, în comun, o derogare de la aplicarea unuia sau mai multor puncte din prezentul Cod, în conformitate cu prezenta Secţiune, dacă aplicarea acesteia în cazul entităţii respective are una sau mai multe dintre consecinţele negative enumerate în continuare: </w:t>
            </w:r>
          </w:p>
          <w:p w:rsidR="003C4BE9" w:rsidRPr="003C4BE9" w:rsidRDefault="003C4BE9" w:rsidP="003C4BE9">
            <w:pPr>
              <w:rPr>
                <w:sz w:val="18"/>
                <w:szCs w:val="18"/>
                <w:lang w:val="ro-RO"/>
              </w:rPr>
            </w:pPr>
            <w:r w:rsidRPr="003C4BE9">
              <w:rPr>
                <w:sz w:val="18"/>
                <w:szCs w:val="18"/>
                <w:lang w:val="ro-RO"/>
              </w:rPr>
              <w:t>1) nu facilitează comerţul cu gaze naturale şi nici concurenţa efectivă în domeniu;</w:t>
            </w:r>
          </w:p>
          <w:p w:rsidR="003C4BE9" w:rsidRPr="003C4BE9" w:rsidRDefault="003C4BE9" w:rsidP="003C4BE9">
            <w:pPr>
              <w:rPr>
                <w:sz w:val="18"/>
                <w:szCs w:val="18"/>
                <w:lang w:val="ro-RO"/>
              </w:rPr>
            </w:pPr>
            <w:r w:rsidRPr="003C4BE9">
              <w:rPr>
                <w:sz w:val="18"/>
                <w:szCs w:val="18"/>
                <w:lang w:val="ro-RO"/>
              </w:rPr>
              <w:t>2) nu furnizează stimulente pentru investiţii în capacitate nouă sau în vederea menţinerii nivelurilor de capacitate existente;</w:t>
            </w:r>
          </w:p>
          <w:p w:rsidR="003C4BE9" w:rsidRPr="003C4BE9" w:rsidRDefault="003C4BE9" w:rsidP="003C4BE9">
            <w:pPr>
              <w:rPr>
                <w:sz w:val="18"/>
                <w:szCs w:val="18"/>
                <w:lang w:val="ro-RO"/>
              </w:rPr>
            </w:pPr>
            <w:r w:rsidRPr="003C4BE9">
              <w:rPr>
                <w:sz w:val="18"/>
                <w:szCs w:val="18"/>
                <w:lang w:val="ro-RO"/>
              </w:rPr>
              <w:t>3) denaturează în mod nerezonabil comerţul transfrontalier;</w:t>
            </w:r>
          </w:p>
          <w:p w:rsidR="003C4BE9" w:rsidRPr="003C4BE9" w:rsidRDefault="003C4BE9" w:rsidP="003C4BE9">
            <w:pPr>
              <w:rPr>
                <w:sz w:val="18"/>
                <w:szCs w:val="18"/>
                <w:lang w:val="ro-RO"/>
              </w:rPr>
            </w:pPr>
            <w:r w:rsidRPr="003C4BE9">
              <w:rPr>
                <w:sz w:val="18"/>
                <w:szCs w:val="18"/>
                <w:lang w:val="ro-RO"/>
              </w:rPr>
              <w:t>4) denaturează concurenţa cu alţi operatori de infrastructură care oferă servicii de natură similară cu cele ale conductei de interconectare;</w:t>
            </w:r>
          </w:p>
          <w:p w:rsidR="003C4BE9" w:rsidRPr="003C4BE9" w:rsidRDefault="003C4BE9" w:rsidP="003C4BE9">
            <w:pPr>
              <w:rPr>
                <w:sz w:val="18"/>
                <w:szCs w:val="18"/>
                <w:lang w:val="ro-RO"/>
              </w:rPr>
            </w:pPr>
            <w:r w:rsidRPr="003C4BE9">
              <w:rPr>
                <w:sz w:val="18"/>
                <w:szCs w:val="18"/>
                <w:lang w:val="ro-RO"/>
              </w:rPr>
              <w:t>5) este imposibil de pus în aplicare, având în vedere natura specifică a conductelor de interconectare.</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430.</w:t>
            </w:r>
            <w:r w:rsidRPr="003C4BE9">
              <w:rPr>
                <w:sz w:val="18"/>
                <w:szCs w:val="18"/>
                <w:lang w:val="ro-RO"/>
              </w:rPr>
              <w:t xml:space="preserve"> Entitatea care solicită o derogare în temeiul pct.429 trebuie să includă în cererea sa o motivare detaliată, însoţită de toate documentele justificative, inclusiv, dacă este cazul, o analiză cost-beneficiu, care să demonstreze îndeplinirea uneia sau mai multor condiţii prevăzute la pct.429, subpunctele 1)-5).</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431.</w:t>
            </w:r>
            <w:r w:rsidRPr="003C4BE9">
              <w:rPr>
                <w:sz w:val="18"/>
                <w:szCs w:val="18"/>
                <w:lang w:val="ro-RO"/>
              </w:rPr>
              <w:t xml:space="preserve"> Autorităţile naţionale de reglementare din ţările vecine examinează în comun cererea de derogare şi o soluţionează în strânsă cooperare. În cazul în care acordă o derogare, autorităţile naţionale de reglementare relevante specifică durata acesteia în deciziile/hotărârile lor.</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432.</w:t>
            </w:r>
            <w:r w:rsidRPr="003C4BE9">
              <w:rPr>
                <w:sz w:val="18"/>
                <w:szCs w:val="18"/>
                <w:lang w:val="ro-RO"/>
              </w:rPr>
              <w:t xml:space="preserve"> Autorităţile naţionale de reglementare notifică Comitetul de reglementare al CE şi Secretariatul Comunităţii Energetice despre deciziile/hotărârile privind acordarea unor astfel de derogări. </w:t>
            </w:r>
          </w:p>
          <w:p w:rsidR="003C4BE9" w:rsidRPr="003C4BE9" w:rsidRDefault="003C4BE9" w:rsidP="003C4BE9">
            <w:pPr>
              <w:rPr>
                <w:sz w:val="18"/>
                <w:szCs w:val="18"/>
                <w:lang w:val="ro-RO"/>
              </w:rPr>
            </w:pPr>
            <w:r w:rsidRPr="003C4BE9">
              <w:rPr>
                <w:b/>
                <w:bCs/>
                <w:sz w:val="18"/>
                <w:szCs w:val="18"/>
                <w:lang w:val="ro-RO"/>
              </w:rPr>
              <w:t>433.</w:t>
            </w:r>
            <w:r w:rsidRPr="003C4BE9">
              <w:rPr>
                <w:sz w:val="18"/>
                <w:szCs w:val="18"/>
                <w:lang w:val="ro-RO"/>
              </w:rPr>
              <w:t xml:space="preserve"> Autorităţile naţionale de reglementare pot revoca o derogare dacă împrejurările sau motivele care stau la baza acestora, sau ambele, nu mai sunt valabile sau ca urmare a unei recomandări motivate din partea Comitetului de reglementare al CE sau a Secretariatului Comunităţii Energetice de a revoca o derogare din cauza lipsei de justificare a acesteia. </w:t>
            </w:r>
          </w:p>
          <w:p w:rsidR="00D146AC" w:rsidRPr="00043955" w:rsidRDefault="00D146AC" w:rsidP="00DA725A">
            <w:pPr>
              <w:tabs>
                <w:tab w:val="left" w:pos="851"/>
              </w:tabs>
              <w:jc w:val="both"/>
              <w:outlineLvl w:val="0"/>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5C23FF" w:rsidRDefault="005C23FF"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Pr="009D4C0C" w:rsidRDefault="00CC1F78" w:rsidP="00DA725A">
            <w:pPr>
              <w:jc w:val="both"/>
              <w:rPr>
                <w:b/>
                <w:sz w:val="18"/>
                <w:szCs w:val="18"/>
                <w:lang w:val="it-IT"/>
              </w:rPr>
            </w:pPr>
          </w:p>
          <w:p w:rsidR="005C23FF" w:rsidRPr="009D4C0C" w:rsidRDefault="005C23FF"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Default="00D146AC" w:rsidP="00DA725A">
            <w:pPr>
              <w:jc w:val="both"/>
              <w:rPr>
                <w:b/>
                <w:sz w:val="18"/>
                <w:szCs w:val="18"/>
                <w:lang w:val="it-IT"/>
              </w:rPr>
            </w:pPr>
          </w:p>
          <w:p w:rsidR="009D4C0C" w:rsidRDefault="009D4C0C" w:rsidP="00DA725A">
            <w:pPr>
              <w:jc w:val="both"/>
              <w:rPr>
                <w:b/>
                <w:sz w:val="18"/>
                <w:szCs w:val="18"/>
                <w:lang w:val="it-IT"/>
              </w:rPr>
            </w:pPr>
          </w:p>
          <w:p w:rsidR="009D4C0C" w:rsidRPr="00CC1F78" w:rsidRDefault="00CC1F78" w:rsidP="00DA725A">
            <w:pPr>
              <w:jc w:val="both"/>
              <w:rPr>
                <w:bCs/>
                <w:sz w:val="18"/>
                <w:szCs w:val="18"/>
                <w:lang w:val="it-IT"/>
              </w:rPr>
            </w:pPr>
            <w:r w:rsidRPr="00CC1F78">
              <w:rPr>
                <w:bCs/>
                <w:sz w:val="18"/>
                <w:szCs w:val="18"/>
                <w:lang w:val="it-IT"/>
              </w:rPr>
              <w:t>Compatibil</w:t>
            </w: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Default="00D146AC" w:rsidP="00DA725A">
            <w:pPr>
              <w:jc w:val="both"/>
              <w:rPr>
                <w:b/>
                <w:sz w:val="18"/>
                <w:szCs w:val="18"/>
                <w:lang w:val="it-IT"/>
              </w:rPr>
            </w:pPr>
          </w:p>
          <w:p w:rsidR="009D4C0C" w:rsidRDefault="009D4C0C"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tc>
        <w:tc>
          <w:tcPr>
            <w:tcW w:w="4253" w:type="dxa"/>
          </w:tcPr>
          <w:p w:rsidR="001F69BE" w:rsidRPr="00E84D74" w:rsidRDefault="001F69BE" w:rsidP="00DA725A">
            <w:pPr>
              <w:autoSpaceDE w:val="0"/>
              <w:autoSpaceDN w:val="0"/>
              <w:adjustRightInd w:val="0"/>
              <w:jc w:val="center"/>
              <w:rPr>
                <w:b/>
                <w:bCs/>
                <w:i/>
                <w:iCs/>
                <w:sz w:val="18"/>
                <w:szCs w:val="18"/>
              </w:rPr>
            </w:pPr>
            <w:r w:rsidRPr="00E84D74">
              <w:rPr>
                <w:b/>
                <w:bCs/>
                <w:i/>
                <w:iCs/>
                <w:sz w:val="18"/>
                <w:szCs w:val="18"/>
              </w:rPr>
              <w:t>Article 37</w:t>
            </w:r>
          </w:p>
          <w:p w:rsidR="009D4C0C" w:rsidRPr="00E84D74" w:rsidRDefault="009D4C0C" w:rsidP="00DA725A">
            <w:pPr>
              <w:autoSpaceDE w:val="0"/>
              <w:autoSpaceDN w:val="0"/>
              <w:adjustRightInd w:val="0"/>
              <w:jc w:val="center"/>
              <w:rPr>
                <w:b/>
                <w:bCs/>
                <w:sz w:val="18"/>
                <w:szCs w:val="18"/>
              </w:rPr>
            </w:pPr>
          </w:p>
          <w:p w:rsidR="001F69BE" w:rsidRPr="00E84D74" w:rsidRDefault="001F69BE" w:rsidP="00DA725A">
            <w:pPr>
              <w:autoSpaceDE w:val="0"/>
              <w:autoSpaceDN w:val="0"/>
              <w:adjustRightInd w:val="0"/>
              <w:jc w:val="center"/>
              <w:rPr>
                <w:b/>
                <w:bCs/>
                <w:sz w:val="18"/>
                <w:szCs w:val="18"/>
              </w:rPr>
            </w:pPr>
            <w:r w:rsidRPr="00E84D74">
              <w:rPr>
                <w:b/>
                <w:bCs/>
                <w:sz w:val="18"/>
                <w:szCs w:val="18"/>
              </w:rPr>
              <w:t>Power to grant derogations</w:t>
            </w:r>
          </w:p>
          <w:p w:rsidR="001F69BE" w:rsidRPr="00E84D74" w:rsidRDefault="001F69BE" w:rsidP="00DA725A">
            <w:pPr>
              <w:autoSpaceDE w:val="0"/>
              <w:autoSpaceDN w:val="0"/>
              <w:adjustRightInd w:val="0"/>
              <w:rPr>
                <w:sz w:val="18"/>
                <w:szCs w:val="18"/>
              </w:rPr>
            </w:pPr>
            <w:r w:rsidRPr="00E84D74">
              <w:rPr>
                <w:sz w:val="18"/>
                <w:szCs w:val="18"/>
              </w:rPr>
              <w:t>1. National regulatory authorities may, at the request of an entity which operates an interconnector that</w:t>
            </w:r>
            <w:r w:rsidR="00E74DCA" w:rsidRPr="00E84D74">
              <w:rPr>
                <w:sz w:val="18"/>
                <w:szCs w:val="18"/>
              </w:rPr>
              <w:t xml:space="preserve"> </w:t>
            </w:r>
            <w:r w:rsidRPr="00E84D74">
              <w:rPr>
                <w:sz w:val="18"/>
                <w:szCs w:val="18"/>
              </w:rPr>
              <w:t>has benefited from an exemption from Article 41(6), (8) and (10) of Directive 2009/73/EC in accordance</w:t>
            </w:r>
            <w:r w:rsidR="00E74DCA" w:rsidRPr="00E84D74">
              <w:rPr>
                <w:sz w:val="18"/>
                <w:szCs w:val="18"/>
              </w:rPr>
              <w:t xml:space="preserve"> </w:t>
            </w:r>
            <w:r w:rsidRPr="00E84D74">
              <w:rPr>
                <w:sz w:val="18"/>
                <w:szCs w:val="18"/>
              </w:rPr>
              <w:t>with Article 36 of that Directive or a similar exemption, jointly grant such entity a derogation from the</w:t>
            </w:r>
            <w:r w:rsidR="00E74DCA" w:rsidRPr="00E84D74">
              <w:rPr>
                <w:sz w:val="18"/>
                <w:szCs w:val="18"/>
              </w:rPr>
              <w:t xml:space="preserve"> </w:t>
            </w:r>
            <w:r w:rsidRPr="00E84D74">
              <w:rPr>
                <w:sz w:val="18"/>
                <w:szCs w:val="18"/>
              </w:rPr>
              <w:t>application of one or more Articles of this Regulation in accordance with paragraphs 2 to 6 of this Article</w:t>
            </w:r>
            <w:r w:rsidR="00E74DCA" w:rsidRPr="00E84D74">
              <w:rPr>
                <w:sz w:val="18"/>
                <w:szCs w:val="18"/>
              </w:rPr>
              <w:t xml:space="preserve"> </w:t>
            </w:r>
            <w:r w:rsidRPr="00E84D74">
              <w:rPr>
                <w:sz w:val="18"/>
                <w:szCs w:val="18"/>
              </w:rPr>
              <w:t>where the application of those Articles to such entity would have one or several of the following negative</w:t>
            </w:r>
            <w:r w:rsidR="00E74DCA" w:rsidRPr="00E84D74">
              <w:rPr>
                <w:sz w:val="18"/>
                <w:szCs w:val="18"/>
              </w:rPr>
              <w:t xml:space="preserve"> </w:t>
            </w:r>
            <w:r w:rsidRPr="00E84D74">
              <w:rPr>
                <w:sz w:val="18"/>
                <w:szCs w:val="18"/>
              </w:rPr>
              <w:t>consequences. It would:</w:t>
            </w:r>
          </w:p>
          <w:p w:rsidR="001F69BE" w:rsidRPr="00E84D74" w:rsidRDefault="001F69BE" w:rsidP="00DA725A">
            <w:pPr>
              <w:autoSpaceDE w:val="0"/>
              <w:autoSpaceDN w:val="0"/>
              <w:adjustRightInd w:val="0"/>
              <w:rPr>
                <w:sz w:val="18"/>
                <w:szCs w:val="18"/>
              </w:rPr>
            </w:pPr>
            <w:r w:rsidRPr="00E84D74">
              <w:rPr>
                <w:sz w:val="18"/>
                <w:szCs w:val="18"/>
              </w:rPr>
              <w:t>(a) not facilitate efficient gas trade and competition;</w:t>
            </w:r>
          </w:p>
          <w:p w:rsidR="001F69BE" w:rsidRPr="00E84D74" w:rsidRDefault="001F69BE" w:rsidP="00DA725A">
            <w:pPr>
              <w:autoSpaceDE w:val="0"/>
              <w:autoSpaceDN w:val="0"/>
              <w:adjustRightInd w:val="0"/>
              <w:rPr>
                <w:sz w:val="18"/>
                <w:szCs w:val="18"/>
              </w:rPr>
            </w:pPr>
            <w:r w:rsidRPr="00E84D74">
              <w:rPr>
                <w:sz w:val="18"/>
                <w:szCs w:val="18"/>
              </w:rPr>
              <w:t>(b) not provide incentives for investment for new capacity or to maintain existing levels of capacity;</w:t>
            </w:r>
          </w:p>
          <w:p w:rsidR="001F69BE" w:rsidRPr="00E84D74" w:rsidRDefault="001F69BE" w:rsidP="00DA725A">
            <w:pPr>
              <w:autoSpaceDE w:val="0"/>
              <w:autoSpaceDN w:val="0"/>
              <w:adjustRightInd w:val="0"/>
              <w:rPr>
                <w:sz w:val="18"/>
                <w:szCs w:val="18"/>
              </w:rPr>
            </w:pPr>
            <w:r w:rsidRPr="00E84D74">
              <w:rPr>
                <w:sz w:val="18"/>
                <w:szCs w:val="18"/>
              </w:rPr>
              <w:t>(c) unreasonably distort cross-border trade;</w:t>
            </w:r>
          </w:p>
          <w:p w:rsidR="001F69BE" w:rsidRPr="00E84D74" w:rsidRDefault="001F69BE" w:rsidP="00DA725A">
            <w:pPr>
              <w:autoSpaceDE w:val="0"/>
              <w:autoSpaceDN w:val="0"/>
              <w:adjustRightInd w:val="0"/>
              <w:rPr>
                <w:sz w:val="18"/>
                <w:szCs w:val="18"/>
              </w:rPr>
            </w:pPr>
            <w:r w:rsidRPr="00E84D74">
              <w:rPr>
                <w:sz w:val="18"/>
                <w:szCs w:val="18"/>
              </w:rPr>
              <w:t>(d) distort competition with other infrastructure operators that offer services of a similar nature to those</w:t>
            </w:r>
          </w:p>
          <w:p w:rsidR="001F69BE" w:rsidRPr="00E84D74" w:rsidRDefault="001F69BE" w:rsidP="00DA725A">
            <w:pPr>
              <w:autoSpaceDE w:val="0"/>
              <w:autoSpaceDN w:val="0"/>
              <w:adjustRightInd w:val="0"/>
              <w:rPr>
                <w:sz w:val="18"/>
                <w:szCs w:val="18"/>
              </w:rPr>
            </w:pPr>
            <w:r w:rsidRPr="00E84D74">
              <w:rPr>
                <w:sz w:val="18"/>
                <w:szCs w:val="18"/>
              </w:rPr>
              <w:t>of the interconnector;</w:t>
            </w:r>
          </w:p>
          <w:p w:rsidR="001F69BE" w:rsidRPr="00E84D74" w:rsidRDefault="001F69BE" w:rsidP="00DA725A">
            <w:pPr>
              <w:autoSpaceDE w:val="0"/>
              <w:autoSpaceDN w:val="0"/>
              <w:adjustRightInd w:val="0"/>
              <w:rPr>
                <w:sz w:val="18"/>
                <w:szCs w:val="18"/>
              </w:rPr>
            </w:pPr>
            <w:r w:rsidRPr="00E84D74">
              <w:rPr>
                <w:sz w:val="18"/>
                <w:szCs w:val="18"/>
              </w:rPr>
              <w:t>(e) not be implementable when taking into account the specific nature of interconnectors.</w:t>
            </w:r>
          </w:p>
          <w:p w:rsidR="001F69BE" w:rsidRPr="00E84D74" w:rsidRDefault="001F69BE" w:rsidP="00DA725A">
            <w:pPr>
              <w:autoSpaceDE w:val="0"/>
              <w:autoSpaceDN w:val="0"/>
              <w:adjustRightInd w:val="0"/>
              <w:rPr>
                <w:sz w:val="18"/>
                <w:szCs w:val="18"/>
              </w:rPr>
            </w:pPr>
            <w:r w:rsidRPr="00E84D74">
              <w:rPr>
                <w:sz w:val="18"/>
                <w:szCs w:val="18"/>
              </w:rPr>
              <w:t>2. The entity requesting a derogation under paragraph 1 shall include in its request a detailed reasoning,</w:t>
            </w:r>
          </w:p>
          <w:p w:rsidR="001F69BE" w:rsidRPr="00E84D74" w:rsidRDefault="001F69BE" w:rsidP="00DA725A">
            <w:pPr>
              <w:autoSpaceDE w:val="0"/>
              <w:autoSpaceDN w:val="0"/>
              <w:adjustRightInd w:val="0"/>
              <w:rPr>
                <w:sz w:val="18"/>
                <w:szCs w:val="18"/>
              </w:rPr>
            </w:pPr>
            <w:r w:rsidRPr="00E84D74">
              <w:rPr>
                <w:sz w:val="18"/>
                <w:szCs w:val="18"/>
              </w:rPr>
              <w:t>with all supporting documents, including, where appropriate, a cost-benefit analysis, demonstrating that</w:t>
            </w:r>
          </w:p>
          <w:p w:rsidR="001F69BE" w:rsidRPr="00E84D74" w:rsidRDefault="001F69BE" w:rsidP="00DA725A">
            <w:pPr>
              <w:autoSpaceDE w:val="0"/>
              <w:autoSpaceDN w:val="0"/>
              <w:adjustRightInd w:val="0"/>
              <w:rPr>
                <w:sz w:val="18"/>
                <w:szCs w:val="18"/>
              </w:rPr>
            </w:pPr>
            <w:r w:rsidRPr="00E84D74">
              <w:rPr>
                <w:sz w:val="18"/>
                <w:szCs w:val="18"/>
              </w:rPr>
              <w:t>one or more of the conditions in paragraph 1(a) to (e) are complied with.</w:t>
            </w:r>
          </w:p>
          <w:p w:rsidR="001F69BE" w:rsidRPr="00E84D74" w:rsidRDefault="001F69BE" w:rsidP="00DA725A">
            <w:pPr>
              <w:autoSpaceDE w:val="0"/>
              <w:autoSpaceDN w:val="0"/>
              <w:adjustRightInd w:val="0"/>
              <w:rPr>
                <w:sz w:val="18"/>
                <w:szCs w:val="18"/>
              </w:rPr>
            </w:pPr>
            <w:r w:rsidRPr="00E84D74">
              <w:rPr>
                <w:sz w:val="18"/>
                <w:szCs w:val="18"/>
              </w:rPr>
              <w:t>3. The national regulatory authorities concerned shall jointly assess the request for a derogation and deal</w:t>
            </w:r>
          </w:p>
          <w:p w:rsidR="00D146AC" w:rsidRPr="00E84D74" w:rsidRDefault="001F69BE" w:rsidP="00DA725A">
            <w:pPr>
              <w:autoSpaceDE w:val="0"/>
              <w:autoSpaceDN w:val="0"/>
              <w:adjustRightInd w:val="0"/>
              <w:rPr>
                <w:sz w:val="18"/>
                <w:szCs w:val="18"/>
              </w:rPr>
            </w:pPr>
            <w:r w:rsidRPr="00E84D74">
              <w:rPr>
                <w:sz w:val="18"/>
                <w:szCs w:val="18"/>
              </w:rPr>
              <w:t>with it in close cooperation. Where the relevant national regulatory authorities grant a derogation, they</w:t>
            </w:r>
            <w:r w:rsidR="00AE039F" w:rsidRPr="00E84D74">
              <w:rPr>
                <w:sz w:val="18"/>
                <w:szCs w:val="18"/>
              </w:rPr>
              <w:t xml:space="preserve"> </w:t>
            </w:r>
            <w:r w:rsidRPr="00E84D74">
              <w:rPr>
                <w:sz w:val="18"/>
                <w:szCs w:val="18"/>
              </w:rPr>
              <w:t>shall specify its duration in their decisions.</w:t>
            </w:r>
          </w:p>
          <w:p w:rsidR="00CC1F78" w:rsidRDefault="00CC1F78" w:rsidP="00DA725A">
            <w:pPr>
              <w:autoSpaceDE w:val="0"/>
              <w:autoSpaceDN w:val="0"/>
              <w:adjustRightInd w:val="0"/>
              <w:rPr>
                <w:sz w:val="18"/>
                <w:szCs w:val="18"/>
              </w:rPr>
            </w:pPr>
          </w:p>
          <w:p w:rsidR="001F69BE" w:rsidRPr="00E84D74" w:rsidRDefault="001F69BE" w:rsidP="00DA725A">
            <w:pPr>
              <w:autoSpaceDE w:val="0"/>
              <w:autoSpaceDN w:val="0"/>
              <w:adjustRightInd w:val="0"/>
              <w:rPr>
                <w:b/>
                <w:bCs/>
                <w:sz w:val="18"/>
                <w:szCs w:val="18"/>
              </w:rPr>
            </w:pPr>
            <w:r w:rsidRPr="00E84D74">
              <w:rPr>
                <w:sz w:val="18"/>
                <w:szCs w:val="18"/>
              </w:rPr>
              <w:t xml:space="preserve">4. The national regulatory authorities shall notify their decisions granting such derogations to the </w:t>
            </w:r>
            <w:r w:rsidRPr="00E84D74">
              <w:rPr>
                <w:b/>
                <w:bCs/>
                <w:sz w:val="18"/>
                <w:szCs w:val="18"/>
              </w:rPr>
              <w:t>Energy</w:t>
            </w:r>
          </w:p>
          <w:p w:rsidR="001F69BE" w:rsidRPr="00E84D74" w:rsidRDefault="001F69BE" w:rsidP="00DA725A">
            <w:pPr>
              <w:autoSpaceDE w:val="0"/>
              <w:autoSpaceDN w:val="0"/>
              <w:adjustRightInd w:val="0"/>
              <w:rPr>
                <w:sz w:val="18"/>
                <w:szCs w:val="18"/>
              </w:rPr>
            </w:pPr>
            <w:r w:rsidRPr="00E84D74">
              <w:rPr>
                <w:b/>
                <w:bCs/>
                <w:sz w:val="18"/>
                <w:szCs w:val="18"/>
              </w:rPr>
              <w:t xml:space="preserve">Community Regulatory Board </w:t>
            </w:r>
            <w:r w:rsidRPr="00E84D74">
              <w:rPr>
                <w:sz w:val="18"/>
                <w:szCs w:val="18"/>
              </w:rPr>
              <w:t xml:space="preserve">and the </w:t>
            </w:r>
            <w:r w:rsidRPr="00E84D74">
              <w:rPr>
                <w:b/>
                <w:bCs/>
                <w:sz w:val="18"/>
                <w:szCs w:val="18"/>
              </w:rPr>
              <w:t>Energy Community Secretariat</w:t>
            </w:r>
            <w:r w:rsidRPr="00E84D74">
              <w:rPr>
                <w:sz w:val="18"/>
                <w:szCs w:val="18"/>
              </w:rPr>
              <w:t>.</w:t>
            </w:r>
          </w:p>
          <w:p w:rsidR="001F69BE" w:rsidRPr="00E84D74" w:rsidRDefault="001F69BE" w:rsidP="00DA725A">
            <w:pPr>
              <w:autoSpaceDE w:val="0"/>
              <w:autoSpaceDN w:val="0"/>
              <w:adjustRightInd w:val="0"/>
              <w:rPr>
                <w:sz w:val="18"/>
                <w:szCs w:val="18"/>
              </w:rPr>
            </w:pPr>
            <w:r w:rsidRPr="00E84D74">
              <w:rPr>
                <w:sz w:val="18"/>
                <w:szCs w:val="18"/>
              </w:rPr>
              <w:t>5. The national regulatory authorities may revoke a derogation if the circumstances or underlying reasons,</w:t>
            </w:r>
          </w:p>
          <w:p w:rsidR="001F69BE" w:rsidRPr="00E84D74" w:rsidRDefault="001F69BE" w:rsidP="00DA725A">
            <w:pPr>
              <w:autoSpaceDE w:val="0"/>
              <w:autoSpaceDN w:val="0"/>
              <w:adjustRightInd w:val="0"/>
              <w:rPr>
                <w:b/>
                <w:bCs/>
                <w:sz w:val="18"/>
                <w:szCs w:val="18"/>
              </w:rPr>
            </w:pPr>
            <w:r w:rsidRPr="00E84D74">
              <w:rPr>
                <w:sz w:val="18"/>
                <w:szCs w:val="18"/>
              </w:rPr>
              <w:t xml:space="preserve">or both, no longer apply or upon a reasoned recommendation of the </w:t>
            </w:r>
            <w:r w:rsidRPr="00E84D74">
              <w:rPr>
                <w:b/>
                <w:bCs/>
                <w:sz w:val="18"/>
                <w:szCs w:val="18"/>
              </w:rPr>
              <w:t>Energy Community Regulatory</w:t>
            </w:r>
          </w:p>
          <w:p w:rsidR="001F69BE" w:rsidRPr="00E84D74" w:rsidRDefault="001F69BE" w:rsidP="00DA725A">
            <w:pPr>
              <w:jc w:val="both"/>
              <w:rPr>
                <w:b/>
                <w:sz w:val="18"/>
                <w:szCs w:val="18"/>
              </w:rPr>
            </w:pPr>
            <w:r w:rsidRPr="00E84D74">
              <w:rPr>
                <w:b/>
                <w:bCs/>
                <w:sz w:val="18"/>
                <w:szCs w:val="18"/>
              </w:rPr>
              <w:t xml:space="preserve">Board </w:t>
            </w:r>
            <w:r w:rsidRPr="00E84D74">
              <w:rPr>
                <w:sz w:val="18"/>
                <w:szCs w:val="18"/>
              </w:rPr>
              <w:t xml:space="preserve">or the </w:t>
            </w:r>
            <w:r w:rsidRPr="00E84D74">
              <w:rPr>
                <w:b/>
                <w:bCs/>
                <w:sz w:val="18"/>
                <w:szCs w:val="18"/>
              </w:rPr>
              <w:t xml:space="preserve">Energy Community Secretariat </w:t>
            </w:r>
            <w:r w:rsidRPr="00E84D74">
              <w:rPr>
                <w:sz w:val="18"/>
                <w:szCs w:val="18"/>
              </w:rPr>
              <w:t>to revoke a derogation due to a lack of justification.</w:t>
            </w:r>
          </w:p>
        </w:tc>
      </w:tr>
      <w:tr w:rsidR="007C4D96" w:rsidRPr="00C27D66" w:rsidTr="00FC3840">
        <w:trPr>
          <w:trHeight w:val="709"/>
        </w:trPr>
        <w:tc>
          <w:tcPr>
            <w:tcW w:w="15735" w:type="dxa"/>
            <w:gridSpan w:val="4"/>
            <w:shd w:val="clear" w:color="auto" w:fill="FFFF00"/>
          </w:tcPr>
          <w:p w:rsidR="007C4D96" w:rsidRPr="00E84D74" w:rsidRDefault="007C4D96" w:rsidP="00DA725A">
            <w:pPr>
              <w:rPr>
                <w:b/>
                <w:sz w:val="18"/>
                <w:szCs w:val="18"/>
                <w:lang w:val="it-IT"/>
              </w:rPr>
            </w:pPr>
            <w:r w:rsidRPr="00E84D74">
              <w:rPr>
                <w:b/>
                <w:sz w:val="18"/>
                <w:szCs w:val="18"/>
                <w:lang w:val="it-IT"/>
              </w:rPr>
              <w:lastRenderedPageBreak/>
              <w:t>Regulamentul (UE) Nr.312/2014 al Comisiei din 26 martie 2014 de stabilire a unui cod de reţea privind echilibrarea reţelelor de transport de gaz, publicat în Jurnalul Oficial al Uniunii Europene L 91 din 27 martie 2014, încorporat şi adaptat prin Decizia Nr.2019/01/PHLG-EnC al Grupului Permanent de Nivel Înalt al Comunităţii Energetice din 12 decembrie 2019 privind adoptarea Regulamentului (UE) Nr.312/2014 al Comisiei din 26 martie 2014 de stabilire a unui cod de reţea privind echilibrarea reţelelor de transport de gaz.</w:t>
            </w:r>
          </w:p>
        </w:tc>
      </w:tr>
      <w:tr w:rsidR="00483237" w:rsidRPr="00043955" w:rsidTr="00FC3840">
        <w:trPr>
          <w:trHeight w:val="1240"/>
        </w:trPr>
        <w:tc>
          <w:tcPr>
            <w:tcW w:w="5245" w:type="dxa"/>
            <w:shd w:val="clear" w:color="auto" w:fill="auto"/>
          </w:tcPr>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CAPITOLUL I</w:t>
            </w: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DISPOZIȚII</w:t>
            </w: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Articolul 1</w:t>
            </w: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Obiect</w:t>
            </w: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Prezentul regulament stabilește un cod de rețea care fixează norme de echilibrare a gazelor naturale, inclusiv norme de rețea cu privire la procedurile de nominalizare, tarifele de dezechilibru, procesele de reglare asociate tarifului de dezechilibru zilnic și echilibrarea operațională între rețelele operatorilor de sisteme de transport. </w:t>
            </w:r>
          </w:p>
          <w:p w:rsidR="00FD6C52" w:rsidRPr="00AF0E15" w:rsidRDefault="00FD6C52" w:rsidP="00DA725A">
            <w:pPr>
              <w:jc w:val="center"/>
              <w:textAlignment w:val="baseline"/>
              <w:rPr>
                <w:b/>
                <w:sz w:val="18"/>
                <w:szCs w:val="18"/>
                <w:lang w:val="it-IT" w:eastAsia="en-US"/>
              </w:rPr>
            </w:pPr>
          </w:p>
          <w:p w:rsidR="009A44CB" w:rsidRPr="00AF0E15" w:rsidRDefault="009A44CB" w:rsidP="00DA725A">
            <w:pPr>
              <w:jc w:val="center"/>
              <w:textAlignment w:val="baseline"/>
              <w:rPr>
                <w:rFonts w:ascii="Segoe UI" w:hAnsi="Segoe UI" w:cs="Segoe UI"/>
                <w:b/>
                <w:sz w:val="18"/>
                <w:szCs w:val="18"/>
                <w:lang w:val="it-IT" w:eastAsia="en-US"/>
              </w:rPr>
            </w:pPr>
            <w:r w:rsidRPr="00AF0E15">
              <w:rPr>
                <w:b/>
                <w:sz w:val="18"/>
                <w:szCs w:val="18"/>
                <w:lang w:val="it-IT" w:eastAsia="en-US"/>
              </w:rPr>
              <w:t>Articolul 2</w:t>
            </w:r>
          </w:p>
          <w:p w:rsidR="009A44CB" w:rsidRPr="00AF0E15" w:rsidRDefault="009A44CB" w:rsidP="00DA725A">
            <w:pPr>
              <w:jc w:val="center"/>
              <w:textAlignment w:val="baseline"/>
              <w:rPr>
                <w:rFonts w:ascii="Segoe UI" w:hAnsi="Segoe UI" w:cs="Segoe UI"/>
                <w:b/>
                <w:sz w:val="18"/>
                <w:szCs w:val="18"/>
                <w:lang w:val="it-IT" w:eastAsia="en-US"/>
              </w:rPr>
            </w:pPr>
            <w:r w:rsidRPr="00AF0E15">
              <w:rPr>
                <w:b/>
                <w:sz w:val="18"/>
                <w:szCs w:val="18"/>
                <w:lang w:val="it-IT" w:eastAsia="en-US"/>
              </w:rPr>
              <w:t>Domeniu de aplicare</w:t>
            </w: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(1)   Prezentul regulament se aplică zonelor de echilibrare de pe teritoriul Uniunii. </w:t>
            </w: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(2)   Prezentul regulament nu se aplică zonelor de echilibrare din statele membre care dețin o derogare în temeiul articolului 49 din Directiva 2009/73/CE. </w:t>
            </w:r>
          </w:p>
          <w:p w:rsidR="009A44CB" w:rsidRDefault="009A44CB" w:rsidP="00DA725A">
            <w:pPr>
              <w:jc w:val="both"/>
              <w:textAlignment w:val="baseline"/>
              <w:rPr>
                <w:sz w:val="18"/>
                <w:szCs w:val="18"/>
                <w:lang w:val="it-IT" w:eastAsia="en-US"/>
              </w:rPr>
            </w:pPr>
            <w:r w:rsidRPr="00AF0E15">
              <w:rPr>
                <w:sz w:val="18"/>
                <w:szCs w:val="18"/>
                <w:lang w:val="it-IT" w:eastAsia="en-US"/>
              </w:rPr>
              <w:t> (3)   Prezentul regulament nu se aplică reconcilierii care ar trebui să aibă loc între alocări și consumul real derivat ulterior din citirile contoarelor clienților finali, dacă acestea sunt disponibile. </w:t>
            </w:r>
          </w:p>
          <w:p w:rsidR="00C25BD8" w:rsidRPr="00AF0E15" w:rsidRDefault="00C25BD8" w:rsidP="00DA725A">
            <w:pPr>
              <w:jc w:val="both"/>
              <w:textAlignment w:val="baseline"/>
              <w:rPr>
                <w:rFonts w:ascii="Segoe UI" w:hAnsi="Segoe UI" w:cs="Segoe UI"/>
                <w:sz w:val="18"/>
                <w:szCs w:val="18"/>
                <w:lang w:val="it-IT" w:eastAsia="en-US"/>
              </w:rPr>
            </w:pPr>
          </w:p>
          <w:p w:rsidR="009A44CB" w:rsidRDefault="009A44CB" w:rsidP="00DA725A">
            <w:pPr>
              <w:jc w:val="both"/>
              <w:textAlignment w:val="baseline"/>
              <w:rPr>
                <w:sz w:val="18"/>
                <w:szCs w:val="18"/>
                <w:lang w:val="it-IT" w:eastAsia="en-US"/>
              </w:rPr>
            </w:pPr>
            <w:r w:rsidRPr="00AF0E15">
              <w:rPr>
                <w:sz w:val="18"/>
                <w:szCs w:val="18"/>
                <w:lang w:val="it-IT" w:eastAsia="en-US"/>
              </w:rPr>
              <w:t xml:space="preserve">(4)   Prezentul regulament nu se aplică în situații de urgență când operatorul de sistem de transport pune în aplicare măsuri specifice definite în temeiul normelor naționale aplicabile și pe baza Regulamentului (UE) nr. 994/2010 al Parlamentului European și al </w:t>
            </w:r>
            <w:r w:rsidRPr="00AF0E15">
              <w:rPr>
                <w:sz w:val="18"/>
                <w:szCs w:val="18"/>
                <w:lang w:val="it-IT" w:eastAsia="en-US"/>
              </w:rPr>
              <w:lastRenderedPageBreak/>
              <w:t>Consiliului din 20 octombrie 2010 privind măsurile de garantare a securității aprovizionării cu gaze naturale (5), după caz. </w:t>
            </w:r>
          </w:p>
          <w:p w:rsidR="00C25BD8" w:rsidRPr="00AF0E15" w:rsidRDefault="00C25BD8" w:rsidP="00DA725A">
            <w:pPr>
              <w:jc w:val="both"/>
              <w:textAlignment w:val="baseline"/>
              <w:rPr>
                <w:rFonts w:ascii="Segoe UI" w:hAnsi="Segoe UI" w:cs="Segoe UI"/>
                <w:sz w:val="18"/>
                <w:szCs w:val="18"/>
                <w:lang w:val="it-IT" w:eastAsia="en-US"/>
              </w:rPr>
            </w:pP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(5)   Drepturile și obligațiile respective care decurg din prezentul regulament în ceea ce privește utilizatorii rețelei se aplică numai utilizatorilor rețelei care au încheiat un acord obligatoriu din punct de vedere juridic care este fie un contract de transport, fie un contract de altă natură, care le permite să înainteze notificări comerciale în conformitate cu articolul 5. </w:t>
            </w:r>
          </w:p>
          <w:p w:rsidR="00483237" w:rsidRPr="00AF0E15" w:rsidRDefault="00483237" w:rsidP="00DA725A">
            <w:pPr>
              <w:rPr>
                <w:lang w:val="it-IT"/>
              </w:rPr>
            </w:pPr>
          </w:p>
        </w:tc>
        <w:tc>
          <w:tcPr>
            <w:tcW w:w="4962" w:type="dxa"/>
            <w:shd w:val="clear" w:color="auto" w:fill="auto"/>
          </w:tcPr>
          <w:p w:rsidR="009A44CB" w:rsidRPr="00AF0E15" w:rsidRDefault="009A44CB" w:rsidP="00DA725A">
            <w:pPr>
              <w:jc w:val="both"/>
              <w:textAlignment w:val="baseline"/>
              <w:rPr>
                <w:rFonts w:ascii="Segoe UI" w:hAnsi="Segoe UI" w:cs="Segoe UI"/>
                <w:sz w:val="18"/>
                <w:szCs w:val="18"/>
                <w:lang w:val="it-IT" w:eastAsia="en-US"/>
              </w:rPr>
            </w:pPr>
            <w:r w:rsidRPr="00BE464B">
              <w:rPr>
                <w:sz w:val="18"/>
                <w:szCs w:val="18"/>
                <w:lang w:val="ro-MD" w:eastAsia="en-US"/>
              </w:rPr>
              <w:lastRenderedPageBreak/>
              <w:t>Codul rețelelor de gaze naturale, aprobat prin Hotărârea Consiliului de administrație a ANRE nr.420/2019 din 22.11.2019 (Monitorul Oficial al Republicii Moldova, 2020, nr.14-23, art.60), înregistrată la Ministerul Justiţiei cu nr. 1520 din 03 ianuarie 2020, se modifică după cum urmează:</w:t>
            </w:r>
            <w:r w:rsidRPr="00AF0E15">
              <w:rPr>
                <w:sz w:val="18"/>
                <w:szCs w:val="18"/>
                <w:lang w:val="it-IT" w:eastAsia="en-US"/>
              </w:rPr>
              <w:t> </w:t>
            </w:r>
          </w:p>
          <w:p w:rsidR="009A44CB" w:rsidRPr="00AF0E15" w:rsidRDefault="009A44CB" w:rsidP="00DA725A">
            <w:pPr>
              <w:jc w:val="both"/>
              <w:textAlignment w:val="baseline"/>
              <w:rPr>
                <w:rFonts w:ascii="Segoe UI" w:hAnsi="Segoe UI" w:cs="Segoe UI"/>
                <w:sz w:val="18"/>
                <w:szCs w:val="18"/>
                <w:lang w:val="it-IT" w:eastAsia="en-US"/>
              </w:rPr>
            </w:pPr>
            <w:r w:rsidRPr="00BE464B">
              <w:rPr>
                <w:b/>
                <w:bCs/>
                <w:sz w:val="18"/>
                <w:szCs w:val="18"/>
                <w:lang w:val="ro-MD" w:eastAsia="en-US"/>
              </w:rPr>
              <w:t xml:space="preserve">            1) </w:t>
            </w:r>
            <w:r w:rsidRPr="00BE464B">
              <w:rPr>
                <w:sz w:val="18"/>
                <w:szCs w:val="18"/>
                <w:lang w:val="ro-MD" w:eastAsia="en-US"/>
              </w:rPr>
              <w:t xml:space="preserve">.Preambulul Codului rețelor de gaze naturale se completează cu textul „și </w:t>
            </w:r>
            <w:hyperlink r:id="rId88" w:tgtFrame="_blank" w:history="1">
              <w:r w:rsidRPr="00BE464B">
                <w:rPr>
                  <w:color w:val="0000FF"/>
                  <w:sz w:val="18"/>
                  <w:szCs w:val="18"/>
                  <w:lang w:val="ro-MD" w:eastAsia="en-US"/>
                </w:rPr>
                <w:t>Regulamentul (UE) Nr. 312/2014 al Comisiei din 26 martie 2014 de stabilire a unui cod de rețea</w:t>
              </w:r>
            </w:hyperlink>
            <w:r w:rsidRPr="00BE464B">
              <w:rPr>
                <w:sz w:val="18"/>
                <w:szCs w:val="18"/>
                <w:lang w:val="ro-MD" w:eastAsia="en-US"/>
              </w:rPr>
              <w:t xml:space="preserve"> </w:t>
            </w:r>
            <w:hyperlink r:id="rId89" w:tgtFrame="_blank" w:history="1">
              <w:r w:rsidRPr="00BE464B">
                <w:rPr>
                  <w:color w:val="0000FF"/>
                  <w:sz w:val="18"/>
                  <w:szCs w:val="18"/>
                  <w:lang w:val="ro-MD" w:eastAsia="en-US"/>
                </w:rPr>
                <w:t>privind echilibrarea rețelelor de transport de gaz</w:t>
              </w:r>
            </w:hyperlink>
            <w:r w:rsidRPr="00BE464B">
              <w:rPr>
                <w:sz w:val="18"/>
                <w:szCs w:val="18"/>
                <w:lang w:val="ro-MD" w:eastAsia="en-US"/>
              </w:rPr>
              <w:t xml:space="preserve">, publicat în Jurnalul Oficial al Uniunii Europene (JO) Nr. L91 din 27 martie 2014, adaptat prin Decizia Nr. 2019/01/PHLG-EnC al Grupului Permanent de Nivel Înalt al Comunităţii Energetice din 12 decembrie 2019 privind adoptarea Regulamentului (UE) Nr. </w:t>
            </w:r>
            <w:hyperlink r:id="rId90" w:tgtFrame="_blank" w:history="1">
              <w:r w:rsidRPr="00BE464B">
                <w:rPr>
                  <w:color w:val="0000FF"/>
                  <w:sz w:val="18"/>
                  <w:szCs w:val="18"/>
                  <w:lang w:val="ro-MD" w:eastAsia="en-US"/>
                </w:rPr>
                <w:t>312/2014 al Comisiei din 26 martie 2014 de stabilire a unui cod de rețea</w:t>
              </w:r>
            </w:hyperlink>
            <w:r w:rsidRPr="00BE464B">
              <w:rPr>
                <w:sz w:val="18"/>
                <w:szCs w:val="18"/>
                <w:lang w:val="ro-MD" w:eastAsia="en-US"/>
              </w:rPr>
              <w:t xml:space="preserve"> </w:t>
            </w:r>
            <w:hyperlink r:id="rId91" w:tgtFrame="_blank" w:history="1">
              <w:r w:rsidRPr="00BE464B">
                <w:rPr>
                  <w:color w:val="0000FF"/>
                  <w:sz w:val="18"/>
                  <w:szCs w:val="18"/>
                  <w:lang w:val="ro-MD" w:eastAsia="en-US"/>
                </w:rPr>
                <w:t>privind echilibrarea rețelelor de transport de gaz</w:t>
              </w:r>
            </w:hyperlink>
            <w:r w:rsidRPr="00BE464B">
              <w:rPr>
                <w:sz w:val="18"/>
                <w:szCs w:val="18"/>
                <w:lang w:val="ro-MD" w:eastAsia="en-US"/>
              </w:rPr>
              <w:t>”;</w:t>
            </w:r>
            <w:r w:rsidRPr="00AF0E15">
              <w:rPr>
                <w:sz w:val="18"/>
                <w:szCs w:val="18"/>
                <w:lang w:val="it-IT" w:eastAsia="en-US"/>
              </w:rPr>
              <w:t> </w:t>
            </w:r>
          </w:p>
          <w:p w:rsidR="009A44CB" w:rsidRPr="00AF0E15" w:rsidRDefault="009A44CB" w:rsidP="00DA725A">
            <w:pPr>
              <w:jc w:val="both"/>
              <w:textAlignment w:val="baseline"/>
              <w:rPr>
                <w:rFonts w:ascii="Segoe UI" w:hAnsi="Segoe UI" w:cs="Segoe UI"/>
                <w:sz w:val="18"/>
                <w:szCs w:val="18"/>
                <w:lang w:val="it-IT" w:eastAsia="en-US"/>
              </w:rPr>
            </w:pPr>
            <w:r w:rsidRPr="00BE464B">
              <w:rPr>
                <w:b/>
                <w:bCs/>
                <w:sz w:val="18"/>
                <w:szCs w:val="18"/>
                <w:lang w:val="ro-MD" w:eastAsia="en-US"/>
              </w:rPr>
              <w:t xml:space="preserve">       2) </w:t>
            </w:r>
            <w:r w:rsidRPr="00BE464B">
              <w:rPr>
                <w:sz w:val="18"/>
                <w:szCs w:val="18"/>
                <w:lang w:val="ro-MD" w:eastAsia="en-US"/>
              </w:rPr>
              <w:t>Se întroduce Titlul V</w:t>
            </w:r>
            <w:r w:rsidRPr="00BE464B">
              <w:rPr>
                <w:sz w:val="18"/>
                <w:szCs w:val="18"/>
                <w:vertAlign w:val="superscript"/>
                <w:lang w:val="ro-MD" w:eastAsia="en-US"/>
              </w:rPr>
              <w:t>1</w:t>
            </w:r>
            <w:r w:rsidRPr="00BE464B">
              <w:rPr>
                <w:sz w:val="18"/>
                <w:szCs w:val="18"/>
                <w:lang w:val="ro-MD" w:eastAsia="en-US"/>
              </w:rPr>
              <w:t xml:space="preserve"> cu următorul conținut</w:t>
            </w:r>
            <w:r w:rsidRPr="00AF0E15">
              <w:rPr>
                <w:sz w:val="18"/>
                <w:szCs w:val="18"/>
                <w:lang w:val="it-IT" w:eastAsia="en-US"/>
              </w:rPr>
              <w:t>: </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TITLUL VI</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ECHILIBRAREA REŢELEI DE TRANSPORT AL GAZELOR NATURALE</w:t>
            </w:r>
          </w:p>
          <w:p w:rsidR="009E1854" w:rsidRPr="009E1854" w:rsidRDefault="009E1854" w:rsidP="009E1854">
            <w:pPr>
              <w:jc w:val="center"/>
              <w:textAlignment w:val="baseline"/>
              <w:rPr>
                <w:bCs/>
                <w:color w:val="000000"/>
                <w:sz w:val="18"/>
                <w:szCs w:val="18"/>
                <w:lang w:val="ro-RO" w:eastAsia="en-US"/>
              </w:rPr>
            </w:pPr>
            <w:r w:rsidRPr="009E1854">
              <w:rPr>
                <w:bCs/>
                <w:color w:val="000000"/>
                <w:sz w:val="18"/>
                <w:szCs w:val="18"/>
                <w:lang w:val="ro-RO" w:eastAsia="en-US"/>
              </w:rPr>
              <w:t> </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Capitolul I</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DISPOZIŢII GENERALE</w:t>
            </w:r>
          </w:p>
          <w:p w:rsidR="009E1854" w:rsidRPr="009E1854" w:rsidRDefault="009E1854" w:rsidP="009E1854">
            <w:pPr>
              <w:jc w:val="center"/>
              <w:textAlignment w:val="baseline"/>
              <w:rPr>
                <w:bCs/>
                <w:color w:val="000000"/>
                <w:sz w:val="18"/>
                <w:szCs w:val="18"/>
                <w:lang w:val="ro-RO" w:eastAsia="en-US"/>
              </w:rPr>
            </w:pPr>
            <w:r w:rsidRPr="009E1854">
              <w:rPr>
                <w:bCs/>
                <w:color w:val="000000"/>
                <w:sz w:val="18"/>
                <w:szCs w:val="18"/>
                <w:lang w:val="ro-RO" w:eastAsia="en-US"/>
              </w:rPr>
              <w:t> </w:t>
            </w:r>
          </w:p>
          <w:p w:rsidR="00F377C0" w:rsidRDefault="00F377C0" w:rsidP="009E1854">
            <w:pPr>
              <w:jc w:val="center"/>
              <w:textAlignment w:val="baseline"/>
              <w:rPr>
                <w:b/>
                <w:bCs/>
                <w:color w:val="000000"/>
                <w:sz w:val="18"/>
                <w:szCs w:val="18"/>
                <w:lang w:val="ro-RO" w:eastAsia="en-US"/>
              </w:rPr>
            </w:pPr>
          </w:p>
          <w:p w:rsidR="00F377C0" w:rsidRDefault="00F377C0" w:rsidP="009E1854">
            <w:pPr>
              <w:jc w:val="center"/>
              <w:textAlignment w:val="baseline"/>
              <w:rPr>
                <w:b/>
                <w:bCs/>
                <w:color w:val="000000"/>
                <w:sz w:val="18"/>
                <w:szCs w:val="18"/>
                <w:lang w:val="ro-RO" w:eastAsia="en-US"/>
              </w:rPr>
            </w:pPr>
          </w:p>
          <w:p w:rsidR="00F377C0" w:rsidRDefault="00F377C0" w:rsidP="009E1854">
            <w:pPr>
              <w:jc w:val="center"/>
              <w:textAlignment w:val="baseline"/>
              <w:rPr>
                <w:b/>
                <w:bCs/>
                <w:color w:val="000000"/>
                <w:sz w:val="18"/>
                <w:szCs w:val="18"/>
                <w:lang w:val="ro-RO" w:eastAsia="en-US"/>
              </w:rPr>
            </w:pP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Secţiunea 1</w:t>
            </w:r>
          </w:p>
          <w:p w:rsid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Obiect şi domeniu de aplicare</w:t>
            </w:r>
          </w:p>
          <w:p w:rsidR="00DD28AA" w:rsidRPr="009E1854" w:rsidRDefault="00DD28AA" w:rsidP="009E1854">
            <w:pPr>
              <w:jc w:val="center"/>
              <w:textAlignment w:val="baseline"/>
              <w:rPr>
                <w:b/>
                <w:bCs/>
                <w:color w:val="000000"/>
                <w:sz w:val="18"/>
                <w:szCs w:val="18"/>
                <w:lang w:val="ro-RO" w:eastAsia="en-US"/>
              </w:rPr>
            </w:pPr>
          </w:p>
          <w:p w:rsidR="009E1854" w:rsidRDefault="009E1854" w:rsidP="009E1854">
            <w:pPr>
              <w:textAlignment w:val="baseline"/>
              <w:rPr>
                <w:bCs/>
                <w:color w:val="000000"/>
                <w:sz w:val="18"/>
                <w:szCs w:val="18"/>
                <w:lang w:val="ro-RO" w:eastAsia="en-US"/>
              </w:rPr>
            </w:pPr>
            <w:r w:rsidRPr="009E1854">
              <w:rPr>
                <w:b/>
                <w:bCs/>
                <w:color w:val="000000"/>
                <w:sz w:val="18"/>
                <w:szCs w:val="18"/>
                <w:lang w:val="ro-RO" w:eastAsia="en-US"/>
              </w:rPr>
              <w:t>434.</w:t>
            </w:r>
            <w:r w:rsidRPr="009E1854">
              <w:rPr>
                <w:bCs/>
                <w:color w:val="000000"/>
                <w:sz w:val="18"/>
                <w:szCs w:val="18"/>
                <w:lang w:val="ro-RO" w:eastAsia="en-US"/>
              </w:rPr>
              <w:t xml:space="preserve"> Prezentul Titlu stabileşte norme privind echilibrarea reţelei de transport al gazelor naturale, inclusiv norme cu privire la procedurile de nominalizare, plăţile pentru dezechilibru, proceduri asociate plăţii pentru dezechilibrul zilnic şi echilibrarea operaţională între reţelele OST-urilor.</w:t>
            </w:r>
          </w:p>
          <w:p w:rsidR="00C25BD8" w:rsidRPr="009E1854" w:rsidRDefault="00C25BD8" w:rsidP="009E1854">
            <w:pPr>
              <w:textAlignment w:val="baseline"/>
              <w:rPr>
                <w:bCs/>
                <w:color w:val="000000"/>
                <w:sz w:val="18"/>
                <w:szCs w:val="18"/>
                <w:lang w:val="ro-RO" w:eastAsia="en-US"/>
              </w:rPr>
            </w:pPr>
          </w:p>
          <w:p w:rsidR="009E1854" w:rsidRPr="009E1854" w:rsidRDefault="009E1854" w:rsidP="009E1854">
            <w:pPr>
              <w:textAlignment w:val="baseline"/>
              <w:rPr>
                <w:bCs/>
                <w:color w:val="000000"/>
                <w:sz w:val="18"/>
                <w:szCs w:val="18"/>
                <w:lang w:val="ro-RO" w:eastAsia="en-US"/>
              </w:rPr>
            </w:pPr>
            <w:r w:rsidRPr="009E1854">
              <w:rPr>
                <w:b/>
                <w:bCs/>
                <w:color w:val="000000"/>
                <w:sz w:val="18"/>
                <w:szCs w:val="18"/>
                <w:lang w:val="ro-RO" w:eastAsia="en-US"/>
              </w:rPr>
              <w:t>435.</w:t>
            </w:r>
            <w:r w:rsidRPr="009E1854">
              <w:rPr>
                <w:bCs/>
                <w:color w:val="000000"/>
                <w:sz w:val="18"/>
                <w:szCs w:val="18"/>
                <w:lang w:val="ro-RO" w:eastAsia="en-US"/>
              </w:rPr>
              <w:t xml:space="preserve"> Prezentul Titlu nu se aplică reconcilierii care ar trebui să aibă loc între alocări şi consumul real derivat din citirile indicaţiilor echipamentelor de măsurare ale consumatorilor finali, dacă acestea sunt disponibile.</w:t>
            </w:r>
          </w:p>
          <w:p w:rsidR="009E1854" w:rsidRPr="009E1854" w:rsidRDefault="009E1854" w:rsidP="009E1854">
            <w:pPr>
              <w:textAlignment w:val="baseline"/>
              <w:rPr>
                <w:bCs/>
                <w:color w:val="000000"/>
                <w:sz w:val="18"/>
                <w:szCs w:val="18"/>
                <w:lang w:val="ro-RO" w:eastAsia="en-US"/>
              </w:rPr>
            </w:pPr>
            <w:r w:rsidRPr="009E1854">
              <w:rPr>
                <w:b/>
                <w:bCs/>
                <w:color w:val="000000"/>
                <w:sz w:val="18"/>
                <w:szCs w:val="18"/>
                <w:lang w:val="ro-RO" w:eastAsia="en-US"/>
              </w:rPr>
              <w:t>436.</w:t>
            </w:r>
            <w:r w:rsidRPr="009E1854">
              <w:rPr>
                <w:bCs/>
                <w:color w:val="000000"/>
                <w:sz w:val="18"/>
                <w:szCs w:val="18"/>
                <w:lang w:val="ro-RO" w:eastAsia="en-US"/>
              </w:rPr>
              <w:t xml:space="preserve"> Prezentul Titlu nu se aplică în situaţiile când OST pune în aplicare măsuri specifice stabilite în Regulamentul privind situaţiile excepţionale pe piaţa gazelor naturale şi Planul de acţiuni pentru situaţii excepţionale pe piaţa gazelor naturale </w:t>
            </w:r>
            <w:r w:rsidRPr="009E1854">
              <w:rPr>
                <w:bCs/>
                <w:color w:val="000000"/>
                <w:sz w:val="18"/>
                <w:szCs w:val="18"/>
                <w:lang w:val="ro-RO" w:eastAsia="en-US"/>
              </w:rPr>
              <w:lastRenderedPageBreak/>
              <w:t xml:space="preserve">aprobate prin </w:t>
            </w:r>
            <w:hyperlink r:id="rId92" w:history="1">
              <w:r w:rsidRPr="009E1854">
                <w:rPr>
                  <w:rStyle w:val="Hyperlink"/>
                  <w:bCs/>
                  <w:sz w:val="18"/>
                  <w:szCs w:val="18"/>
                  <w:lang w:val="ro-RO" w:eastAsia="en-US"/>
                </w:rPr>
                <w:t>Hotărârea Guvernului nr.207/2019</w:t>
              </w:r>
            </w:hyperlink>
            <w:r w:rsidRPr="009E1854">
              <w:rPr>
                <w:bCs/>
                <w:color w:val="000000"/>
                <w:sz w:val="18"/>
                <w:szCs w:val="18"/>
                <w:lang w:val="ro-RO" w:eastAsia="en-US"/>
              </w:rPr>
              <w:t xml:space="preserve"> şi în baza regulilor aplicabile Comunităţii Energetice privind securitatea aprovizionării cu gaze naturale, după caz.</w:t>
            </w:r>
          </w:p>
          <w:p w:rsidR="00FD6C52" w:rsidRPr="00AF0E15" w:rsidRDefault="009E1854" w:rsidP="009E1854">
            <w:pPr>
              <w:textAlignment w:val="baseline"/>
              <w:rPr>
                <w:rFonts w:ascii="Segoe UI" w:hAnsi="Segoe UI" w:cs="Segoe UI"/>
                <w:sz w:val="18"/>
                <w:szCs w:val="18"/>
                <w:lang w:val="it-IT" w:eastAsia="en-US"/>
              </w:rPr>
            </w:pPr>
            <w:r w:rsidRPr="009E1854">
              <w:rPr>
                <w:b/>
                <w:bCs/>
                <w:color w:val="000000"/>
                <w:sz w:val="18"/>
                <w:szCs w:val="18"/>
                <w:lang w:val="ro-RO" w:eastAsia="en-US"/>
              </w:rPr>
              <w:t>437.</w:t>
            </w:r>
            <w:r w:rsidRPr="009E1854">
              <w:rPr>
                <w:bCs/>
                <w:color w:val="000000"/>
                <w:sz w:val="18"/>
                <w:szCs w:val="18"/>
                <w:lang w:val="ro-RO" w:eastAsia="en-US"/>
              </w:rPr>
              <w:t xml:space="preserve"> Drepturile şi obligaţiile care decurg din prezentul Titlu în ceea ce priveşte utilizatorii de sistem se aplică numai utilizatorilor de sistem care au încheiat un acord obligatoriu din punct de vedere juridic care este fie un contract privind prestarea serviciului de transport al gazelor naturale, fie un contract de altă natură care le permite să înainteze notificări comerciale în conformitate cu Secţiunea 2 din prezentul Capitol.</w:t>
            </w:r>
          </w:p>
          <w:p w:rsidR="00483237" w:rsidRPr="00043955" w:rsidRDefault="00483237" w:rsidP="00DA725A">
            <w:pPr>
              <w:rPr>
                <w:sz w:val="18"/>
                <w:szCs w:val="18"/>
                <w:lang w:val="ro-RO"/>
              </w:rPr>
            </w:pPr>
          </w:p>
        </w:tc>
        <w:tc>
          <w:tcPr>
            <w:tcW w:w="1275" w:type="dxa"/>
            <w:shd w:val="clear" w:color="auto" w:fill="auto"/>
          </w:tcPr>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022693" w:rsidRPr="00AF0E15" w:rsidRDefault="00022693" w:rsidP="00DA725A">
            <w:pPr>
              <w:rPr>
                <w:sz w:val="18"/>
                <w:szCs w:val="18"/>
                <w:lang w:val="it-IT"/>
              </w:rPr>
            </w:pPr>
          </w:p>
          <w:p w:rsidR="00022693" w:rsidRPr="00AF0E15" w:rsidRDefault="00022693" w:rsidP="00DA725A">
            <w:pPr>
              <w:rPr>
                <w:sz w:val="18"/>
                <w:szCs w:val="18"/>
                <w:lang w:val="it-IT"/>
              </w:rPr>
            </w:pPr>
          </w:p>
          <w:p w:rsidR="00022693" w:rsidRPr="00AF0E15" w:rsidRDefault="00022693" w:rsidP="00DA725A">
            <w:pPr>
              <w:rPr>
                <w:sz w:val="18"/>
                <w:szCs w:val="18"/>
                <w:lang w:val="it-IT"/>
              </w:rPr>
            </w:pPr>
          </w:p>
          <w:p w:rsidR="00161E2A" w:rsidRPr="00AF0E15" w:rsidRDefault="00161E2A" w:rsidP="00DA725A">
            <w:pPr>
              <w:rPr>
                <w:sz w:val="18"/>
                <w:szCs w:val="18"/>
                <w:lang w:val="it-IT"/>
              </w:rPr>
            </w:pPr>
          </w:p>
          <w:p w:rsidR="00161E2A" w:rsidRDefault="00161E2A" w:rsidP="00DA725A">
            <w:pPr>
              <w:rPr>
                <w:sz w:val="18"/>
                <w:szCs w:val="18"/>
                <w:lang w:val="it-IT"/>
              </w:rPr>
            </w:pPr>
          </w:p>
          <w:p w:rsidR="009E1854" w:rsidRDefault="009E1854" w:rsidP="00DA725A">
            <w:pPr>
              <w:rPr>
                <w:sz w:val="18"/>
                <w:szCs w:val="18"/>
                <w:lang w:val="it-IT"/>
              </w:rPr>
            </w:pPr>
          </w:p>
          <w:p w:rsidR="009E1854" w:rsidRDefault="009E1854" w:rsidP="00DA725A">
            <w:pPr>
              <w:rPr>
                <w:sz w:val="18"/>
                <w:szCs w:val="18"/>
                <w:lang w:val="it-IT"/>
              </w:rPr>
            </w:pPr>
          </w:p>
          <w:p w:rsidR="009E1854" w:rsidRDefault="009E1854" w:rsidP="00DA725A">
            <w:pPr>
              <w:rPr>
                <w:sz w:val="18"/>
                <w:szCs w:val="18"/>
                <w:lang w:val="it-IT"/>
              </w:rPr>
            </w:pPr>
          </w:p>
          <w:p w:rsidR="009E1854" w:rsidRDefault="009E1854" w:rsidP="00DA725A">
            <w:pPr>
              <w:rPr>
                <w:sz w:val="18"/>
                <w:szCs w:val="18"/>
                <w:lang w:val="it-IT"/>
              </w:rPr>
            </w:pPr>
          </w:p>
          <w:p w:rsidR="009E1854" w:rsidRPr="00AF0E15" w:rsidRDefault="009E1854" w:rsidP="00DA725A">
            <w:pPr>
              <w:rPr>
                <w:sz w:val="18"/>
                <w:szCs w:val="18"/>
                <w:lang w:val="it-IT"/>
              </w:rPr>
            </w:pPr>
          </w:p>
          <w:p w:rsidR="00161E2A" w:rsidRPr="00E55B82" w:rsidRDefault="00161E2A" w:rsidP="00DA725A">
            <w:pPr>
              <w:rPr>
                <w:sz w:val="18"/>
                <w:szCs w:val="18"/>
              </w:rPr>
            </w:pPr>
            <w:r w:rsidRPr="00E55B82">
              <w:rPr>
                <w:sz w:val="18"/>
                <w:szCs w:val="18"/>
              </w:rPr>
              <w:t>Compatibil</w:t>
            </w:r>
          </w:p>
          <w:p w:rsidR="00161E2A" w:rsidRDefault="00161E2A" w:rsidP="00DA725A">
            <w:pPr>
              <w:jc w:val="both"/>
              <w:rPr>
                <w:b/>
                <w:sz w:val="18"/>
                <w:szCs w:val="18"/>
              </w:rPr>
            </w:pPr>
          </w:p>
          <w:p w:rsidR="00161E2A" w:rsidRDefault="00161E2A" w:rsidP="00DA725A">
            <w:pPr>
              <w:jc w:val="both"/>
              <w:rPr>
                <w:b/>
                <w:sz w:val="18"/>
                <w:szCs w:val="18"/>
              </w:rPr>
            </w:pPr>
          </w:p>
          <w:p w:rsidR="00022693" w:rsidRDefault="00022693" w:rsidP="00DA725A">
            <w:pPr>
              <w:jc w:val="both"/>
              <w:rPr>
                <w:b/>
                <w:sz w:val="18"/>
                <w:szCs w:val="18"/>
              </w:rPr>
            </w:pPr>
          </w:p>
          <w:p w:rsidR="00C25BD8" w:rsidRDefault="00C25BD8" w:rsidP="00DA725A">
            <w:pPr>
              <w:rPr>
                <w:sz w:val="18"/>
                <w:szCs w:val="18"/>
              </w:rPr>
            </w:pPr>
          </w:p>
          <w:p w:rsidR="00C25BD8" w:rsidRDefault="00C25BD8" w:rsidP="00DA725A">
            <w:pPr>
              <w:rPr>
                <w:sz w:val="18"/>
                <w:szCs w:val="18"/>
              </w:rPr>
            </w:pPr>
          </w:p>
          <w:p w:rsidR="009D4C0C" w:rsidRDefault="00C25BD8" w:rsidP="00DA725A">
            <w:pPr>
              <w:rPr>
                <w:sz w:val="18"/>
                <w:szCs w:val="18"/>
              </w:rPr>
            </w:pPr>
            <w:r>
              <w:rPr>
                <w:sz w:val="18"/>
                <w:szCs w:val="18"/>
              </w:rPr>
              <w:t>C</w:t>
            </w:r>
            <w:r w:rsidR="009D4C0C">
              <w:rPr>
                <w:sz w:val="18"/>
                <w:szCs w:val="18"/>
              </w:rPr>
              <w:t>ompatibil</w:t>
            </w:r>
          </w:p>
          <w:p w:rsidR="00022693" w:rsidRDefault="00022693" w:rsidP="00DA725A">
            <w:pPr>
              <w:jc w:val="both"/>
              <w:rPr>
                <w:b/>
                <w:sz w:val="18"/>
                <w:szCs w:val="18"/>
              </w:rPr>
            </w:pPr>
          </w:p>
          <w:p w:rsidR="00022693" w:rsidRDefault="00022693" w:rsidP="00DA725A">
            <w:pPr>
              <w:jc w:val="both"/>
              <w:rPr>
                <w:b/>
                <w:sz w:val="18"/>
                <w:szCs w:val="18"/>
              </w:rPr>
            </w:pPr>
          </w:p>
          <w:p w:rsidR="00C25BD8" w:rsidRDefault="00C25BD8" w:rsidP="00DA725A">
            <w:pPr>
              <w:jc w:val="both"/>
              <w:rPr>
                <w:b/>
                <w:sz w:val="18"/>
                <w:szCs w:val="18"/>
              </w:rPr>
            </w:pPr>
          </w:p>
          <w:p w:rsidR="00C25BD8" w:rsidRDefault="00C25BD8" w:rsidP="00DA725A">
            <w:pPr>
              <w:jc w:val="both"/>
              <w:rPr>
                <w:b/>
                <w:sz w:val="18"/>
                <w:szCs w:val="18"/>
              </w:rPr>
            </w:pPr>
          </w:p>
          <w:p w:rsidR="00161E2A" w:rsidRPr="00E55B82" w:rsidRDefault="00161E2A" w:rsidP="00DA725A">
            <w:pPr>
              <w:rPr>
                <w:sz w:val="18"/>
                <w:szCs w:val="18"/>
              </w:rPr>
            </w:pPr>
            <w:r w:rsidRPr="00E55B82">
              <w:rPr>
                <w:sz w:val="18"/>
                <w:szCs w:val="18"/>
              </w:rPr>
              <w:t>Compatibil</w:t>
            </w:r>
          </w:p>
          <w:p w:rsidR="00161E2A" w:rsidRDefault="00161E2A" w:rsidP="00DA725A">
            <w:pPr>
              <w:jc w:val="both"/>
              <w:rPr>
                <w:b/>
                <w:sz w:val="18"/>
                <w:szCs w:val="18"/>
              </w:rPr>
            </w:pPr>
          </w:p>
          <w:p w:rsidR="00161E2A" w:rsidRDefault="00161E2A" w:rsidP="00DA725A">
            <w:pPr>
              <w:jc w:val="both"/>
              <w:rPr>
                <w:b/>
                <w:sz w:val="18"/>
                <w:szCs w:val="18"/>
              </w:rPr>
            </w:pPr>
          </w:p>
          <w:p w:rsidR="00161E2A" w:rsidRDefault="00161E2A" w:rsidP="00DA725A">
            <w:pPr>
              <w:jc w:val="both"/>
              <w:rPr>
                <w:b/>
                <w:sz w:val="18"/>
                <w:szCs w:val="18"/>
              </w:rPr>
            </w:pPr>
          </w:p>
          <w:p w:rsidR="00022693" w:rsidRDefault="00022693" w:rsidP="00DA725A">
            <w:pPr>
              <w:jc w:val="both"/>
              <w:rPr>
                <w:b/>
                <w:sz w:val="18"/>
                <w:szCs w:val="18"/>
              </w:rPr>
            </w:pPr>
          </w:p>
          <w:p w:rsidR="00022693" w:rsidRDefault="00022693" w:rsidP="00DA725A">
            <w:pPr>
              <w:jc w:val="both"/>
              <w:rPr>
                <w:b/>
                <w:sz w:val="18"/>
                <w:szCs w:val="18"/>
              </w:rPr>
            </w:pPr>
          </w:p>
          <w:p w:rsidR="00022693" w:rsidRDefault="00022693" w:rsidP="00DA725A">
            <w:pPr>
              <w:jc w:val="both"/>
              <w:rPr>
                <w:b/>
                <w:sz w:val="18"/>
                <w:szCs w:val="18"/>
              </w:rPr>
            </w:pPr>
          </w:p>
          <w:p w:rsidR="00161E2A" w:rsidRPr="00E55B82" w:rsidRDefault="00161E2A" w:rsidP="00DA725A">
            <w:pPr>
              <w:rPr>
                <w:sz w:val="18"/>
                <w:szCs w:val="18"/>
              </w:rPr>
            </w:pPr>
            <w:r w:rsidRPr="00E55B82">
              <w:rPr>
                <w:sz w:val="18"/>
                <w:szCs w:val="18"/>
              </w:rPr>
              <w:t>Compatibil</w:t>
            </w:r>
          </w:p>
          <w:p w:rsidR="00483237" w:rsidRPr="00D82EE4" w:rsidRDefault="00483237" w:rsidP="00DA725A">
            <w:pPr>
              <w:jc w:val="both"/>
              <w:rPr>
                <w:b/>
                <w:sz w:val="18"/>
                <w:szCs w:val="18"/>
                <w:lang w:val="it-IT"/>
              </w:rPr>
            </w:pPr>
          </w:p>
        </w:tc>
        <w:tc>
          <w:tcPr>
            <w:tcW w:w="4253" w:type="dxa"/>
            <w:shd w:val="clear" w:color="auto" w:fill="auto"/>
          </w:tcPr>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FF5E89">
            <w:pPr>
              <w:autoSpaceDE w:val="0"/>
              <w:autoSpaceDN w:val="0"/>
              <w:adjustRightInd w:val="0"/>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483237" w:rsidRPr="00E84D74" w:rsidRDefault="00483237" w:rsidP="00DA725A">
            <w:pPr>
              <w:autoSpaceDE w:val="0"/>
              <w:autoSpaceDN w:val="0"/>
              <w:adjustRightInd w:val="0"/>
              <w:jc w:val="center"/>
              <w:rPr>
                <w:b/>
                <w:bCs/>
                <w:sz w:val="18"/>
                <w:szCs w:val="18"/>
              </w:rPr>
            </w:pPr>
            <w:r w:rsidRPr="00E84D74">
              <w:rPr>
                <w:b/>
                <w:bCs/>
                <w:sz w:val="18"/>
                <w:szCs w:val="18"/>
              </w:rPr>
              <w:t>CHAPTER I</w:t>
            </w:r>
          </w:p>
          <w:p w:rsidR="00483237" w:rsidRPr="00E84D74" w:rsidRDefault="00483237" w:rsidP="00DA725A">
            <w:pPr>
              <w:autoSpaceDE w:val="0"/>
              <w:autoSpaceDN w:val="0"/>
              <w:adjustRightInd w:val="0"/>
              <w:jc w:val="center"/>
              <w:rPr>
                <w:b/>
                <w:bCs/>
                <w:sz w:val="18"/>
                <w:szCs w:val="18"/>
              </w:rPr>
            </w:pPr>
            <w:r w:rsidRPr="00E84D74">
              <w:rPr>
                <w:b/>
                <w:bCs/>
                <w:sz w:val="18"/>
                <w:szCs w:val="18"/>
              </w:rPr>
              <w:t>GENERAL PROVISIONS</w:t>
            </w:r>
          </w:p>
          <w:p w:rsidR="00483237" w:rsidRPr="00E84D74" w:rsidRDefault="00483237" w:rsidP="00DA725A">
            <w:pPr>
              <w:autoSpaceDE w:val="0"/>
              <w:autoSpaceDN w:val="0"/>
              <w:adjustRightInd w:val="0"/>
              <w:jc w:val="center"/>
              <w:rPr>
                <w:b/>
                <w:bCs/>
                <w:i/>
                <w:iCs/>
                <w:sz w:val="18"/>
                <w:szCs w:val="18"/>
              </w:rPr>
            </w:pPr>
            <w:r w:rsidRPr="00E84D74">
              <w:rPr>
                <w:b/>
                <w:bCs/>
                <w:i/>
                <w:iCs/>
                <w:sz w:val="18"/>
                <w:szCs w:val="18"/>
              </w:rPr>
              <w:t>Article 1</w:t>
            </w:r>
          </w:p>
          <w:p w:rsidR="00483237" w:rsidRPr="00E84D74" w:rsidRDefault="00483237" w:rsidP="00DA725A">
            <w:pPr>
              <w:autoSpaceDE w:val="0"/>
              <w:autoSpaceDN w:val="0"/>
              <w:adjustRightInd w:val="0"/>
              <w:jc w:val="center"/>
              <w:rPr>
                <w:b/>
                <w:bCs/>
                <w:sz w:val="18"/>
                <w:szCs w:val="18"/>
              </w:rPr>
            </w:pPr>
            <w:r w:rsidRPr="00E84D74">
              <w:rPr>
                <w:b/>
                <w:bCs/>
                <w:sz w:val="18"/>
                <w:szCs w:val="18"/>
              </w:rPr>
              <w:t>Subject matter</w:t>
            </w:r>
          </w:p>
          <w:p w:rsidR="00483237" w:rsidRPr="00E84D74" w:rsidRDefault="00483237" w:rsidP="00DA725A">
            <w:pPr>
              <w:autoSpaceDE w:val="0"/>
              <w:autoSpaceDN w:val="0"/>
              <w:adjustRightInd w:val="0"/>
              <w:rPr>
                <w:sz w:val="18"/>
                <w:szCs w:val="18"/>
              </w:rPr>
            </w:pPr>
            <w:r w:rsidRPr="00E84D74">
              <w:rPr>
                <w:sz w:val="18"/>
                <w:szCs w:val="18"/>
              </w:rPr>
              <w:t>This Regulation establishes a Network Code setting out gas balancing rules, including network-related rules on nomination procedures, imbalance charges, settlement processes associated with the daily imbalance charge and operational balancing between transmission system operators’ networks.</w:t>
            </w:r>
          </w:p>
          <w:p w:rsidR="00FD6C52" w:rsidRPr="00DD28AA" w:rsidRDefault="00FD6C52" w:rsidP="00DA725A">
            <w:pPr>
              <w:tabs>
                <w:tab w:val="left" w:pos="345"/>
              </w:tabs>
              <w:autoSpaceDE w:val="0"/>
              <w:autoSpaceDN w:val="0"/>
              <w:adjustRightInd w:val="0"/>
              <w:jc w:val="center"/>
              <w:rPr>
                <w:b/>
                <w:bCs/>
                <w:sz w:val="18"/>
                <w:szCs w:val="18"/>
              </w:rPr>
            </w:pPr>
            <w:r w:rsidRPr="00DD28AA">
              <w:rPr>
                <w:b/>
                <w:bCs/>
                <w:sz w:val="18"/>
                <w:szCs w:val="18"/>
              </w:rPr>
              <w:t>Article 2</w:t>
            </w:r>
          </w:p>
          <w:p w:rsidR="00FD6C52" w:rsidRPr="00E84D74" w:rsidRDefault="00FD6C52" w:rsidP="00DA725A">
            <w:pPr>
              <w:autoSpaceDE w:val="0"/>
              <w:autoSpaceDN w:val="0"/>
              <w:adjustRightInd w:val="0"/>
              <w:jc w:val="center"/>
              <w:rPr>
                <w:b/>
                <w:bCs/>
                <w:sz w:val="18"/>
                <w:szCs w:val="18"/>
              </w:rPr>
            </w:pPr>
            <w:r w:rsidRPr="00E84D74">
              <w:rPr>
                <w:b/>
                <w:bCs/>
                <w:sz w:val="18"/>
                <w:szCs w:val="18"/>
              </w:rPr>
              <w:t>Scope</w:t>
            </w:r>
          </w:p>
          <w:p w:rsidR="00FD6C52" w:rsidRPr="00E84D74" w:rsidRDefault="00FD6C52" w:rsidP="00DA725A">
            <w:pPr>
              <w:autoSpaceDE w:val="0"/>
              <w:autoSpaceDN w:val="0"/>
              <w:adjustRightInd w:val="0"/>
              <w:rPr>
                <w:b/>
                <w:bCs/>
                <w:sz w:val="18"/>
                <w:szCs w:val="18"/>
              </w:rPr>
            </w:pPr>
            <w:r w:rsidRPr="00E84D74">
              <w:rPr>
                <w:sz w:val="18"/>
                <w:szCs w:val="18"/>
              </w:rPr>
              <w:t xml:space="preserve">1. This Regulation shall apply to balancing zones within the borders of the </w:t>
            </w:r>
            <w:r w:rsidRPr="00E84D74">
              <w:rPr>
                <w:b/>
                <w:bCs/>
                <w:sz w:val="18"/>
                <w:szCs w:val="18"/>
              </w:rPr>
              <w:t>Energy Community</w:t>
            </w:r>
          </w:p>
          <w:p w:rsidR="00FD6C52" w:rsidRPr="00E84D74" w:rsidRDefault="00FD6C52" w:rsidP="00DA725A">
            <w:pPr>
              <w:autoSpaceDE w:val="0"/>
              <w:autoSpaceDN w:val="0"/>
              <w:adjustRightInd w:val="0"/>
              <w:rPr>
                <w:sz w:val="18"/>
                <w:szCs w:val="18"/>
              </w:rPr>
            </w:pPr>
            <w:r w:rsidRPr="00E84D74">
              <w:rPr>
                <w:b/>
                <w:bCs/>
                <w:sz w:val="18"/>
                <w:szCs w:val="18"/>
              </w:rPr>
              <w:t>Contracting Parties</w:t>
            </w:r>
            <w:r w:rsidRPr="00E84D74">
              <w:rPr>
                <w:sz w:val="18"/>
                <w:szCs w:val="18"/>
              </w:rPr>
              <w:t>.</w:t>
            </w:r>
          </w:p>
          <w:p w:rsidR="00FD6C52" w:rsidRPr="00E84D74" w:rsidRDefault="00FD6C52" w:rsidP="00DA725A">
            <w:pPr>
              <w:autoSpaceDE w:val="0"/>
              <w:autoSpaceDN w:val="0"/>
              <w:adjustRightInd w:val="0"/>
              <w:rPr>
                <w:b/>
                <w:bCs/>
                <w:sz w:val="18"/>
                <w:szCs w:val="18"/>
              </w:rPr>
            </w:pPr>
            <w:r w:rsidRPr="00E84D74">
              <w:rPr>
                <w:b/>
                <w:bCs/>
                <w:sz w:val="18"/>
                <w:szCs w:val="18"/>
              </w:rPr>
              <w:t>2. &lt;…&gt;</w:t>
            </w:r>
          </w:p>
          <w:p w:rsidR="00F377C0" w:rsidRPr="00E84D74" w:rsidRDefault="00F377C0" w:rsidP="00DA725A">
            <w:pPr>
              <w:autoSpaceDE w:val="0"/>
              <w:autoSpaceDN w:val="0"/>
              <w:adjustRightInd w:val="0"/>
              <w:rPr>
                <w:sz w:val="18"/>
                <w:szCs w:val="18"/>
              </w:rPr>
            </w:pPr>
          </w:p>
          <w:p w:rsidR="00C25BD8" w:rsidRDefault="00C25BD8" w:rsidP="00DA725A">
            <w:pPr>
              <w:autoSpaceDE w:val="0"/>
              <w:autoSpaceDN w:val="0"/>
              <w:adjustRightInd w:val="0"/>
              <w:rPr>
                <w:sz w:val="18"/>
                <w:szCs w:val="18"/>
              </w:rPr>
            </w:pPr>
          </w:p>
          <w:p w:rsidR="00FD6C52" w:rsidRPr="00E84D74" w:rsidRDefault="00FD6C52" w:rsidP="00DA725A">
            <w:pPr>
              <w:autoSpaceDE w:val="0"/>
              <w:autoSpaceDN w:val="0"/>
              <w:adjustRightInd w:val="0"/>
              <w:rPr>
                <w:sz w:val="18"/>
                <w:szCs w:val="18"/>
              </w:rPr>
            </w:pPr>
            <w:r w:rsidRPr="00E84D74">
              <w:rPr>
                <w:sz w:val="18"/>
                <w:szCs w:val="18"/>
              </w:rPr>
              <w:t>3. This Regulation shall not apply to reconciliation that would be necessary between the allocations</w:t>
            </w:r>
          </w:p>
          <w:p w:rsidR="00FD6C52" w:rsidRPr="00E84D74" w:rsidRDefault="00FD6C52" w:rsidP="00DA725A">
            <w:pPr>
              <w:autoSpaceDE w:val="0"/>
              <w:autoSpaceDN w:val="0"/>
              <w:adjustRightInd w:val="0"/>
              <w:rPr>
                <w:sz w:val="18"/>
                <w:szCs w:val="18"/>
              </w:rPr>
            </w:pPr>
            <w:r w:rsidRPr="00E84D74">
              <w:rPr>
                <w:sz w:val="18"/>
                <w:szCs w:val="18"/>
              </w:rPr>
              <w:t>and actual consumption subsequently derived from final customer meter readings when obtained.</w:t>
            </w:r>
          </w:p>
          <w:p w:rsidR="00F377C0" w:rsidRPr="00E84D74" w:rsidRDefault="00F377C0" w:rsidP="00DA725A">
            <w:pPr>
              <w:autoSpaceDE w:val="0"/>
              <w:autoSpaceDN w:val="0"/>
              <w:adjustRightInd w:val="0"/>
              <w:rPr>
                <w:sz w:val="18"/>
                <w:szCs w:val="18"/>
              </w:rPr>
            </w:pPr>
          </w:p>
          <w:p w:rsidR="00FD6C52" w:rsidRPr="00E84D74" w:rsidRDefault="00FD6C52" w:rsidP="00DA725A">
            <w:pPr>
              <w:autoSpaceDE w:val="0"/>
              <w:autoSpaceDN w:val="0"/>
              <w:adjustRightInd w:val="0"/>
              <w:rPr>
                <w:sz w:val="18"/>
                <w:szCs w:val="18"/>
              </w:rPr>
            </w:pPr>
            <w:r w:rsidRPr="00E84D74">
              <w:rPr>
                <w:sz w:val="18"/>
                <w:szCs w:val="18"/>
              </w:rPr>
              <w:t>4. This Regulation shall not apply in emergency situations where the transmission system operator</w:t>
            </w:r>
            <w:r w:rsidR="0024791A" w:rsidRPr="00E84D74">
              <w:rPr>
                <w:sz w:val="18"/>
                <w:szCs w:val="18"/>
              </w:rPr>
              <w:t xml:space="preserve"> </w:t>
            </w:r>
            <w:r w:rsidRPr="00E84D74">
              <w:rPr>
                <w:sz w:val="18"/>
                <w:szCs w:val="18"/>
              </w:rPr>
              <w:t xml:space="preserve">shall implement specific measures defined under the </w:t>
            </w:r>
            <w:r w:rsidRPr="00E84D74">
              <w:rPr>
                <w:sz w:val="18"/>
                <w:szCs w:val="18"/>
              </w:rPr>
              <w:lastRenderedPageBreak/>
              <w:t xml:space="preserve">applicable national rules and on the basis of </w:t>
            </w:r>
            <w:r w:rsidRPr="00E84D74">
              <w:rPr>
                <w:b/>
                <w:bCs/>
                <w:sz w:val="18"/>
                <w:szCs w:val="18"/>
              </w:rPr>
              <w:t>the</w:t>
            </w:r>
            <w:r w:rsidR="0024791A" w:rsidRPr="00E84D74">
              <w:rPr>
                <w:b/>
                <w:bCs/>
                <w:sz w:val="18"/>
                <w:szCs w:val="18"/>
              </w:rPr>
              <w:t xml:space="preserve"> </w:t>
            </w:r>
            <w:r w:rsidRPr="00E84D74">
              <w:rPr>
                <w:b/>
                <w:bCs/>
                <w:sz w:val="18"/>
                <w:szCs w:val="18"/>
              </w:rPr>
              <w:t>applicable Energy Community security of supply rules</w:t>
            </w:r>
            <w:r w:rsidRPr="00E84D74">
              <w:rPr>
                <w:sz w:val="18"/>
                <w:szCs w:val="18"/>
              </w:rPr>
              <w:t>, as appropriate.</w:t>
            </w:r>
          </w:p>
          <w:p w:rsidR="0024791A" w:rsidRPr="00E84D74" w:rsidRDefault="0024791A" w:rsidP="00DA725A">
            <w:pPr>
              <w:autoSpaceDE w:val="0"/>
              <w:autoSpaceDN w:val="0"/>
              <w:adjustRightInd w:val="0"/>
              <w:rPr>
                <w:sz w:val="18"/>
                <w:szCs w:val="18"/>
              </w:rPr>
            </w:pPr>
          </w:p>
          <w:p w:rsidR="00483237" w:rsidRPr="00E84D74" w:rsidRDefault="00FD6C52" w:rsidP="00DA725A">
            <w:pPr>
              <w:autoSpaceDE w:val="0"/>
              <w:autoSpaceDN w:val="0"/>
              <w:adjustRightInd w:val="0"/>
              <w:rPr>
                <w:rFonts w:ascii="FrutigerLT-Bold" w:hAnsi="FrutigerLT-Bold" w:cs="FrutigerLT-Bold"/>
                <w:b/>
                <w:bCs/>
                <w:sz w:val="18"/>
                <w:szCs w:val="18"/>
              </w:rPr>
            </w:pPr>
            <w:r w:rsidRPr="00E84D74">
              <w:rPr>
                <w:sz w:val="18"/>
                <w:szCs w:val="18"/>
              </w:rPr>
              <w:t>5. The respective rights and obligations originating from this Regulation with regard to network users shall only apply to those network users which have concluded a legally binding agreement, being a transport contract or another contract, which enables them to submit trade notifications in accordance with Article 5.</w:t>
            </w:r>
          </w:p>
        </w:tc>
      </w:tr>
      <w:tr w:rsidR="002D2707" w:rsidRPr="00043955" w:rsidTr="00FC3840">
        <w:trPr>
          <w:trHeight w:val="1240"/>
        </w:trPr>
        <w:tc>
          <w:tcPr>
            <w:tcW w:w="5245" w:type="dxa"/>
            <w:shd w:val="clear" w:color="auto" w:fill="auto"/>
          </w:tcPr>
          <w:p w:rsidR="002D2707" w:rsidRPr="00AF0E15" w:rsidRDefault="002D2707" w:rsidP="00DA725A">
            <w:pPr>
              <w:jc w:val="center"/>
              <w:textAlignment w:val="baseline"/>
              <w:rPr>
                <w:rFonts w:ascii="Segoe UI" w:hAnsi="Segoe UI" w:cs="Segoe UI"/>
                <w:sz w:val="18"/>
                <w:szCs w:val="18"/>
                <w:lang w:val="it-IT" w:eastAsia="en-US"/>
              </w:rPr>
            </w:pPr>
            <w:r w:rsidRPr="00AF0E15">
              <w:rPr>
                <w:b/>
                <w:bCs/>
                <w:sz w:val="18"/>
                <w:szCs w:val="18"/>
                <w:lang w:val="it-IT" w:eastAsia="en-US"/>
              </w:rPr>
              <w:lastRenderedPageBreak/>
              <w:t>Articolul 3</w:t>
            </w:r>
          </w:p>
          <w:p w:rsidR="002D2707" w:rsidRPr="00AF0E15" w:rsidRDefault="002D2707" w:rsidP="00DA725A">
            <w:pPr>
              <w:jc w:val="center"/>
              <w:textAlignment w:val="baseline"/>
              <w:rPr>
                <w:rFonts w:ascii="Segoe UI" w:hAnsi="Segoe UI" w:cs="Segoe UI"/>
                <w:sz w:val="18"/>
                <w:szCs w:val="18"/>
                <w:lang w:val="it-IT" w:eastAsia="en-US"/>
              </w:rPr>
            </w:pPr>
            <w:r w:rsidRPr="00AF0E15">
              <w:rPr>
                <w:b/>
                <w:bCs/>
                <w:sz w:val="18"/>
                <w:szCs w:val="18"/>
                <w:lang w:val="it-IT" w:eastAsia="en-US"/>
              </w:rPr>
              <w:t>Definiții</w:t>
            </w:r>
          </w:p>
          <w:p w:rsidR="002D2707" w:rsidRDefault="002D2707" w:rsidP="00DA725A">
            <w:pPr>
              <w:jc w:val="both"/>
              <w:textAlignment w:val="baseline"/>
              <w:rPr>
                <w:sz w:val="18"/>
                <w:szCs w:val="18"/>
                <w:lang w:val="it-IT" w:eastAsia="en-US"/>
              </w:rPr>
            </w:pPr>
            <w:r w:rsidRPr="00AF0E15">
              <w:rPr>
                <w:sz w:val="18"/>
                <w:szCs w:val="18"/>
                <w:lang w:val="it-IT" w:eastAsia="en-US"/>
              </w:rPr>
              <w:t>            În sensul prezentului regulament, se aplică definițiile de la articolul 2 din Regulamentul (CE) nr. 715/2009, cele de la articolul 3 din Regulamentul (UE) nr. 984/2013 al Comisiei din 14 octombrie 2013 de stabilire a unui cod al rețelei privind mecanismele de alocare a capacității în sistemele de transport al gazelor și de completare a Regulamentului (CE) nr. 715/2009 al Parlamentului European și al Consiliului (6), precum și cele de la articolul 2 din Directiva 2009/73/CE. De asemenea, se aplică următoarele definiții: </w:t>
            </w:r>
          </w:p>
          <w:p w:rsidR="00207150" w:rsidRPr="00AF0E15" w:rsidRDefault="00207150" w:rsidP="00DA725A">
            <w:pPr>
              <w:jc w:val="both"/>
              <w:textAlignment w:val="baseline"/>
              <w:rPr>
                <w:rFonts w:ascii="Segoe UI" w:hAnsi="Segoe UI" w:cs="Segoe UI"/>
                <w:sz w:val="18"/>
                <w:szCs w:val="18"/>
                <w:lang w:val="it-IT" w:eastAsia="en-US"/>
              </w:rPr>
            </w:pPr>
          </w:p>
          <w:p w:rsidR="002D2707" w:rsidRDefault="002D2707" w:rsidP="00DA725A">
            <w:pPr>
              <w:jc w:val="both"/>
              <w:textAlignment w:val="baseline"/>
              <w:rPr>
                <w:sz w:val="18"/>
                <w:szCs w:val="18"/>
                <w:lang w:val="it-IT" w:eastAsia="en-US"/>
              </w:rPr>
            </w:pPr>
            <w:r w:rsidRPr="00AF0E15">
              <w:rPr>
                <w:sz w:val="18"/>
                <w:szCs w:val="18"/>
                <w:lang w:val="it-IT" w:eastAsia="en-US"/>
              </w:rPr>
              <w:t>1.</w:t>
            </w:r>
            <w:r w:rsidRPr="00AF0E15">
              <w:rPr>
                <w:rFonts w:ascii="Calibri" w:hAnsi="Calibri" w:cs="Calibri"/>
                <w:sz w:val="18"/>
                <w:szCs w:val="18"/>
                <w:lang w:val="it-IT" w:eastAsia="en-US"/>
              </w:rPr>
              <w:t xml:space="preserve"> </w:t>
            </w:r>
            <w:r w:rsidRPr="00AF0E15">
              <w:rPr>
                <w:sz w:val="18"/>
                <w:szCs w:val="18"/>
                <w:lang w:val="it-IT" w:eastAsia="en-US"/>
              </w:rPr>
              <w:t>„zonă de echilibrare” înseamnă un sistem de intrare-ieșire căruia i se aplică un regim de echilibrare specific și care poate include sisteme de distribuție sau părți ale acestora; </w:t>
            </w:r>
          </w:p>
          <w:p w:rsidR="002D2707" w:rsidRDefault="002D2707" w:rsidP="00DA725A">
            <w:pPr>
              <w:jc w:val="both"/>
              <w:textAlignment w:val="baseline"/>
              <w:rPr>
                <w:sz w:val="18"/>
                <w:szCs w:val="18"/>
                <w:lang w:val="it-IT" w:eastAsia="en-US"/>
              </w:rPr>
            </w:pPr>
            <w:r w:rsidRPr="00AF0E15">
              <w:rPr>
                <w:sz w:val="18"/>
                <w:szCs w:val="18"/>
                <w:lang w:val="it-IT" w:eastAsia="en-US"/>
              </w:rPr>
              <w:t>2.</w:t>
            </w:r>
            <w:r w:rsidRPr="00AF0E15">
              <w:rPr>
                <w:rFonts w:ascii="Calibri" w:hAnsi="Calibri" w:cs="Calibri"/>
                <w:sz w:val="18"/>
                <w:szCs w:val="18"/>
                <w:lang w:val="it-IT" w:eastAsia="en-US"/>
              </w:rPr>
              <w:t xml:space="preserve"> </w:t>
            </w:r>
            <w:r w:rsidRPr="00AF0E15">
              <w:rPr>
                <w:sz w:val="18"/>
                <w:szCs w:val="18"/>
                <w:lang w:val="it-IT" w:eastAsia="en-US"/>
              </w:rPr>
              <w:t>„acțiune de echilibrare” înseamnă o acțiune întreprinsă de operatorul de sistem de transport în vederea schimbării fluxurilor de gaze intrate în rețeaua de transport sau ieșite din aceasta, cu excepția acțiunilor legate de gazul care nu figurează ca fiind ieșit din sistem și gazul utilizat de operatorul de sistem de transport pentru exploatarea sistemului;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3.</w:t>
            </w:r>
            <w:r w:rsidRPr="00AF0E15">
              <w:rPr>
                <w:rFonts w:ascii="Calibri" w:hAnsi="Calibri" w:cs="Calibri"/>
                <w:sz w:val="18"/>
                <w:szCs w:val="18"/>
                <w:lang w:val="it-IT" w:eastAsia="en-US"/>
              </w:rPr>
              <w:t xml:space="preserve"> </w:t>
            </w:r>
            <w:r w:rsidRPr="00AF0E15">
              <w:rPr>
                <w:sz w:val="18"/>
                <w:szCs w:val="18"/>
                <w:lang w:val="it-IT" w:eastAsia="en-US"/>
              </w:rPr>
              <w:t>„tarif de neutralitate pentru echilibrare” înseamnă tariful echivalent cu diferența dintre sumele primite sau de primit și sumele plătite sau de plătit de către operatorul de sistem de transport ca urmare a derulării activităților sale de echilibrare, care se plătește sau care se poate recupera de la utilizatorii relevanți ai rețelei;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2D2707" w:rsidRPr="00207150" w:rsidRDefault="002D2707" w:rsidP="00207150">
            <w:pPr>
              <w:pStyle w:val="ListParagraph"/>
              <w:numPr>
                <w:ilvl w:val="0"/>
                <w:numId w:val="49"/>
              </w:numPr>
              <w:jc w:val="both"/>
              <w:textAlignment w:val="baseline"/>
              <w:rPr>
                <w:sz w:val="18"/>
                <w:szCs w:val="18"/>
                <w:lang w:val="it-IT" w:eastAsia="en-US"/>
              </w:rPr>
            </w:pPr>
            <w:r w:rsidRPr="00207150">
              <w:rPr>
                <w:sz w:val="18"/>
                <w:szCs w:val="18"/>
                <w:lang w:val="it-IT" w:eastAsia="en-US"/>
              </w:rPr>
              <w:t>„platformă de tranzacționare” înseamnă o platformă electronică pusă la dispoziție și exploatată de un operator de platformă de tranzacționare, prin intermediul căreia participanții la tranzacționare pot introduce și accepta, incluzând dreptul de revizuire și de retragere, ofertele pentru gaz necesare pentru a răspunde fluctuațiilor pe termen scurt ale cererii sau ofertei de gaz, în conformitate cu termenii și condițiile aplicabile pe platforma de tranzacționare și conform cărora operatorul de sistem de transport realizează tranzacții în scopul desfășurării de acțiuni de echilibrare; </w:t>
            </w:r>
          </w:p>
          <w:p w:rsidR="00207150" w:rsidRDefault="00207150" w:rsidP="00207150">
            <w:pPr>
              <w:pStyle w:val="ListParagraph"/>
              <w:ind w:left="10"/>
              <w:jc w:val="both"/>
              <w:textAlignment w:val="baseline"/>
              <w:rPr>
                <w:rFonts w:ascii="Segoe UI" w:hAnsi="Segoe UI" w:cs="Segoe UI"/>
                <w:sz w:val="18"/>
                <w:szCs w:val="18"/>
                <w:lang w:val="it-IT" w:eastAsia="en-US"/>
              </w:rPr>
            </w:pPr>
          </w:p>
          <w:p w:rsidR="00BB39A6" w:rsidRPr="00207150" w:rsidRDefault="00BB39A6" w:rsidP="00207150">
            <w:pPr>
              <w:pStyle w:val="ListParagraph"/>
              <w:ind w:left="10"/>
              <w:jc w:val="both"/>
              <w:textAlignment w:val="baseline"/>
              <w:rPr>
                <w:rFonts w:ascii="Segoe UI" w:hAnsi="Segoe UI" w:cs="Segoe UI"/>
                <w:sz w:val="18"/>
                <w:szCs w:val="18"/>
                <w:lang w:val="it-IT" w:eastAsia="en-US"/>
              </w:rPr>
            </w:pPr>
          </w:p>
          <w:p w:rsidR="002D2707" w:rsidRDefault="002D2707" w:rsidP="00DA725A">
            <w:pPr>
              <w:jc w:val="both"/>
              <w:textAlignment w:val="baseline"/>
              <w:rPr>
                <w:sz w:val="18"/>
                <w:szCs w:val="18"/>
                <w:lang w:val="it-IT" w:eastAsia="en-US"/>
              </w:rPr>
            </w:pPr>
            <w:r w:rsidRPr="00AF0E15">
              <w:rPr>
                <w:sz w:val="18"/>
                <w:szCs w:val="18"/>
                <w:lang w:val="it-IT" w:eastAsia="en-US"/>
              </w:rPr>
              <w:t>5.</w:t>
            </w:r>
            <w:r w:rsidRPr="00AF0E15">
              <w:rPr>
                <w:rFonts w:ascii="Calibri" w:hAnsi="Calibri" w:cs="Calibri"/>
                <w:sz w:val="18"/>
                <w:szCs w:val="18"/>
                <w:lang w:val="it-IT" w:eastAsia="en-US"/>
              </w:rPr>
              <w:t xml:space="preserve"> </w:t>
            </w:r>
            <w:r w:rsidRPr="00AF0E15">
              <w:rPr>
                <w:sz w:val="18"/>
                <w:szCs w:val="18"/>
                <w:lang w:val="it-IT" w:eastAsia="en-US"/>
              </w:rPr>
              <w:t>„participant la tranzacționare” înseamnă un utilizator al rețelei sau un operator de sistem de transport care deține un contract cu operatorul platformei de tranzacționare și care îndeplinește condițiile necesare pentru a realiza tranzacții în cadrul platformei de tranzacționare; </w:t>
            </w:r>
          </w:p>
          <w:p w:rsidR="00207150" w:rsidRPr="00AF0E15" w:rsidRDefault="00207150" w:rsidP="00DA725A">
            <w:pPr>
              <w:jc w:val="both"/>
              <w:textAlignment w:val="baseline"/>
              <w:rPr>
                <w:rFonts w:ascii="Segoe UI" w:hAnsi="Segoe UI" w:cs="Segoe UI"/>
                <w:sz w:val="18"/>
                <w:szCs w:val="18"/>
                <w:lang w:val="it-IT" w:eastAsia="en-US"/>
              </w:rPr>
            </w:pP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6.</w:t>
            </w:r>
            <w:r w:rsidRPr="00AF0E15">
              <w:rPr>
                <w:rFonts w:ascii="Calibri" w:hAnsi="Calibri" w:cs="Calibri"/>
                <w:sz w:val="18"/>
                <w:szCs w:val="18"/>
                <w:lang w:val="it-IT" w:eastAsia="en-US"/>
              </w:rPr>
              <w:t xml:space="preserve"> </w:t>
            </w:r>
            <w:r w:rsidRPr="00AF0E15">
              <w:rPr>
                <w:sz w:val="18"/>
                <w:szCs w:val="18"/>
                <w:lang w:val="it-IT" w:eastAsia="en-US"/>
              </w:rPr>
              <w:t>„platformă de echilibrare” înseamnă o platformă de tranzacționare în cadrul căreia un operator de sistem de transport participă la toate tranzacțiile; </w:t>
            </w:r>
          </w:p>
          <w:p w:rsidR="002D2707" w:rsidRDefault="002D2707" w:rsidP="00DA725A">
            <w:pPr>
              <w:jc w:val="both"/>
              <w:textAlignment w:val="baseline"/>
              <w:rPr>
                <w:sz w:val="18"/>
                <w:szCs w:val="18"/>
                <w:lang w:val="it-IT" w:eastAsia="en-US"/>
              </w:rPr>
            </w:pPr>
            <w:r w:rsidRPr="00AF0E15">
              <w:rPr>
                <w:sz w:val="18"/>
                <w:szCs w:val="18"/>
                <w:lang w:val="it-IT" w:eastAsia="en-US"/>
              </w:rPr>
              <w:t>7.</w:t>
            </w:r>
            <w:r w:rsidRPr="00AF0E15">
              <w:rPr>
                <w:rFonts w:ascii="Calibri" w:hAnsi="Calibri" w:cs="Calibri"/>
                <w:sz w:val="18"/>
                <w:szCs w:val="18"/>
                <w:lang w:val="it-IT" w:eastAsia="en-US"/>
              </w:rPr>
              <w:t xml:space="preserve"> </w:t>
            </w:r>
            <w:r w:rsidRPr="00AF0E15">
              <w:rPr>
                <w:sz w:val="18"/>
                <w:szCs w:val="18"/>
                <w:lang w:val="it-IT" w:eastAsia="en-US"/>
              </w:rPr>
              <w:t>„serviciu de echilibrare” înseamnă un serviciu furnizat unui operator de sistem de transport prin intermediul unui contract în domeniul gazului, necesar pentru a acoperi fluctuațiile pe termen scurt ale cererii sau ofertei de gaz, care nu reprezintă un produs standardizat pe termen scurt; </w:t>
            </w:r>
          </w:p>
          <w:p w:rsidR="00BB39A6" w:rsidRPr="00AF0E15" w:rsidRDefault="00BB39A6" w:rsidP="00DA725A">
            <w:pPr>
              <w:jc w:val="both"/>
              <w:textAlignment w:val="baseline"/>
              <w:rPr>
                <w:rFonts w:ascii="Segoe UI" w:hAnsi="Segoe UI" w:cs="Segoe UI"/>
                <w:sz w:val="18"/>
                <w:szCs w:val="18"/>
                <w:lang w:val="it-IT" w:eastAsia="en-US"/>
              </w:rPr>
            </w:pP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8.</w:t>
            </w:r>
            <w:r w:rsidRPr="00AF0E15">
              <w:rPr>
                <w:rFonts w:ascii="Calibri" w:hAnsi="Calibri" w:cs="Calibri"/>
                <w:sz w:val="18"/>
                <w:szCs w:val="18"/>
                <w:lang w:val="it-IT" w:eastAsia="en-US"/>
              </w:rPr>
              <w:t xml:space="preserve"> </w:t>
            </w:r>
            <w:r w:rsidRPr="00AF0E15">
              <w:rPr>
                <w:sz w:val="18"/>
                <w:szCs w:val="18"/>
                <w:lang w:val="it-IT" w:eastAsia="en-US"/>
              </w:rPr>
              <w:t>„cantitate confirmată” înseamnă cantitatea de gaz confirmată de către un operator de sistem de transport pentru a fi programată sau reprogramată să fie livrată în ziua gazieră Z;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9.</w:t>
            </w:r>
            <w:r w:rsidRPr="00AF0E15">
              <w:rPr>
                <w:rFonts w:ascii="Calibri" w:hAnsi="Calibri" w:cs="Calibri"/>
                <w:sz w:val="18"/>
                <w:szCs w:val="18"/>
                <w:lang w:val="it-IT" w:eastAsia="en-US"/>
              </w:rPr>
              <w:t xml:space="preserve"> </w:t>
            </w:r>
            <w:r w:rsidRPr="00AF0E15">
              <w:rPr>
                <w:sz w:val="18"/>
                <w:szCs w:val="18"/>
                <w:lang w:val="it-IT" w:eastAsia="en-US"/>
              </w:rPr>
              <w:t>„tarif de dezechilibru zilnic” înseamnă suma de bani pe care un utilizator al rețelei o plătește sau o primește cu privire la cantitatea de dezechilibru zilnic; </w:t>
            </w:r>
          </w:p>
          <w:p w:rsidR="002D2707" w:rsidRDefault="002D2707" w:rsidP="00DA725A">
            <w:pPr>
              <w:jc w:val="both"/>
              <w:textAlignment w:val="baseline"/>
              <w:rPr>
                <w:sz w:val="18"/>
                <w:szCs w:val="18"/>
                <w:lang w:val="it-IT" w:eastAsia="en-US"/>
              </w:rPr>
            </w:pPr>
            <w:r w:rsidRPr="00AF0E15">
              <w:rPr>
                <w:sz w:val="18"/>
                <w:szCs w:val="18"/>
                <w:lang w:val="it-IT" w:eastAsia="en-US"/>
              </w:rPr>
              <w:t>10.</w:t>
            </w:r>
            <w:r w:rsidRPr="00AF0E15">
              <w:rPr>
                <w:rFonts w:ascii="Calibri" w:hAnsi="Calibri" w:cs="Calibri"/>
                <w:sz w:val="18"/>
                <w:szCs w:val="18"/>
                <w:lang w:val="it-IT" w:eastAsia="en-US"/>
              </w:rPr>
              <w:t xml:space="preserve"> </w:t>
            </w:r>
            <w:r w:rsidRPr="00AF0E15">
              <w:rPr>
                <w:sz w:val="18"/>
                <w:szCs w:val="18"/>
                <w:lang w:val="it-IT" w:eastAsia="en-US"/>
              </w:rPr>
              <w:t>„contorizată zilnic” înseamnă că o cantitate de gaz este măsurată și colectată o singură dată pe zi gazieră; </w:t>
            </w:r>
          </w:p>
          <w:p w:rsidR="00911150" w:rsidRPr="00AF0E15" w:rsidRDefault="00911150" w:rsidP="00DA725A">
            <w:pPr>
              <w:jc w:val="both"/>
              <w:textAlignment w:val="baseline"/>
              <w:rPr>
                <w:rFonts w:ascii="Segoe UI" w:hAnsi="Segoe UI" w:cs="Segoe UI"/>
                <w:sz w:val="18"/>
                <w:szCs w:val="18"/>
                <w:lang w:val="it-IT" w:eastAsia="en-US"/>
              </w:rPr>
            </w:pPr>
          </w:p>
          <w:p w:rsidR="00207150" w:rsidRDefault="002D2707" w:rsidP="00DA725A">
            <w:pPr>
              <w:jc w:val="both"/>
              <w:textAlignment w:val="baseline"/>
              <w:rPr>
                <w:sz w:val="18"/>
                <w:szCs w:val="18"/>
                <w:lang w:val="it-IT" w:eastAsia="en-US"/>
              </w:rPr>
            </w:pPr>
            <w:r w:rsidRPr="00AF0E15">
              <w:rPr>
                <w:sz w:val="18"/>
                <w:szCs w:val="18"/>
                <w:lang w:val="it-IT" w:eastAsia="en-US"/>
              </w:rPr>
              <w:t> 11.</w:t>
            </w:r>
            <w:r w:rsidRPr="00AF0E15">
              <w:rPr>
                <w:rFonts w:ascii="Calibri" w:hAnsi="Calibri" w:cs="Calibri"/>
                <w:sz w:val="18"/>
                <w:szCs w:val="18"/>
                <w:lang w:val="it-IT" w:eastAsia="en-US"/>
              </w:rPr>
              <w:t xml:space="preserve"> </w:t>
            </w:r>
            <w:r w:rsidRPr="00AF0E15">
              <w:rPr>
                <w:sz w:val="18"/>
                <w:szCs w:val="18"/>
                <w:lang w:val="it-IT" w:eastAsia="en-US"/>
              </w:rPr>
              <w:t>„contorizată pe parcursul zilei” înseamnă că o cantitate de gaz este măsurată și colectată de cel puțin două ori pe durata unei zile gaziere</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12.</w:t>
            </w:r>
            <w:r w:rsidRPr="00AF0E15">
              <w:rPr>
                <w:rFonts w:ascii="Calibri" w:hAnsi="Calibri" w:cs="Calibri"/>
                <w:sz w:val="18"/>
                <w:szCs w:val="18"/>
                <w:lang w:val="it-IT" w:eastAsia="en-US"/>
              </w:rPr>
              <w:t xml:space="preserve"> </w:t>
            </w:r>
            <w:r w:rsidRPr="00AF0E15">
              <w:rPr>
                <w:sz w:val="18"/>
                <w:szCs w:val="18"/>
                <w:lang w:val="it-IT" w:eastAsia="en-US"/>
              </w:rPr>
              <w:t>„contorizată cu o frecvență care nu este zilnică” înseamnă că o cantitate de gaz este măsurată și colectată de mai puțin de o dată pe zi gazieră;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13.</w:t>
            </w:r>
            <w:r w:rsidRPr="00AF0E15">
              <w:rPr>
                <w:rFonts w:ascii="Calibri" w:hAnsi="Calibri" w:cs="Calibri"/>
                <w:sz w:val="18"/>
                <w:szCs w:val="18"/>
                <w:lang w:val="it-IT" w:eastAsia="en-US"/>
              </w:rPr>
              <w:t xml:space="preserve"> </w:t>
            </w:r>
            <w:r w:rsidRPr="00AF0E15">
              <w:rPr>
                <w:sz w:val="18"/>
                <w:szCs w:val="18"/>
                <w:lang w:val="it-IT" w:eastAsia="en-US"/>
              </w:rPr>
              <w:t>„portofoliu de echilibrare” înseamnă o grupare de intrări și ieșiri aparținând unui utilizator al rețelei;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14.</w:t>
            </w:r>
            <w:r w:rsidRPr="00AF0E15">
              <w:rPr>
                <w:rFonts w:ascii="Calibri" w:hAnsi="Calibri" w:cs="Calibri"/>
                <w:sz w:val="18"/>
                <w:szCs w:val="18"/>
                <w:lang w:val="it-IT" w:eastAsia="en-US"/>
              </w:rPr>
              <w:t xml:space="preserve"> </w:t>
            </w:r>
            <w:r w:rsidRPr="00AF0E15">
              <w:rPr>
                <w:sz w:val="18"/>
                <w:szCs w:val="18"/>
                <w:lang w:val="it-IT" w:eastAsia="en-US"/>
              </w:rPr>
              <w:t>„volum de notificare” înseamnă cantitatea de gaz transferată între un operator de sistem de transport și unul sau mai mulți utilizatori ai rețelei ori între portofolii de echilibrare, după caz;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15.</w:t>
            </w:r>
            <w:r w:rsidRPr="00AF0E15">
              <w:rPr>
                <w:rFonts w:ascii="Calibri" w:hAnsi="Calibri" w:cs="Calibri"/>
                <w:sz w:val="18"/>
                <w:szCs w:val="18"/>
                <w:lang w:val="it-IT" w:eastAsia="en-US"/>
              </w:rPr>
              <w:t xml:space="preserve"> </w:t>
            </w:r>
            <w:r w:rsidRPr="00AF0E15">
              <w:rPr>
                <w:sz w:val="18"/>
                <w:szCs w:val="18"/>
                <w:lang w:val="it-IT" w:eastAsia="en-US"/>
              </w:rPr>
              <w:t>„alocare” înseamnă cantitatea de gaz atribuită unui utilizator al rețelei de un operator de sistem de transport, sub formă de intrare sau ieșire exprimată în kWh, în scopul stabilirii cantității de dezechilibru zilnic; </w:t>
            </w:r>
          </w:p>
          <w:p w:rsidR="002D2707" w:rsidRDefault="002D2707" w:rsidP="00DA725A">
            <w:pPr>
              <w:jc w:val="both"/>
              <w:textAlignment w:val="baseline"/>
              <w:rPr>
                <w:sz w:val="18"/>
                <w:szCs w:val="18"/>
                <w:lang w:val="it-IT" w:eastAsia="en-US"/>
              </w:rPr>
            </w:pPr>
            <w:r w:rsidRPr="00AF0E15">
              <w:rPr>
                <w:sz w:val="18"/>
                <w:szCs w:val="18"/>
                <w:lang w:val="it-IT" w:eastAsia="en-US"/>
              </w:rPr>
              <w:t>16.</w:t>
            </w:r>
            <w:r w:rsidRPr="00AF0E15">
              <w:rPr>
                <w:rFonts w:ascii="Calibri" w:hAnsi="Calibri" w:cs="Calibri"/>
                <w:sz w:val="18"/>
                <w:szCs w:val="18"/>
                <w:lang w:val="it-IT" w:eastAsia="en-US"/>
              </w:rPr>
              <w:t xml:space="preserve"> </w:t>
            </w:r>
            <w:r w:rsidRPr="00AF0E15">
              <w:rPr>
                <w:sz w:val="18"/>
                <w:szCs w:val="18"/>
                <w:lang w:val="it-IT" w:eastAsia="en-US"/>
              </w:rPr>
              <w:t>„ciclu de renominalizare” înseamnă procesul derulat de către operatorul de sistem de transport pentru a furniza unui utilizator al rețelei mesajul referitor la cantitățile confirmate ca urmare a primirii unei renominalizări; </w:t>
            </w:r>
          </w:p>
          <w:p w:rsidR="00207150" w:rsidRDefault="00207150" w:rsidP="00DA725A">
            <w:pPr>
              <w:jc w:val="both"/>
              <w:textAlignment w:val="baseline"/>
              <w:rPr>
                <w:rFonts w:ascii="Segoe UI" w:hAnsi="Segoe UI" w:cs="Segoe UI"/>
                <w:sz w:val="18"/>
                <w:szCs w:val="18"/>
                <w:lang w:val="it-IT" w:eastAsia="en-US"/>
              </w:rPr>
            </w:pPr>
          </w:p>
          <w:p w:rsidR="00207150" w:rsidRPr="00AF0E15" w:rsidRDefault="00207150" w:rsidP="00DA725A">
            <w:pPr>
              <w:jc w:val="both"/>
              <w:textAlignment w:val="baseline"/>
              <w:rPr>
                <w:rFonts w:ascii="Segoe UI" w:hAnsi="Segoe UI" w:cs="Segoe UI"/>
                <w:sz w:val="18"/>
                <w:szCs w:val="18"/>
                <w:lang w:val="it-IT" w:eastAsia="en-US"/>
              </w:rPr>
            </w:pP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17.</w:t>
            </w:r>
            <w:r w:rsidRPr="00AF0E15">
              <w:rPr>
                <w:rFonts w:ascii="Calibri" w:hAnsi="Calibri" w:cs="Calibri"/>
                <w:sz w:val="18"/>
                <w:szCs w:val="18"/>
                <w:lang w:val="it-IT" w:eastAsia="en-US"/>
              </w:rPr>
              <w:t xml:space="preserve"> </w:t>
            </w:r>
            <w:r w:rsidRPr="00AF0E15">
              <w:rPr>
                <w:sz w:val="18"/>
                <w:szCs w:val="18"/>
                <w:lang w:val="it-IT" w:eastAsia="en-US"/>
              </w:rPr>
              <w:t>„tarif în cursul zilei” înseamnă un tarif perceput sau o plată efectuată de un operator de sistem de transport de la sau către un utilizator al rețelei ca rezultat al unei obligații în cursul zilei;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18.</w:t>
            </w:r>
            <w:r w:rsidRPr="00AF0E15">
              <w:rPr>
                <w:rFonts w:ascii="Calibri" w:hAnsi="Calibri" w:cs="Calibri"/>
                <w:sz w:val="18"/>
                <w:szCs w:val="18"/>
                <w:lang w:val="it-IT" w:eastAsia="en-US"/>
              </w:rPr>
              <w:t xml:space="preserve"> </w:t>
            </w:r>
            <w:r w:rsidRPr="00AF0E15">
              <w:rPr>
                <w:sz w:val="18"/>
                <w:szCs w:val="18"/>
                <w:lang w:val="it-IT" w:eastAsia="en-US"/>
              </w:rPr>
              <w:t>„obligație în cursul zilei” înseamnă un set de norme privind intrările și ieșirile utilizatorilor rețelei în cursul zilei gaziere, impuse utilizatorilor rețelei de către un operator de sistem de transport;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19.</w:t>
            </w:r>
            <w:r w:rsidRPr="00AF0E15">
              <w:rPr>
                <w:rFonts w:ascii="Calibri" w:hAnsi="Calibri" w:cs="Calibri"/>
                <w:sz w:val="18"/>
                <w:szCs w:val="18"/>
                <w:lang w:val="it-IT" w:eastAsia="en-US"/>
              </w:rPr>
              <w:t xml:space="preserve"> </w:t>
            </w:r>
            <w:r w:rsidRPr="00AF0E15">
              <w:rPr>
                <w:sz w:val="18"/>
                <w:szCs w:val="18"/>
                <w:lang w:val="it-IT" w:eastAsia="en-US"/>
              </w:rPr>
              <w:t>„scenariu de referință” înseamnă modelul de furnizare de informații conform căruia informațiile privind ieșirile contorizate cu o frecvență care nu este zilnică constau din prognoze pentru ziua următoare și pentru ziua în curs; </w:t>
            </w:r>
          </w:p>
          <w:p w:rsidR="002D2707" w:rsidRPr="00AF0E15" w:rsidRDefault="002D2707" w:rsidP="00DA725A">
            <w:pPr>
              <w:jc w:val="both"/>
              <w:textAlignment w:val="baseline"/>
              <w:rPr>
                <w:sz w:val="18"/>
                <w:szCs w:val="18"/>
                <w:lang w:val="it-IT" w:eastAsia="en-US"/>
              </w:rPr>
            </w:pPr>
            <w:r w:rsidRPr="00AF0E15">
              <w:rPr>
                <w:sz w:val="18"/>
                <w:szCs w:val="18"/>
                <w:lang w:val="it-IT" w:eastAsia="en-US"/>
              </w:rPr>
              <w:t>20.</w:t>
            </w:r>
            <w:r w:rsidRPr="00AF0E15">
              <w:rPr>
                <w:rFonts w:ascii="Calibri" w:hAnsi="Calibri" w:cs="Calibri"/>
                <w:sz w:val="18"/>
                <w:szCs w:val="18"/>
                <w:lang w:val="it-IT" w:eastAsia="en-US"/>
              </w:rPr>
              <w:t xml:space="preserve"> </w:t>
            </w:r>
            <w:r w:rsidRPr="00AF0E15">
              <w:rPr>
                <w:sz w:val="18"/>
                <w:szCs w:val="18"/>
                <w:lang w:val="it-IT" w:eastAsia="en-US"/>
              </w:rPr>
              <w:t>„varianta 1” înseamnă modelul de furnizare de informații conform căruia informațiile privind ieșirile contorizate cu o frecvență zilnică și cu o frecvență care nu este zilnică se bazează pe repartizarea fluxurilor contorizate în cursul zilei gaziere;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21.</w:t>
            </w:r>
            <w:r w:rsidRPr="00AF0E15">
              <w:rPr>
                <w:rFonts w:ascii="Calibri" w:hAnsi="Calibri" w:cs="Calibri"/>
                <w:sz w:val="18"/>
                <w:szCs w:val="18"/>
                <w:lang w:val="it-IT" w:eastAsia="en-US"/>
              </w:rPr>
              <w:t xml:space="preserve"> </w:t>
            </w:r>
            <w:r w:rsidRPr="00AF0E15">
              <w:rPr>
                <w:sz w:val="18"/>
                <w:szCs w:val="18"/>
                <w:lang w:val="it-IT" w:eastAsia="en-US"/>
              </w:rPr>
              <w:t>„varianta 2” înseamnă modelul de furnizare de informații conform căruia informațiile privind ieșirile contorizate cu o frecvență care nu este zilnică constituie prognoza pentru ziua următoare.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2D2707" w:rsidRPr="00AF0E15" w:rsidRDefault="002D2707" w:rsidP="00DA725A">
            <w:pPr>
              <w:jc w:val="center"/>
              <w:textAlignment w:val="baseline"/>
              <w:rPr>
                <w:b/>
                <w:bCs/>
                <w:sz w:val="18"/>
                <w:szCs w:val="18"/>
                <w:lang w:val="it-IT" w:eastAsia="en-US"/>
              </w:rPr>
            </w:pPr>
          </w:p>
        </w:tc>
        <w:tc>
          <w:tcPr>
            <w:tcW w:w="4962" w:type="dxa"/>
            <w:shd w:val="clear" w:color="auto" w:fill="auto"/>
          </w:tcPr>
          <w:p w:rsidR="009D4C0C" w:rsidRDefault="009D4C0C" w:rsidP="00DA725A">
            <w:pPr>
              <w:rPr>
                <w:lang w:val="it-IT"/>
              </w:rPr>
            </w:pPr>
          </w:p>
          <w:p w:rsidR="008558D1" w:rsidRDefault="008558D1" w:rsidP="00DA725A">
            <w:pPr>
              <w:jc w:val="both"/>
              <w:textAlignment w:val="baseline"/>
              <w:rPr>
                <w:sz w:val="18"/>
                <w:szCs w:val="18"/>
                <w:lang w:val="ro-MD" w:eastAsia="en-US"/>
              </w:rPr>
            </w:pPr>
          </w:p>
          <w:p w:rsidR="008558D1" w:rsidRDefault="008558D1" w:rsidP="00DA725A">
            <w:pPr>
              <w:jc w:val="both"/>
              <w:textAlignment w:val="baseline"/>
              <w:rPr>
                <w:sz w:val="18"/>
                <w:szCs w:val="18"/>
                <w:lang w:val="ro-MD" w:eastAsia="en-US"/>
              </w:rPr>
            </w:pPr>
          </w:p>
          <w:p w:rsidR="008558D1" w:rsidRDefault="008558D1" w:rsidP="00DA725A">
            <w:pPr>
              <w:jc w:val="both"/>
              <w:textAlignment w:val="baseline"/>
              <w:rPr>
                <w:sz w:val="18"/>
                <w:szCs w:val="18"/>
                <w:lang w:val="ro-MD" w:eastAsia="en-US"/>
              </w:rPr>
            </w:pPr>
          </w:p>
          <w:p w:rsidR="00996079" w:rsidRDefault="00996079" w:rsidP="00DA725A">
            <w:pPr>
              <w:jc w:val="both"/>
              <w:textAlignment w:val="baseline"/>
              <w:rPr>
                <w:sz w:val="18"/>
                <w:szCs w:val="18"/>
                <w:lang w:val="ro-MD" w:eastAsia="en-US"/>
              </w:rPr>
            </w:pPr>
            <w:r w:rsidRPr="00BE464B">
              <w:rPr>
                <w:sz w:val="18"/>
                <w:szCs w:val="18"/>
                <w:lang w:val="ro-MD" w:eastAsia="en-US"/>
              </w:rPr>
              <w:t>  </w:t>
            </w:r>
          </w:p>
          <w:p w:rsidR="00207150" w:rsidRDefault="00207150" w:rsidP="00DA725A">
            <w:pPr>
              <w:jc w:val="both"/>
              <w:textAlignment w:val="baseline"/>
              <w:rPr>
                <w:sz w:val="18"/>
                <w:szCs w:val="18"/>
                <w:lang w:val="ro-MD" w:eastAsia="en-US"/>
              </w:rPr>
            </w:pPr>
          </w:p>
          <w:p w:rsidR="00207150" w:rsidRDefault="00207150" w:rsidP="00DA725A">
            <w:pPr>
              <w:jc w:val="both"/>
              <w:textAlignment w:val="baseline"/>
              <w:rPr>
                <w:sz w:val="18"/>
                <w:szCs w:val="18"/>
                <w:lang w:val="ro-MD" w:eastAsia="en-US"/>
              </w:rPr>
            </w:pPr>
          </w:p>
          <w:p w:rsidR="00207150" w:rsidRDefault="00207150" w:rsidP="00DA725A">
            <w:pPr>
              <w:jc w:val="both"/>
              <w:textAlignment w:val="baseline"/>
              <w:rPr>
                <w:sz w:val="18"/>
                <w:szCs w:val="18"/>
                <w:lang w:val="ro-MD" w:eastAsia="en-US"/>
              </w:rPr>
            </w:pPr>
          </w:p>
          <w:p w:rsidR="00207150" w:rsidRDefault="00207150" w:rsidP="00DA725A">
            <w:pPr>
              <w:jc w:val="both"/>
              <w:textAlignment w:val="baseline"/>
              <w:rPr>
                <w:sz w:val="18"/>
                <w:szCs w:val="18"/>
                <w:lang w:val="ro-MD" w:eastAsia="en-US"/>
              </w:rPr>
            </w:pPr>
          </w:p>
          <w:p w:rsidR="00207150" w:rsidRPr="004F7539" w:rsidRDefault="00207150" w:rsidP="00DA725A">
            <w:pPr>
              <w:jc w:val="both"/>
              <w:textAlignment w:val="baseline"/>
              <w:rPr>
                <w:rFonts w:ascii="Segoe UI" w:hAnsi="Segoe UI" w:cs="Segoe UI"/>
                <w:sz w:val="18"/>
                <w:szCs w:val="18"/>
                <w:lang w:val="ro-MD" w:eastAsia="en-US"/>
              </w:rPr>
            </w:pPr>
          </w:p>
          <w:p w:rsidR="00996079" w:rsidRDefault="00996079" w:rsidP="00DA725A">
            <w:pPr>
              <w:jc w:val="both"/>
              <w:textAlignment w:val="baseline"/>
              <w:rPr>
                <w:sz w:val="18"/>
                <w:szCs w:val="18"/>
                <w:lang w:val="it-IT" w:eastAsia="en-US"/>
              </w:rPr>
            </w:pPr>
            <w:r w:rsidRPr="00BE464B">
              <w:rPr>
                <w:sz w:val="18"/>
                <w:szCs w:val="18"/>
                <w:lang w:val="ro-MD" w:eastAsia="en-US"/>
              </w:rPr>
              <w:t>  </w:t>
            </w:r>
            <w:r w:rsidRPr="00BE464B">
              <w:rPr>
                <w:b/>
                <w:bCs/>
                <w:sz w:val="18"/>
                <w:szCs w:val="18"/>
                <w:lang w:val="ro-MD" w:eastAsia="en-US"/>
              </w:rPr>
              <w:t>      zonă de echilibrare</w:t>
            </w:r>
            <w:r w:rsidRPr="00BE464B">
              <w:rPr>
                <w:sz w:val="18"/>
                <w:szCs w:val="18"/>
                <w:lang w:val="ro-MD" w:eastAsia="en-US"/>
              </w:rPr>
              <w:t xml:space="preserve"> – sistem de intrare-ieșire căruia i se aplică un regim de echilibrare specific și care poate include sisteme de distribuție sau părți ale acestora</w:t>
            </w:r>
            <w:r w:rsidRPr="00AF0E15">
              <w:rPr>
                <w:sz w:val="18"/>
                <w:szCs w:val="18"/>
                <w:lang w:val="it-IT" w:eastAsia="en-US"/>
              </w:rPr>
              <w:t> </w:t>
            </w:r>
          </w:p>
          <w:p w:rsidR="00207150" w:rsidRDefault="00207150"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ro-MD" w:eastAsia="en-US"/>
              </w:rPr>
            </w:pPr>
            <w:r w:rsidRPr="00BE464B">
              <w:rPr>
                <w:b/>
                <w:bCs/>
                <w:sz w:val="18"/>
                <w:szCs w:val="18"/>
                <w:lang w:val="ro-MD" w:eastAsia="en-US"/>
              </w:rPr>
              <w:t xml:space="preserve"> acțiune de echilibrare</w:t>
            </w:r>
            <w:r w:rsidRPr="00BE464B">
              <w:rPr>
                <w:sz w:val="18"/>
                <w:szCs w:val="18"/>
                <w:lang w:val="ro-MD" w:eastAsia="en-US"/>
              </w:rPr>
              <w:t xml:space="preserve"> – acțiune întreprinsă de OST în vederea schimbării fluxurilor de gaze intrate în rețeaua de transport sau ieșite din aceasta, cu excepția acțiunilor legate de gazul care nu figurează ca fiind ieșit din sistem și gazul utilizat de OST pentru exploatarea sistemului;</w:t>
            </w:r>
            <w:r w:rsidRPr="00AF0E15">
              <w:rPr>
                <w:sz w:val="18"/>
                <w:szCs w:val="18"/>
                <w:lang w:val="ro-MD" w:eastAsia="en-US"/>
              </w:rPr>
              <w:t> </w:t>
            </w:r>
          </w:p>
          <w:p w:rsidR="00207150" w:rsidRDefault="00207150" w:rsidP="00DA725A">
            <w:pPr>
              <w:jc w:val="both"/>
              <w:textAlignment w:val="baseline"/>
              <w:rPr>
                <w:rFonts w:ascii="Segoe UI" w:hAnsi="Segoe UI" w:cs="Segoe UI"/>
                <w:sz w:val="18"/>
                <w:szCs w:val="18"/>
                <w:lang w:val="ro-MD" w:eastAsia="en-US"/>
              </w:rPr>
            </w:pPr>
          </w:p>
          <w:p w:rsidR="00996079" w:rsidRDefault="00996079" w:rsidP="00DA725A">
            <w:pPr>
              <w:jc w:val="both"/>
              <w:textAlignment w:val="baseline"/>
              <w:rPr>
                <w:sz w:val="18"/>
                <w:szCs w:val="18"/>
                <w:lang w:val="it-IT" w:eastAsia="en-US"/>
              </w:rPr>
            </w:pPr>
            <w:r w:rsidRPr="00AF0E15">
              <w:rPr>
                <w:sz w:val="18"/>
                <w:szCs w:val="18"/>
                <w:lang w:val="ro-MD" w:eastAsia="en-US"/>
              </w:rPr>
              <w:t> </w:t>
            </w:r>
            <w:r w:rsidRPr="00BE464B">
              <w:rPr>
                <w:b/>
                <w:bCs/>
                <w:sz w:val="18"/>
                <w:szCs w:val="18"/>
                <w:lang w:val="ro-MD" w:eastAsia="en-US"/>
              </w:rPr>
              <w:t>plata pentru neutralitate pentru echilibrare</w:t>
            </w:r>
            <w:r w:rsidRPr="00BE464B">
              <w:rPr>
                <w:sz w:val="18"/>
                <w:szCs w:val="18"/>
                <w:lang w:val="ro-MD" w:eastAsia="en-US"/>
              </w:rPr>
              <w:t xml:space="preserve"> – tariful echivalent cu diferența dintre sumele primite sau de primit și sumele plătite sau de plătit de către OST ca urmare a derulării activităților sale de echilibrare, care se plătește sau care se poate recupera de la utilizatorii relevanți de sistem;</w:t>
            </w:r>
            <w:r w:rsidRPr="00AF0E15">
              <w:rPr>
                <w:sz w:val="18"/>
                <w:szCs w:val="18"/>
                <w:lang w:val="it-IT" w:eastAsia="en-US"/>
              </w:rPr>
              <w:t> </w:t>
            </w:r>
          </w:p>
          <w:p w:rsidR="00BB39A6" w:rsidRPr="00AF0E15" w:rsidRDefault="00BB39A6"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BE464B">
              <w:rPr>
                <w:b/>
                <w:bCs/>
                <w:sz w:val="18"/>
                <w:szCs w:val="18"/>
                <w:lang w:val="ro-MD" w:eastAsia="en-US"/>
              </w:rPr>
              <w:t>platformă de tranzacționare</w:t>
            </w:r>
            <w:r w:rsidRPr="00BE464B">
              <w:rPr>
                <w:sz w:val="18"/>
                <w:szCs w:val="18"/>
                <w:lang w:val="ro-MD" w:eastAsia="en-US"/>
              </w:rPr>
              <w:t xml:space="preserve"> – platformă electronică pusă la dispoziție și exploatată de un operator de platformă de tranzacționare, prin intermediul căreia participanții la tranzacționare pot introduce și accepta, incluzând dreptul de revizuire și de retragere, ofertele pentru gaz necesare pentru a răspunde fluctuațiilor pe termen scurt ale cererii sau ofertei de gaz, în conformitate cu termenii și condițiile aplicabile pe platforma de tranzacționare și conform cărora OST realizează tranzacții în scopul desfășurării de acțiuni de echilibrare;</w:t>
            </w:r>
            <w:r w:rsidRPr="00AF0E15">
              <w:rPr>
                <w:sz w:val="18"/>
                <w:szCs w:val="18"/>
                <w:lang w:val="it-IT" w:eastAsia="en-US"/>
              </w:rPr>
              <w:t> </w:t>
            </w:r>
          </w:p>
          <w:p w:rsidR="00207150" w:rsidRPr="00AF0E15" w:rsidRDefault="00207150" w:rsidP="00DA725A">
            <w:pPr>
              <w:jc w:val="both"/>
              <w:textAlignment w:val="baseline"/>
              <w:rPr>
                <w:rFonts w:ascii="Segoe UI" w:hAnsi="Segoe UI" w:cs="Segoe UI"/>
                <w:sz w:val="18"/>
                <w:szCs w:val="18"/>
                <w:lang w:val="it-IT" w:eastAsia="en-US"/>
              </w:rPr>
            </w:pPr>
          </w:p>
          <w:p w:rsidR="00207150" w:rsidRDefault="00996079" w:rsidP="00DA725A">
            <w:pPr>
              <w:jc w:val="both"/>
              <w:textAlignment w:val="baseline"/>
              <w:rPr>
                <w:sz w:val="18"/>
                <w:szCs w:val="18"/>
                <w:lang w:val="ro-MD" w:eastAsia="en-US"/>
              </w:rPr>
            </w:pPr>
            <w:r w:rsidRPr="00BE464B">
              <w:rPr>
                <w:b/>
                <w:bCs/>
                <w:sz w:val="18"/>
                <w:szCs w:val="18"/>
                <w:lang w:val="ro-MD" w:eastAsia="en-US"/>
              </w:rPr>
              <w:t>participant la tranzacționare</w:t>
            </w:r>
            <w:r w:rsidRPr="00BE464B">
              <w:rPr>
                <w:sz w:val="18"/>
                <w:szCs w:val="18"/>
                <w:lang w:val="ro-MD" w:eastAsia="en-US"/>
              </w:rPr>
              <w:t xml:space="preserve"> – utilizator de sistem sau un OST care deține un contract cu operatorul platformei de tranzacționare și care îndeplinește condițiile necesare pentru a realiza tranzacții în cadrul platformei de tranzacționare;</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996079" w:rsidRDefault="00996079" w:rsidP="00DA725A">
            <w:pPr>
              <w:jc w:val="both"/>
              <w:textAlignment w:val="baseline"/>
              <w:rPr>
                <w:sz w:val="18"/>
                <w:szCs w:val="18"/>
                <w:lang w:val="it-IT" w:eastAsia="en-US"/>
              </w:rPr>
            </w:pPr>
            <w:r w:rsidRPr="00BE464B">
              <w:rPr>
                <w:b/>
                <w:bCs/>
                <w:sz w:val="18"/>
                <w:szCs w:val="18"/>
                <w:lang w:val="ro-MD" w:eastAsia="en-US"/>
              </w:rPr>
              <w:t>  platformă de echilibrare</w:t>
            </w:r>
            <w:r w:rsidRPr="00BE464B">
              <w:rPr>
                <w:sz w:val="18"/>
                <w:szCs w:val="18"/>
                <w:lang w:val="ro-MD" w:eastAsia="en-US"/>
              </w:rPr>
              <w:t xml:space="preserve"> – platformă de tranzacționare în cadrul căreia un OST participă la toate tranzacțiile;</w:t>
            </w:r>
            <w:r w:rsidRPr="00AF0E15">
              <w:rPr>
                <w:sz w:val="18"/>
                <w:szCs w:val="18"/>
                <w:lang w:val="it-IT" w:eastAsia="en-US"/>
              </w:rPr>
              <w:t> </w:t>
            </w:r>
          </w:p>
          <w:p w:rsidR="00207150" w:rsidRPr="00AF0E15" w:rsidRDefault="00207150"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BE464B">
              <w:rPr>
                <w:b/>
                <w:bCs/>
                <w:sz w:val="18"/>
                <w:szCs w:val="18"/>
                <w:lang w:val="ro-MD" w:eastAsia="en-US"/>
              </w:rPr>
              <w:t>serviciu de echilibrare</w:t>
            </w:r>
            <w:r w:rsidRPr="00BE464B">
              <w:rPr>
                <w:sz w:val="18"/>
                <w:szCs w:val="18"/>
                <w:lang w:val="ro-MD" w:eastAsia="en-US"/>
              </w:rPr>
              <w:t xml:space="preserve"> – serviciu furnizat unui OST prin intermediul unui contract în domeniul gazului, necesar pentru a acoperi fluctuațiile pe termen scurt ale cererii sau ofertei de gaz, care nu reprezintă un produs standardizat pe termen scurt</w:t>
            </w:r>
            <w:r w:rsidRPr="00AF0E15">
              <w:rPr>
                <w:sz w:val="18"/>
                <w:szCs w:val="18"/>
                <w:lang w:val="it-IT" w:eastAsia="en-US"/>
              </w:rPr>
              <w:t> </w:t>
            </w:r>
          </w:p>
          <w:p w:rsidR="00207150" w:rsidRPr="00AF0E15" w:rsidRDefault="00207150" w:rsidP="00DA725A">
            <w:pPr>
              <w:jc w:val="both"/>
              <w:textAlignment w:val="baseline"/>
              <w:rPr>
                <w:rFonts w:ascii="Segoe UI" w:hAnsi="Segoe UI" w:cs="Segoe UI"/>
                <w:sz w:val="18"/>
                <w:szCs w:val="18"/>
                <w:lang w:val="it-IT" w:eastAsia="en-US"/>
              </w:rPr>
            </w:pPr>
          </w:p>
          <w:p w:rsidR="00911150" w:rsidRDefault="00911150" w:rsidP="00DA725A">
            <w:pPr>
              <w:jc w:val="both"/>
              <w:textAlignment w:val="baseline"/>
              <w:rPr>
                <w:b/>
                <w:bCs/>
                <w:sz w:val="18"/>
                <w:szCs w:val="18"/>
                <w:lang w:val="ro-MD" w:eastAsia="en-US"/>
              </w:rPr>
            </w:pPr>
          </w:p>
          <w:p w:rsidR="00911150" w:rsidRDefault="00911150" w:rsidP="00DA725A">
            <w:pPr>
              <w:jc w:val="both"/>
              <w:textAlignment w:val="baseline"/>
              <w:rPr>
                <w:b/>
                <w:bCs/>
                <w:sz w:val="18"/>
                <w:szCs w:val="18"/>
                <w:lang w:val="ro-MD" w:eastAsia="en-US"/>
              </w:rPr>
            </w:pPr>
          </w:p>
          <w:p w:rsidR="00911150" w:rsidRDefault="00911150" w:rsidP="00DA725A">
            <w:pPr>
              <w:jc w:val="both"/>
              <w:textAlignment w:val="baseline"/>
              <w:rPr>
                <w:b/>
                <w:bCs/>
                <w:sz w:val="18"/>
                <w:szCs w:val="18"/>
                <w:lang w:val="ro-MD" w:eastAsia="en-US"/>
              </w:rPr>
            </w:pP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cantitate confirmată</w:t>
            </w:r>
            <w:r w:rsidRPr="00BE464B">
              <w:rPr>
                <w:sz w:val="18"/>
                <w:szCs w:val="18"/>
                <w:lang w:val="ro-MD" w:eastAsia="en-US"/>
              </w:rPr>
              <w:t xml:space="preserve"> -   cantitatea de gaze naturale confirmată de către un OSTpentru a fi programată sau reprogramată să fie livrată în ziua gazieră Z;</w:t>
            </w:r>
            <w:r w:rsidRPr="00AF0E15">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 xml:space="preserve"> plata pentru dezechilibru zilnic</w:t>
            </w:r>
            <w:r w:rsidRPr="00BE464B">
              <w:rPr>
                <w:sz w:val="18"/>
                <w:szCs w:val="18"/>
                <w:lang w:val="ro-MD" w:eastAsia="en-US"/>
              </w:rPr>
              <w:t xml:space="preserve"> – suma de bani pe care un utilizator de sistem o plătește sau o primește cu privire la cantitatea de dezechilibru zilnic;</w:t>
            </w:r>
            <w:r w:rsidRPr="00AF0E15">
              <w:rPr>
                <w:sz w:val="18"/>
                <w:szCs w:val="18"/>
                <w:lang w:val="it-IT" w:eastAsia="en-US"/>
              </w:rPr>
              <w:t> </w:t>
            </w:r>
          </w:p>
          <w:p w:rsidR="00996079" w:rsidRPr="00911150" w:rsidRDefault="00911150" w:rsidP="00911150">
            <w:pPr>
              <w:jc w:val="both"/>
              <w:textAlignment w:val="baseline"/>
              <w:rPr>
                <w:rFonts w:ascii="Segoe UI" w:hAnsi="Segoe UI" w:cs="Segoe UI"/>
                <w:sz w:val="18"/>
                <w:szCs w:val="18"/>
                <w:lang w:val="ro-MD" w:eastAsia="en-US"/>
              </w:rPr>
            </w:pPr>
            <w:r w:rsidRPr="00911150">
              <w:rPr>
                <w:b/>
                <w:bCs/>
                <w:lang w:val="it-IT"/>
              </w:rPr>
              <w:t>măsurare zilnică</w:t>
            </w:r>
            <w:r w:rsidRPr="00911150">
              <w:rPr>
                <w:lang w:val="it-IT"/>
              </w:rPr>
              <w:t xml:space="preserve"> – măsurarea cantității de gaze naturale și colectarea informației privind cantitatea  de gaze </w:t>
            </w:r>
            <w:r w:rsidRPr="00911150">
              <w:rPr>
                <w:sz w:val="18"/>
                <w:szCs w:val="18"/>
                <w:lang w:val="it-IT"/>
              </w:rPr>
              <w:t>naturale măsurate, o dată într-o zi gazieră</w:t>
            </w:r>
            <w:r w:rsidR="00996079" w:rsidRPr="00911150">
              <w:rPr>
                <w:sz w:val="18"/>
                <w:szCs w:val="18"/>
                <w:lang w:val="ro-MD" w:eastAsia="en-US"/>
              </w:rPr>
              <w:t>;</w:t>
            </w:r>
            <w:r w:rsidR="00996079" w:rsidRPr="00911150">
              <w:rPr>
                <w:b/>
                <w:bCs/>
                <w:sz w:val="18"/>
                <w:szCs w:val="18"/>
                <w:lang w:val="ro-MD" w:eastAsia="en-US"/>
              </w:rPr>
              <w:t> </w:t>
            </w:r>
            <w:r w:rsidR="00996079" w:rsidRPr="00911150">
              <w:rPr>
                <w:sz w:val="18"/>
                <w:szCs w:val="18"/>
                <w:lang w:val="ro-MD" w:eastAsia="en-US"/>
              </w:rPr>
              <w:t> </w:t>
            </w:r>
          </w:p>
          <w:p w:rsidR="00996079" w:rsidRPr="00911150" w:rsidRDefault="00996079" w:rsidP="00911150">
            <w:pPr>
              <w:jc w:val="both"/>
              <w:textAlignment w:val="baseline"/>
              <w:rPr>
                <w:rFonts w:ascii="Segoe UI" w:hAnsi="Segoe UI" w:cs="Segoe UI"/>
                <w:sz w:val="18"/>
                <w:szCs w:val="18"/>
                <w:lang w:val="it-IT" w:eastAsia="en-US"/>
              </w:rPr>
            </w:pPr>
            <w:r w:rsidRPr="00911150">
              <w:rPr>
                <w:sz w:val="18"/>
                <w:szCs w:val="18"/>
                <w:lang w:val="ro-MD" w:eastAsia="en-US"/>
              </w:rPr>
              <w:t> </w:t>
            </w:r>
            <w:r w:rsidR="00911150" w:rsidRPr="00911150">
              <w:rPr>
                <w:b/>
                <w:bCs/>
                <w:sz w:val="18"/>
                <w:szCs w:val="18"/>
                <w:lang w:val="it-IT"/>
              </w:rPr>
              <w:t>măsurare pe parcursul zilei</w:t>
            </w:r>
            <w:r w:rsidR="00911150" w:rsidRPr="00911150">
              <w:rPr>
                <w:sz w:val="18"/>
                <w:szCs w:val="18"/>
                <w:lang w:val="it-IT"/>
              </w:rPr>
              <w:t> - măsurarea cantității de gaze naturale și colectarea informației privind cantitatea de gaze naturale măsurate, cel puțin de două ori într-o zi gazieră</w:t>
            </w:r>
            <w:r w:rsidRPr="00911150">
              <w:rPr>
                <w:sz w:val="18"/>
                <w:szCs w:val="18"/>
                <w:lang w:val="ro-MD" w:eastAsia="en-US"/>
              </w:rPr>
              <w:t>;</w:t>
            </w:r>
            <w:r w:rsidRPr="00911150">
              <w:rPr>
                <w:sz w:val="18"/>
                <w:szCs w:val="18"/>
                <w:lang w:val="it-IT" w:eastAsia="en-US"/>
              </w:rPr>
              <w:t> </w:t>
            </w:r>
          </w:p>
          <w:p w:rsidR="00996079" w:rsidRPr="00911150" w:rsidRDefault="00911150" w:rsidP="00911150">
            <w:pPr>
              <w:jc w:val="both"/>
              <w:textAlignment w:val="baseline"/>
              <w:rPr>
                <w:rFonts w:ascii="Segoe UI" w:hAnsi="Segoe UI" w:cs="Segoe UI"/>
                <w:sz w:val="18"/>
                <w:szCs w:val="18"/>
                <w:lang w:val="it-IT" w:eastAsia="en-US"/>
              </w:rPr>
            </w:pPr>
            <w:r w:rsidRPr="00911150">
              <w:rPr>
                <w:b/>
                <w:bCs/>
                <w:sz w:val="18"/>
                <w:szCs w:val="18"/>
                <w:lang w:val="it-IT"/>
              </w:rPr>
              <w:t>măsurare non zilnică</w:t>
            </w:r>
            <w:r w:rsidRPr="00911150">
              <w:rPr>
                <w:sz w:val="18"/>
                <w:szCs w:val="18"/>
                <w:lang w:val="it-IT"/>
              </w:rPr>
              <w:t> - măsurarea cantității de gaze naturale și colectarea informației privind cantitatea de gaze naturale măsurate, mai rar decât o dată într-o zi gazieră</w:t>
            </w:r>
            <w:r w:rsidR="00996079" w:rsidRPr="00911150">
              <w:rPr>
                <w:sz w:val="18"/>
                <w:szCs w:val="18"/>
                <w:lang w:val="ro-MD" w:eastAsia="en-US"/>
              </w:rPr>
              <w:t>;</w:t>
            </w:r>
            <w:r w:rsidR="00996079" w:rsidRPr="00911150">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portofoliu de echilibrare</w:t>
            </w:r>
            <w:r w:rsidRPr="00BE464B">
              <w:rPr>
                <w:sz w:val="18"/>
                <w:szCs w:val="18"/>
                <w:lang w:val="ro-MD" w:eastAsia="en-US"/>
              </w:rPr>
              <w:t xml:space="preserve"> – grupare de intrări și ieșiri aparținând unui utilizator de sistem;</w:t>
            </w:r>
            <w:r w:rsidRPr="00AF0E15">
              <w:rPr>
                <w:sz w:val="18"/>
                <w:szCs w:val="18"/>
                <w:lang w:val="it-IT" w:eastAsia="en-US"/>
              </w:rPr>
              <w:t> </w:t>
            </w:r>
          </w:p>
          <w:p w:rsidR="00996079" w:rsidRPr="00AF0E15" w:rsidRDefault="00996079" w:rsidP="00DA725A">
            <w:pPr>
              <w:tabs>
                <w:tab w:val="left" w:pos="0"/>
                <w:tab w:val="left" w:pos="183"/>
              </w:tabs>
              <w:jc w:val="both"/>
              <w:textAlignment w:val="baseline"/>
              <w:rPr>
                <w:rFonts w:ascii="Segoe UI" w:hAnsi="Segoe UI" w:cs="Segoe UI"/>
                <w:sz w:val="18"/>
                <w:szCs w:val="18"/>
                <w:lang w:val="it-IT" w:eastAsia="en-US"/>
              </w:rPr>
            </w:pPr>
            <w:r w:rsidRPr="00BE464B">
              <w:rPr>
                <w:b/>
                <w:bCs/>
                <w:sz w:val="18"/>
                <w:szCs w:val="18"/>
                <w:lang w:val="ro-MD" w:eastAsia="en-US"/>
              </w:rPr>
              <w:t> cantitatea notificată</w:t>
            </w:r>
            <w:r w:rsidRPr="00BE464B">
              <w:rPr>
                <w:sz w:val="18"/>
                <w:szCs w:val="18"/>
                <w:lang w:val="ro-MD" w:eastAsia="en-US"/>
              </w:rPr>
              <w:t xml:space="preserve"> – cantitatea de gaze naturale transferată între un OST și unul sau mai mulți utilizatori de sistem ori între portofolii de echilibrare, după caz;</w:t>
            </w:r>
            <w:r w:rsidRPr="00AF0E15">
              <w:rPr>
                <w:sz w:val="18"/>
                <w:szCs w:val="18"/>
                <w:lang w:val="it-IT" w:eastAsia="en-US"/>
              </w:rPr>
              <w:t> </w:t>
            </w:r>
          </w:p>
          <w:p w:rsidR="00996079" w:rsidRDefault="00996079" w:rsidP="00207150">
            <w:pPr>
              <w:jc w:val="both"/>
              <w:textAlignment w:val="baseline"/>
              <w:rPr>
                <w:sz w:val="18"/>
                <w:szCs w:val="18"/>
                <w:lang w:val="it-IT" w:eastAsia="en-US"/>
              </w:rPr>
            </w:pPr>
            <w:r w:rsidRPr="00BE464B">
              <w:rPr>
                <w:sz w:val="18"/>
                <w:szCs w:val="18"/>
                <w:lang w:val="ro-MD" w:eastAsia="en-US"/>
              </w:rPr>
              <w:t> </w:t>
            </w:r>
            <w:r w:rsidRPr="00BE464B">
              <w:rPr>
                <w:b/>
                <w:bCs/>
                <w:sz w:val="18"/>
                <w:szCs w:val="18"/>
                <w:lang w:val="ro-MD" w:eastAsia="en-US"/>
              </w:rPr>
              <w:t>alocare</w:t>
            </w:r>
            <w:r w:rsidRPr="00AF0E15">
              <w:rPr>
                <w:sz w:val="18"/>
                <w:szCs w:val="18"/>
                <w:lang w:val="it-IT" w:eastAsia="en-US"/>
              </w:rPr>
              <w:t xml:space="preserve"> - cantitatea de gaze naturale atribuită unui utilizator de sistem de un OST, sub formă de intrare sau ieșire exprimată în kWh, în scopul stabilirii cantității de dezechilibru zilnic; </w:t>
            </w:r>
          </w:p>
          <w:p w:rsidR="00207150" w:rsidRPr="00AF0E15" w:rsidRDefault="00207150" w:rsidP="00207150">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AF0E15">
              <w:rPr>
                <w:b/>
                <w:bCs/>
                <w:sz w:val="18"/>
                <w:szCs w:val="18"/>
                <w:lang w:val="it-IT" w:eastAsia="en-US"/>
              </w:rPr>
              <w:t>ciclu de renominalizare</w:t>
            </w:r>
            <w:r w:rsidRPr="00AF0E15">
              <w:rPr>
                <w:sz w:val="18"/>
                <w:szCs w:val="18"/>
                <w:lang w:val="it-IT" w:eastAsia="en-US"/>
              </w:rPr>
              <w:t xml:space="preserve"> - procesul derulat de către OST pentru a furniza unui utilizator de sistem mesajul referitor la cantitățile confirmate ca urmare a primirii unei renominalizări; </w:t>
            </w:r>
          </w:p>
          <w:p w:rsidR="00207150" w:rsidRDefault="00207150" w:rsidP="00DA725A">
            <w:pPr>
              <w:jc w:val="both"/>
              <w:textAlignment w:val="baseline"/>
              <w:rPr>
                <w:rFonts w:ascii="Segoe UI" w:hAnsi="Segoe UI" w:cs="Segoe UI"/>
                <w:sz w:val="18"/>
                <w:szCs w:val="18"/>
                <w:lang w:val="it-IT" w:eastAsia="en-US"/>
              </w:rPr>
            </w:pPr>
          </w:p>
          <w:p w:rsidR="00207150" w:rsidRPr="00AF0E15" w:rsidRDefault="00207150" w:rsidP="00DA725A">
            <w:pPr>
              <w:jc w:val="both"/>
              <w:textAlignment w:val="baseline"/>
              <w:rPr>
                <w:rFonts w:ascii="Segoe UI" w:hAnsi="Segoe UI" w:cs="Segoe UI"/>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plata intrazilnică</w:t>
            </w:r>
            <w:r w:rsidRPr="00BE464B">
              <w:rPr>
                <w:sz w:val="18"/>
                <w:szCs w:val="18"/>
                <w:lang w:val="ro-MD" w:eastAsia="en-US"/>
              </w:rPr>
              <w:t xml:space="preserve"> – tarif perceput sau o plată efectuată de un OST de la sau către un utilizator de sistem ca rezultat al unei obligații în cursul zilei;</w:t>
            </w:r>
            <w:r w:rsidRPr="00AF0E15">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 </w:t>
            </w:r>
            <w:r w:rsidRPr="00BE464B">
              <w:rPr>
                <w:b/>
                <w:bCs/>
                <w:sz w:val="18"/>
                <w:szCs w:val="18"/>
                <w:lang w:val="ro-MD" w:eastAsia="en-US"/>
              </w:rPr>
              <w:t>obligație intrazilnică</w:t>
            </w:r>
            <w:r w:rsidRPr="00BE464B">
              <w:rPr>
                <w:sz w:val="18"/>
                <w:szCs w:val="18"/>
                <w:lang w:val="ro-MD" w:eastAsia="en-US"/>
              </w:rPr>
              <w:t xml:space="preserve"> – set de norme privind intrările și ieșirile utilizatorilor de sistem în cursul zilei gaziere, impuse utilizatorilor de sistem de către un OST</w:t>
            </w:r>
            <w:r w:rsidRPr="00BE464B">
              <w:rPr>
                <w:b/>
                <w:bCs/>
                <w:sz w:val="18"/>
                <w:szCs w:val="18"/>
                <w:lang w:val="ro-MD" w:eastAsia="en-US"/>
              </w:rPr>
              <w:t> </w:t>
            </w:r>
            <w:r w:rsidRPr="00AF0E15">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ro-MD" w:eastAsia="en-US"/>
              </w:rPr>
            </w:pPr>
            <w:r w:rsidRPr="00BE464B">
              <w:rPr>
                <w:sz w:val="18"/>
                <w:szCs w:val="18"/>
                <w:lang w:val="ro-MD" w:eastAsia="en-US"/>
              </w:rPr>
              <w:t> </w:t>
            </w:r>
            <w:r w:rsidRPr="00BE464B">
              <w:rPr>
                <w:b/>
                <w:bCs/>
                <w:sz w:val="18"/>
                <w:szCs w:val="18"/>
                <w:lang w:val="ro-MD" w:eastAsia="en-US"/>
              </w:rPr>
              <w:t>scenariu de referință</w:t>
            </w:r>
            <w:r w:rsidRPr="00BE464B">
              <w:rPr>
                <w:sz w:val="18"/>
                <w:szCs w:val="18"/>
                <w:lang w:val="ro-MD" w:eastAsia="en-US"/>
              </w:rPr>
              <w:t xml:space="preserve"> – model de furnizare de informații conform căruia informațiile privind ieșirile contorizate cu o frecvență care nu este zilnică constau din prognoze pentru ziua următoare și pentru ziua în curs.</w:t>
            </w:r>
            <w:r w:rsidRPr="00AF0E15">
              <w:rPr>
                <w:sz w:val="18"/>
                <w:szCs w:val="18"/>
                <w:lang w:val="ro-MD" w:eastAsia="en-US"/>
              </w:rPr>
              <w:t> </w:t>
            </w:r>
          </w:p>
          <w:p w:rsidR="00996079" w:rsidRPr="00AF0E15" w:rsidRDefault="00996079" w:rsidP="00DA725A">
            <w:pPr>
              <w:jc w:val="both"/>
              <w:textAlignment w:val="baseline"/>
              <w:rPr>
                <w:rFonts w:ascii="Segoe UI" w:hAnsi="Segoe UI" w:cs="Segoe UI"/>
                <w:sz w:val="18"/>
                <w:szCs w:val="18"/>
                <w:lang w:val="ro-MD" w:eastAsia="en-US"/>
              </w:rPr>
            </w:pPr>
            <w:r w:rsidRPr="00BE464B">
              <w:rPr>
                <w:b/>
                <w:bCs/>
                <w:sz w:val="18"/>
                <w:szCs w:val="18"/>
                <w:lang w:val="ro-MD" w:eastAsia="en-US"/>
              </w:rPr>
              <w:t>varianta 1</w:t>
            </w:r>
            <w:r w:rsidRPr="00BE464B">
              <w:rPr>
                <w:sz w:val="18"/>
                <w:szCs w:val="18"/>
                <w:lang w:val="ro-MD" w:eastAsia="en-US"/>
              </w:rPr>
              <w:t xml:space="preserve"> – model de furnizare de informații conform căruia informațiile privind ieșirile contorizate cu o frecvență zilnică și cu o frecvență care nu este zilnică se bazează pe repartizarea fluxurilor contorizate în cursul zilei gaziere;</w:t>
            </w:r>
            <w:r w:rsidRPr="00AF0E15">
              <w:rPr>
                <w:sz w:val="18"/>
                <w:szCs w:val="18"/>
                <w:lang w:val="ro-MD" w:eastAsia="en-US"/>
              </w:rPr>
              <w:t> </w:t>
            </w:r>
          </w:p>
          <w:p w:rsidR="002D2707" w:rsidRPr="00BE464B" w:rsidRDefault="00996079" w:rsidP="00DA725A">
            <w:pPr>
              <w:jc w:val="both"/>
              <w:textAlignment w:val="baseline"/>
              <w:rPr>
                <w:sz w:val="18"/>
                <w:szCs w:val="18"/>
                <w:lang w:val="ro-MD" w:eastAsia="en-US"/>
              </w:rPr>
            </w:pPr>
            <w:r w:rsidRPr="00BE464B">
              <w:rPr>
                <w:b/>
                <w:bCs/>
                <w:sz w:val="18"/>
                <w:szCs w:val="18"/>
                <w:lang w:val="ro-MD" w:eastAsia="en-US"/>
              </w:rPr>
              <w:t>varianta 2</w:t>
            </w:r>
            <w:r w:rsidRPr="00BE464B">
              <w:rPr>
                <w:sz w:val="18"/>
                <w:szCs w:val="18"/>
                <w:lang w:val="ro-MD" w:eastAsia="en-US"/>
              </w:rPr>
              <w:t xml:space="preserve"> – model de furnizare de informații conform căruia informațiile privind ieșirile contorizate cu o frecvență care nu este zilnică constituie prognoza pentru ziua următoare;</w:t>
            </w:r>
            <w:r w:rsidRPr="00AF0E15">
              <w:rPr>
                <w:sz w:val="18"/>
                <w:szCs w:val="18"/>
                <w:lang w:val="it-IT" w:eastAsia="en-US"/>
              </w:rPr>
              <w:t> </w:t>
            </w:r>
          </w:p>
        </w:tc>
        <w:tc>
          <w:tcPr>
            <w:tcW w:w="1275" w:type="dxa"/>
            <w:shd w:val="clear" w:color="auto" w:fill="auto"/>
          </w:tcPr>
          <w:p w:rsidR="002D2707" w:rsidRDefault="002D2707" w:rsidP="00DA725A">
            <w:pPr>
              <w:jc w:val="both"/>
              <w:rPr>
                <w:b/>
                <w:sz w:val="18"/>
                <w:szCs w:val="18"/>
                <w:lang w:val="it-IT"/>
              </w:rPr>
            </w:pPr>
          </w:p>
          <w:p w:rsidR="009D4C0C" w:rsidRPr="00380C00" w:rsidRDefault="009D4C0C" w:rsidP="00DA725A">
            <w:pPr>
              <w:jc w:val="both"/>
              <w:rPr>
                <w:sz w:val="18"/>
                <w:szCs w:val="18"/>
                <w:lang w:val="it-IT"/>
              </w:rPr>
            </w:pPr>
          </w:p>
          <w:p w:rsidR="009D4C0C" w:rsidRPr="00380C00" w:rsidRDefault="009D4C0C" w:rsidP="00DA725A">
            <w:pPr>
              <w:jc w:val="both"/>
              <w:rPr>
                <w:sz w:val="18"/>
                <w:szCs w:val="18"/>
                <w:lang w:val="it-IT"/>
              </w:rPr>
            </w:pPr>
          </w:p>
          <w:p w:rsidR="009D4C0C" w:rsidRPr="00380C00" w:rsidRDefault="009D4C0C" w:rsidP="00DA725A">
            <w:pPr>
              <w:jc w:val="both"/>
              <w:rPr>
                <w:sz w:val="18"/>
                <w:szCs w:val="18"/>
                <w:lang w:val="it-IT"/>
              </w:rPr>
            </w:pPr>
          </w:p>
          <w:p w:rsidR="009D4C0C" w:rsidRPr="00380C00" w:rsidRDefault="009D4C0C" w:rsidP="00DA725A">
            <w:pPr>
              <w:jc w:val="both"/>
              <w:rPr>
                <w:sz w:val="18"/>
                <w:szCs w:val="18"/>
                <w:lang w:val="it-IT"/>
              </w:rPr>
            </w:pPr>
          </w:p>
          <w:p w:rsidR="009D4C0C" w:rsidRDefault="009D4C0C" w:rsidP="00DA725A">
            <w:pPr>
              <w:jc w:val="both"/>
              <w:rPr>
                <w:sz w:val="18"/>
                <w:szCs w:val="18"/>
                <w:lang w:val="it-IT"/>
              </w:rPr>
            </w:pPr>
          </w:p>
          <w:p w:rsidR="00207150" w:rsidRDefault="00207150" w:rsidP="00DA725A">
            <w:pPr>
              <w:jc w:val="both"/>
              <w:rPr>
                <w:sz w:val="18"/>
                <w:szCs w:val="18"/>
                <w:lang w:val="it-IT"/>
              </w:rPr>
            </w:pPr>
          </w:p>
          <w:p w:rsidR="00207150" w:rsidRDefault="00207150" w:rsidP="00DA725A">
            <w:pPr>
              <w:jc w:val="both"/>
              <w:rPr>
                <w:sz w:val="18"/>
                <w:szCs w:val="18"/>
                <w:lang w:val="it-IT"/>
              </w:rPr>
            </w:pPr>
          </w:p>
          <w:p w:rsidR="00207150" w:rsidRDefault="00207150" w:rsidP="00DA725A">
            <w:pPr>
              <w:jc w:val="both"/>
              <w:rPr>
                <w:sz w:val="18"/>
                <w:szCs w:val="18"/>
                <w:lang w:val="it-IT"/>
              </w:rPr>
            </w:pPr>
          </w:p>
          <w:p w:rsidR="00207150" w:rsidRPr="00380C00" w:rsidRDefault="00207150" w:rsidP="00DA725A">
            <w:pPr>
              <w:jc w:val="both"/>
              <w:rPr>
                <w:sz w:val="18"/>
                <w:szCs w:val="18"/>
                <w:lang w:val="it-IT"/>
              </w:rPr>
            </w:pPr>
          </w:p>
          <w:p w:rsidR="003036EC" w:rsidRPr="00380C00" w:rsidRDefault="003036EC" w:rsidP="00DA725A">
            <w:pPr>
              <w:jc w:val="both"/>
              <w:rPr>
                <w:sz w:val="18"/>
                <w:szCs w:val="18"/>
                <w:lang w:val="it-IT"/>
              </w:rPr>
            </w:pPr>
            <w:r w:rsidRPr="00380C00">
              <w:rPr>
                <w:sz w:val="18"/>
                <w:szCs w:val="18"/>
                <w:lang w:val="it-IT"/>
              </w:rPr>
              <w:t>Compatibil</w:t>
            </w:r>
          </w:p>
          <w:p w:rsidR="009D4C0C" w:rsidRPr="00380C00" w:rsidRDefault="009D4C0C" w:rsidP="00DA725A">
            <w:pPr>
              <w:jc w:val="both"/>
              <w:rPr>
                <w:sz w:val="18"/>
                <w:szCs w:val="18"/>
                <w:lang w:val="it-IT"/>
              </w:rPr>
            </w:pPr>
          </w:p>
          <w:p w:rsidR="009D4C0C" w:rsidRDefault="009D4C0C" w:rsidP="00DA725A">
            <w:pPr>
              <w:jc w:val="both"/>
              <w:rPr>
                <w:sz w:val="18"/>
                <w:szCs w:val="18"/>
                <w:lang w:val="it-IT"/>
              </w:rPr>
            </w:pPr>
          </w:p>
          <w:p w:rsidR="00207150" w:rsidRDefault="00207150" w:rsidP="00DA725A">
            <w:pPr>
              <w:jc w:val="both"/>
              <w:rPr>
                <w:sz w:val="18"/>
                <w:szCs w:val="18"/>
                <w:lang w:val="it-IT"/>
              </w:rPr>
            </w:pPr>
          </w:p>
          <w:p w:rsidR="00207150" w:rsidRPr="00380C00" w:rsidRDefault="00207150" w:rsidP="00DA725A">
            <w:pPr>
              <w:jc w:val="both"/>
              <w:rPr>
                <w:sz w:val="18"/>
                <w:szCs w:val="18"/>
                <w:lang w:val="it-IT"/>
              </w:rPr>
            </w:pPr>
          </w:p>
          <w:p w:rsidR="009D4C0C" w:rsidRPr="00380C00" w:rsidRDefault="009D4C0C"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9D4C0C" w:rsidRPr="00380C00" w:rsidRDefault="009D4C0C" w:rsidP="00DA725A">
            <w:pPr>
              <w:rPr>
                <w:sz w:val="18"/>
                <w:szCs w:val="18"/>
                <w:lang w:val="it-IT"/>
              </w:rPr>
            </w:pPr>
            <w:r w:rsidRPr="00380C00">
              <w:rPr>
                <w:sz w:val="18"/>
                <w:szCs w:val="18"/>
                <w:lang w:val="it-IT"/>
              </w:rPr>
              <w:t>Compatibil</w:t>
            </w:r>
          </w:p>
          <w:p w:rsidR="009D4C0C" w:rsidRDefault="009D4C0C" w:rsidP="00DA725A">
            <w:pPr>
              <w:jc w:val="both"/>
              <w:rPr>
                <w:b/>
                <w:sz w:val="18"/>
                <w:szCs w:val="18"/>
                <w:lang w:val="it-IT"/>
              </w:rPr>
            </w:pPr>
          </w:p>
          <w:p w:rsidR="004E5CD1" w:rsidRDefault="004E5CD1" w:rsidP="00DA725A">
            <w:pPr>
              <w:jc w:val="both"/>
              <w:rPr>
                <w:b/>
                <w:sz w:val="18"/>
                <w:szCs w:val="18"/>
                <w:lang w:val="it-IT"/>
              </w:rPr>
            </w:pPr>
          </w:p>
          <w:p w:rsidR="00207150" w:rsidRDefault="00207150" w:rsidP="00DA725A">
            <w:pPr>
              <w:jc w:val="both"/>
              <w:rPr>
                <w:b/>
                <w:sz w:val="18"/>
                <w:szCs w:val="18"/>
                <w:lang w:val="it-IT"/>
              </w:rPr>
            </w:pPr>
          </w:p>
          <w:p w:rsidR="00207150" w:rsidRDefault="00207150" w:rsidP="00DA725A">
            <w:pPr>
              <w:jc w:val="both"/>
              <w:rPr>
                <w:b/>
                <w:sz w:val="18"/>
                <w:szCs w:val="18"/>
                <w:lang w:val="it-IT"/>
              </w:rPr>
            </w:pPr>
          </w:p>
          <w:p w:rsidR="00BB39A6" w:rsidRDefault="00BB39A6" w:rsidP="00DA725A">
            <w:pPr>
              <w:jc w:val="both"/>
              <w:rPr>
                <w:b/>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207150" w:rsidRDefault="00207150"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911150" w:rsidRDefault="00911150" w:rsidP="00DA725A">
            <w:pPr>
              <w:rPr>
                <w:sz w:val="18"/>
                <w:szCs w:val="18"/>
                <w:lang w:val="it-IT"/>
              </w:rPr>
            </w:pPr>
          </w:p>
          <w:p w:rsidR="00911150" w:rsidRDefault="00911150" w:rsidP="00DA725A">
            <w:pPr>
              <w:rPr>
                <w:sz w:val="18"/>
                <w:szCs w:val="18"/>
                <w:lang w:val="it-IT"/>
              </w:rPr>
            </w:pPr>
          </w:p>
          <w:p w:rsidR="00911150" w:rsidRDefault="00911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20715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rPr>
                <w:sz w:val="18"/>
                <w:szCs w:val="18"/>
                <w:lang w:val="it-IT"/>
              </w:rPr>
            </w:pPr>
          </w:p>
          <w:p w:rsidR="00207150" w:rsidRPr="00380C0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20715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rPr>
                <w:sz w:val="18"/>
                <w:szCs w:val="18"/>
                <w:lang w:val="it-IT"/>
              </w:rPr>
            </w:pPr>
          </w:p>
          <w:p w:rsidR="0020715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Default="004E5CD1" w:rsidP="00DA725A">
            <w:pPr>
              <w:rPr>
                <w:sz w:val="18"/>
                <w:szCs w:val="18"/>
              </w:rPr>
            </w:pPr>
            <w:r>
              <w:rPr>
                <w:sz w:val="18"/>
                <w:szCs w:val="18"/>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Default="004E5CD1" w:rsidP="00DA725A">
            <w:pPr>
              <w:rPr>
                <w:sz w:val="18"/>
                <w:szCs w:val="18"/>
              </w:rPr>
            </w:pPr>
            <w:r>
              <w:rPr>
                <w:sz w:val="18"/>
                <w:szCs w:val="18"/>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rPr>
                <w:sz w:val="18"/>
                <w:szCs w:val="18"/>
              </w:rPr>
            </w:pPr>
            <w:r>
              <w:rPr>
                <w:sz w:val="18"/>
                <w:szCs w:val="18"/>
              </w:rPr>
              <w:t>Compatibil</w:t>
            </w:r>
          </w:p>
          <w:p w:rsidR="004E5CD1" w:rsidRPr="004E5CD1" w:rsidRDefault="004E5CD1" w:rsidP="00DA725A">
            <w:pPr>
              <w:jc w:val="both"/>
              <w:rPr>
                <w:bCs/>
                <w:sz w:val="18"/>
                <w:szCs w:val="18"/>
                <w:lang w:val="it-IT"/>
              </w:rPr>
            </w:pPr>
          </w:p>
        </w:tc>
        <w:tc>
          <w:tcPr>
            <w:tcW w:w="4253" w:type="dxa"/>
            <w:shd w:val="clear" w:color="auto" w:fill="auto"/>
          </w:tcPr>
          <w:p w:rsidR="00996079" w:rsidRPr="00E84D74" w:rsidRDefault="00996079" w:rsidP="00DA725A">
            <w:pPr>
              <w:autoSpaceDE w:val="0"/>
              <w:autoSpaceDN w:val="0"/>
              <w:adjustRightInd w:val="0"/>
              <w:jc w:val="center"/>
              <w:rPr>
                <w:b/>
                <w:bCs/>
                <w:i/>
                <w:iCs/>
                <w:sz w:val="18"/>
                <w:szCs w:val="18"/>
              </w:rPr>
            </w:pPr>
            <w:r w:rsidRPr="00E84D74">
              <w:rPr>
                <w:b/>
                <w:bCs/>
                <w:i/>
                <w:iCs/>
                <w:sz w:val="18"/>
                <w:szCs w:val="18"/>
              </w:rPr>
              <w:lastRenderedPageBreak/>
              <w:t>Article 3</w:t>
            </w:r>
          </w:p>
          <w:p w:rsidR="00996079" w:rsidRPr="00E84D74" w:rsidRDefault="00996079" w:rsidP="00DA725A">
            <w:pPr>
              <w:autoSpaceDE w:val="0"/>
              <w:autoSpaceDN w:val="0"/>
              <w:adjustRightInd w:val="0"/>
              <w:jc w:val="center"/>
              <w:rPr>
                <w:b/>
                <w:bCs/>
                <w:sz w:val="18"/>
                <w:szCs w:val="18"/>
              </w:rPr>
            </w:pPr>
            <w:r w:rsidRPr="00E84D74">
              <w:rPr>
                <w:b/>
                <w:bCs/>
                <w:sz w:val="18"/>
                <w:szCs w:val="18"/>
              </w:rPr>
              <w:t>Definitions</w:t>
            </w:r>
          </w:p>
          <w:p w:rsidR="00996079" w:rsidRPr="00E84D74" w:rsidRDefault="00996079" w:rsidP="00DA725A">
            <w:pPr>
              <w:autoSpaceDE w:val="0"/>
              <w:autoSpaceDN w:val="0"/>
              <w:adjustRightInd w:val="0"/>
              <w:rPr>
                <w:sz w:val="18"/>
                <w:szCs w:val="18"/>
              </w:rPr>
            </w:pPr>
            <w:r w:rsidRPr="00E84D74">
              <w:rPr>
                <w:sz w:val="18"/>
                <w:szCs w:val="18"/>
              </w:rPr>
              <w:t>For the purposes of this Regulation, the definitions in Article 2 of Regulation (EC) No 715/2009, Article</w:t>
            </w:r>
          </w:p>
          <w:p w:rsidR="00996079" w:rsidRPr="00E84D74" w:rsidRDefault="00996079" w:rsidP="00DA725A">
            <w:pPr>
              <w:autoSpaceDE w:val="0"/>
              <w:autoSpaceDN w:val="0"/>
              <w:adjustRightInd w:val="0"/>
              <w:rPr>
                <w:sz w:val="18"/>
                <w:szCs w:val="18"/>
              </w:rPr>
            </w:pPr>
            <w:r w:rsidRPr="00E84D74">
              <w:rPr>
                <w:sz w:val="18"/>
                <w:szCs w:val="18"/>
              </w:rPr>
              <w:t xml:space="preserve">3 Commission Regulation (EU) No </w:t>
            </w:r>
            <w:r w:rsidRPr="00E84D74">
              <w:rPr>
                <w:b/>
                <w:bCs/>
                <w:sz w:val="18"/>
                <w:szCs w:val="18"/>
              </w:rPr>
              <w:t xml:space="preserve">459/2017 </w:t>
            </w:r>
            <w:r w:rsidRPr="00E84D74">
              <w:rPr>
                <w:sz w:val="18"/>
                <w:szCs w:val="18"/>
              </w:rPr>
              <w:t xml:space="preserve">establishing a Network Code on Capacity Allocation Mechanisms in Gas Transmission Systems and </w:t>
            </w:r>
            <w:r w:rsidRPr="00E84D74">
              <w:rPr>
                <w:b/>
                <w:bCs/>
                <w:sz w:val="18"/>
                <w:szCs w:val="18"/>
              </w:rPr>
              <w:t xml:space="preserve">repealing Regulation (EU) 984/2013 </w:t>
            </w:r>
            <w:r w:rsidRPr="00E84D74">
              <w:rPr>
                <w:sz w:val="18"/>
                <w:szCs w:val="18"/>
              </w:rPr>
              <w:t>as well as Article 2 of Directive 2009/73/EC shall apply. In addition, the following definitions shall apply:</w:t>
            </w:r>
          </w:p>
          <w:p w:rsidR="00996079" w:rsidRPr="00E84D74" w:rsidRDefault="00996079" w:rsidP="00DA725A">
            <w:pPr>
              <w:autoSpaceDE w:val="0"/>
              <w:autoSpaceDN w:val="0"/>
              <w:adjustRightInd w:val="0"/>
              <w:rPr>
                <w:sz w:val="18"/>
                <w:szCs w:val="18"/>
              </w:rPr>
            </w:pPr>
            <w:r w:rsidRPr="00E84D74">
              <w:rPr>
                <w:sz w:val="18"/>
                <w:szCs w:val="18"/>
              </w:rPr>
              <w:t>(1) ‘</w:t>
            </w:r>
            <w:r w:rsidRPr="00E84D74">
              <w:rPr>
                <w:b/>
                <w:sz w:val="18"/>
                <w:szCs w:val="18"/>
              </w:rPr>
              <w:t>balancing zone’</w:t>
            </w:r>
            <w:r w:rsidRPr="00E84D74">
              <w:rPr>
                <w:sz w:val="18"/>
                <w:szCs w:val="18"/>
              </w:rPr>
              <w:t xml:space="preserve"> means an entry-exit system to which a specific balancing regime is applicable</w:t>
            </w:r>
          </w:p>
          <w:p w:rsidR="00996079" w:rsidRDefault="00996079" w:rsidP="00DA725A">
            <w:pPr>
              <w:autoSpaceDE w:val="0"/>
              <w:autoSpaceDN w:val="0"/>
              <w:adjustRightInd w:val="0"/>
              <w:rPr>
                <w:sz w:val="18"/>
                <w:szCs w:val="18"/>
              </w:rPr>
            </w:pPr>
            <w:r w:rsidRPr="00E84D74">
              <w:rPr>
                <w:sz w:val="18"/>
                <w:szCs w:val="18"/>
              </w:rPr>
              <w:t>and which may include distribution systems or part of them;</w:t>
            </w:r>
          </w:p>
          <w:p w:rsidR="00BB39A6" w:rsidRPr="00E84D74" w:rsidRDefault="00BB39A6" w:rsidP="00DA725A">
            <w:pPr>
              <w:autoSpaceDE w:val="0"/>
              <w:autoSpaceDN w:val="0"/>
              <w:adjustRightInd w:val="0"/>
              <w:rPr>
                <w:sz w:val="18"/>
                <w:szCs w:val="18"/>
              </w:rPr>
            </w:pPr>
          </w:p>
          <w:p w:rsidR="00996079" w:rsidRDefault="00996079" w:rsidP="00DA725A">
            <w:pPr>
              <w:autoSpaceDE w:val="0"/>
              <w:autoSpaceDN w:val="0"/>
              <w:adjustRightInd w:val="0"/>
              <w:rPr>
                <w:sz w:val="18"/>
                <w:szCs w:val="18"/>
              </w:rPr>
            </w:pPr>
            <w:r w:rsidRPr="00E84D74">
              <w:rPr>
                <w:sz w:val="18"/>
                <w:szCs w:val="18"/>
              </w:rPr>
              <w:t>(2) ‘</w:t>
            </w:r>
            <w:r w:rsidRPr="00E84D74">
              <w:rPr>
                <w:b/>
                <w:sz w:val="18"/>
                <w:szCs w:val="18"/>
              </w:rPr>
              <w:t>balancing action’</w:t>
            </w:r>
            <w:r w:rsidRPr="00E84D74">
              <w:rPr>
                <w:sz w:val="18"/>
                <w:szCs w:val="18"/>
              </w:rPr>
              <w:t xml:space="preserve"> means an action undertaken by the transmission system operator to change the gas flows onto or off the transmission network, excluding those actions related to gas unaccounted for as off-taken from the system and gas used by the transmission system operator for the operation of the system;</w:t>
            </w:r>
          </w:p>
          <w:p w:rsidR="00996079" w:rsidRPr="00E84D74" w:rsidRDefault="00996079" w:rsidP="00DA725A">
            <w:pPr>
              <w:autoSpaceDE w:val="0"/>
              <w:autoSpaceDN w:val="0"/>
              <w:adjustRightInd w:val="0"/>
              <w:rPr>
                <w:sz w:val="18"/>
                <w:szCs w:val="18"/>
              </w:rPr>
            </w:pPr>
            <w:r w:rsidRPr="00E84D74">
              <w:rPr>
                <w:sz w:val="18"/>
                <w:szCs w:val="18"/>
              </w:rPr>
              <w:t xml:space="preserve">(3) </w:t>
            </w:r>
            <w:r w:rsidRPr="00E84D74">
              <w:rPr>
                <w:b/>
                <w:sz w:val="18"/>
                <w:szCs w:val="18"/>
              </w:rPr>
              <w:t>‘neutrality charge for balancing’</w:t>
            </w:r>
            <w:r w:rsidRPr="00E84D74">
              <w:rPr>
                <w:sz w:val="18"/>
                <w:szCs w:val="18"/>
              </w:rPr>
              <w:t xml:space="preserve"> means a charge amounting to the difference between the amounts</w:t>
            </w:r>
          </w:p>
          <w:p w:rsidR="00996079" w:rsidRPr="00E84D74" w:rsidRDefault="00996079" w:rsidP="00DA725A">
            <w:pPr>
              <w:autoSpaceDE w:val="0"/>
              <w:autoSpaceDN w:val="0"/>
              <w:adjustRightInd w:val="0"/>
              <w:rPr>
                <w:sz w:val="18"/>
                <w:szCs w:val="18"/>
              </w:rPr>
            </w:pPr>
            <w:r w:rsidRPr="00E84D74">
              <w:rPr>
                <w:sz w:val="18"/>
                <w:szCs w:val="18"/>
              </w:rPr>
              <w:t>received or receivable and the amounts paid or payable by the transmission system operator due to performance of its balancing activities which is payable to or recoverable from the relevant network users;</w:t>
            </w:r>
          </w:p>
          <w:p w:rsidR="00996079" w:rsidRPr="00E84D74" w:rsidRDefault="00996079" w:rsidP="00DA725A">
            <w:pPr>
              <w:autoSpaceDE w:val="0"/>
              <w:autoSpaceDN w:val="0"/>
              <w:adjustRightInd w:val="0"/>
              <w:rPr>
                <w:sz w:val="18"/>
                <w:szCs w:val="18"/>
              </w:rPr>
            </w:pPr>
            <w:r w:rsidRPr="00E84D74">
              <w:rPr>
                <w:sz w:val="18"/>
                <w:szCs w:val="18"/>
              </w:rPr>
              <w:t xml:space="preserve">(4) </w:t>
            </w:r>
            <w:r w:rsidRPr="00E84D74">
              <w:rPr>
                <w:b/>
                <w:sz w:val="18"/>
                <w:szCs w:val="18"/>
              </w:rPr>
              <w:t>‘trading platform’</w:t>
            </w:r>
            <w:r w:rsidRPr="00E84D74">
              <w:rPr>
                <w:sz w:val="18"/>
                <w:szCs w:val="18"/>
              </w:rPr>
              <w:t xml:space="preserve"> means an electronic platform provided and operated by a trading platform operator by means of which trading participants may post and accept, including the right to revise and withdraw, bids and offers for gas required to meet short term fluctuations in gas demand or supply, in accordance with the terms and conditions applicable on the trading platform and at which</w:t>
            </w:r>
          </w:p>
          <w:p w:rsidR="00996079" w:rsidRPr="00E84D74" w:rsidRDefault="00996079" w:rsidP="00DA725A">
            <w:pPr>
              <w:autoSpaceDE w:val="0"/>
              <w:autoSpaceDN w:val="0"/>
              <w:adjustRightInd w:val="0"/>
              <w:rPr>
                <w:sz w:val="18"/>
                <w:szCs w:val="18"/>
              </w:rPr>
            </w:pPr>
            <w:r w:rsidRPr="00E84D74">
              <w:rPr>
                <w:sz w:val="18"/>
                <w:szCs w:val="18"/>
              </w:rPr>
              <w:lastRenderedPageBreak/>
              <w:t>the transmission system operator trades for the purpose of undertaking balancing actions;</w:t>
            </w:r>
          </w:p>
          <w:p w:rsidR="00996079" w:rsidRPr="00E84D74" w:rsidRDefault="00996079" w:rsidP="00DA725A">
            <w:pPr>
              <w:autoSpaceDE w:val="0"/>
              <w:autoSpaceDN w:val="0"/>
              <w:adjustRightInd w:val="0"/>
              <w:rPr>
                <w:sz w:val="18"/>
                <w:szCs w:val="18"/>
              </w:rPr>
            </w:pPr>
            <w:r w:rsidRPr="00E84D74">
              <w:rPr>
                <w:sz w:val="18"/>
                <w:szCs w:val="18"/>
              </w:rPr>
              <w:t>(5) ‘</w:t>
            </w:r>
            <w:r w:rsidRPr="00E84D74">
              <w:rPr>
                <w:b/>
                <w:sz w:val="18"/>
                <w:szCs w:val="18"/>
              </w:rPr>
              <w:t>trading participant’</w:t>
            </w:r>
            <w:r w:rsidRPr="00E84D74">
              <w:rPr>
                <w:sz w:val="18"/>
                <w:szCs w:val="18"/>
              </w:rPr>
              <w:t xml:space="preserve"> means a network user or a transmission system operator holding a contract with the trading platform operator and satisfying the conditions necessary to transact on the trading platform.</w:t>
            </w:r>
          </w:p>
          <w:p w:rsidR="00996079" w:rsidRPr="00E84D74" w:rsidRDefault="00996079" w:rsidP="00DA725A">
            <w:pPr>
              <w:autoSpaceDE w:val="0"/>
              <w:autoSpaceDN w:val="0"/>
              <w:adjustRightInd w:val="0"/>
              <w:rPr>
                <w:sz w:val="18"/>
                <w:szCs w:val="18"/>
              </w:rPr>
            </w:pPr>
            <w:r w:rsidRPr="00E84D74">
              <w:rPr>
                <w:sz w:val="18"/>
                <w:szCs w:val="18"/>
              </w:rPr>
              <w:t>(6) ‘</w:t>
            </w:r>
            <w:r w:rsidRPr="00E84D74">
              <w:rPr>
                <w:b/>
                <w:sz w:val="18"/>
                <w:szCs w:val="18"/>
              </w:rPr>
              <w:t>balancing platform’</w:t>
            </w:r>
            <w:r w:rsidRPr="00E84D74">
              <w:rPr>
                <w:sz w:val="18"/>
                <w:szCs w:val="18"/>
              </w:rPr>
              <w:t xml:space="preserve"> means a trading platform where a transmission system operator is a trading participant to all trades;</w:t>
            </w:r>
          </w:p>
          <w:p w:rsidR="00996079" w:rsidRPr="00E84D74" w:rsidRDefault="00996079" w:rsidP="00DA725A">
            <w:pPr>
              <w:autoSpaceDE w:val="0"/>
              <w:autoSpaceDN w:val="0"/>
              <w:adjustRightInd w:val="0"/>
              <w:rPr>
                <w:sz w:val="18"/>
                <w:szCs w:val="18"/>
              </w:rPr>
            </w:pPr>
            <w:r w:rsidRPr="00E84D74">
              <w:rPr>
                <w:sz w:val="18"/>
                <w:szCs w:val="18"/>
              </w:rPr>
              <w:t xml:space="preserve">(7) </w:t>
            </w:r>
            <w:r w:rsidRPr="00E84D74">
              <w:rPr>
                <w:b/>
                <w:sz w:val="18"/>
                <w:szCs w:val="18"/>
              </w:rPr>
              <w:t>‘balancing service’</w:t>
            </w:r>
            <w:r w:rsidRPr="00E84D74">
              <w:rPr>
                <w:sz w:val="18"/>
                <w:szCs w:val="18"/>
              </w:rPr>
              <w:t xml:space="preserve"> means a service provided to a transmission system operator via a contract for gas required to meet short term fluctuations in gas demand or supply, which is not a short term standardised product;</w:t>
            </w:r>
          </w:p>
          <w:p w:rsidR="00911150" w:rsidRDefault="00911150" w:rsidP="00DA725A">
            <w:pPr>
              <w:autoSpaceDE w:val="0"/>
              <w:autoSpaceDN w:val="0"/>
              <w:adjustRightInd w:val="0"/>
              <w:rPr>
                <w:sz w:val="18"/>
                <w:szCs w:val="18"/>
              </w:rPr>
            </w:pPr>
          </w:p>
          <w:p w:rsidR="00911150" w:rsidRDefault="00911150" w:rsidP="00DA725A">
            <w:pPr>
              <w:autoSpaceDE w:val="0"/>
              <w:autoSpaceDN w:val="0"/>
              <w:adjustRightInd w:val="0"/>
              <w:rPr>
                <w:sz w:val="18"/>
                <w:szCs w:val="18"/>
              </w:rPr>
            </w:pPr>
          </w:p>
          <w:p w:rsidR="00911150" w:rsidRDefault="00911150" w:rsidP="00DA725A">
            <w:pPr>
              <w:autoSpaceDE w:val="0"/>
              <w:autoSpaceDN w:val="0"/>
              <w:adjustRightInd w:val="0"/>
              <w:rPr>
                <w:sz w:val="18"/>
                <w:szCs w:val="18"/>
              </w:rPr>
            </w:pPr>
          </w:p>
          <w:p w:rsidR="00996079" w:rsidRPr="00E84D74" w:rsidRDefault="00996079" w:rsidP="00DA725A">
            <w:pPr>
              <w:autoSpaceDE w:val="0"/>
              <w:autoSpaceDN w:val="0"/>
              <w:adjustRightInd w:val="0"/>
              <w:rPr>
                <w:sz w:val="18"/>
                <w:szCs w:val="18"/>
              </w:rPr>
            </w:pPr>
            <w:r w:rsidRPr="00E84D74">
              <w:rPr>
                <w:sz w:val="18"/>
                <w:szCs w:val="18"/>
              </w:rPr>
              <w:t>(8) ‘</w:t>
            </w:r>
            <w:r w:rsidRPr="00E84D74">
              <w:rPr>
                <w:b/>
                <w:sz w:val="18"/>
                <w:szCs w:val="18"/>
              </w:rPr>
              <w:t>confirmed quantity’</w:t>
            </w:r>
            <w:r w:rsidRPr="00E84D74">
              <w:rPr>
                <w:sz w:val="18"/>
                <w:szCs w:val="18"/>
              </w:rPr>
              <w:t xml:space="preserve"> means the quantity of gas confirmed by a transmission system operator to</w:t>
            </w:r>
          </w:p>
          <w:p w:rsidR="00996079" w:rsidRPr="00E84D74" w:rsidRDefault="00996079" w:rsidP="00DA725A">
            <w:pPr>
              <w:autoSpaceDE w:val="0"/>
              <w:autoSpaceDN w:val="0"/>
              <w:adjustRightInd w:val="0"/>
              <w:rPr>
                <w:sz w:val="18"/>
                <w:szCs w:val="18"/>
              </w:rPr>
            </w:pPr>
            <w:r w:rsidRPr="00E84D74">
              <w:rPr>
                <w:sz w:val="18"/>
                <w:szCs w:val="18"/>
              </w:rPr>
              <w:t>be scheduled or re-scheduled to flow on gas day D;</w:t>
            </w:r>
          </w:p>
          <w:p w:rsidR="00996079" w:rsidRPr="00E84D74" w:rsidRDefault="00996079" w:rsidP="00DA725A">
            <w:pPr>
              <w:autoSpaceDE w:val="0"/>
              <w:autoSpaceDN w:val="0"/>
              <w:adjustRightInd w:val="0"/>
              <w:rPr>
                <w:sz w:val="18"/>
                <w:szCs w:val="18"/>
              </w:rPr>
            </w:pPr>
            <w:r w:rsidRPr="00E84D74">
              <w:rPr>
                <w:sz w:val="18"/>
                <w:szCs w:val="18"/>
              </w:rPr>
              <w:t>(9) ‘</w:t>
            </w:r>
            <w:r w:rsidRPr="00E84D74">
              <w:rPr>
                <w:b/>
                <w:sz w:val="18"/>
                <w:szCs w:val="18"/>
              </w:rPr>
              <w:t>daily imbalance charge’</w:t>
            </w:r>
            <w:r w:rsidRPr="00E84D74">
              <w:rPr>
                <w:sz w:val="18"/>
                <w:szCs w:val="18"/>
              </w:rPr>
              <w:t xml:space="preserve"> means the amount of money a network user pays or receives in respect of a daily imbalance quantity;</w:t>
            </w:r>
          </w:p>
          <w:p w:rsidR="00996079" w:rsidRPr="00E84D74" w:rsidRDefault="00996079" w:rsidP="00DA725A">
            <w:pPr>
              <w:autoSpaceDE w:val="0"/>
              <w:autoSpaceDN w:val="0"/>
              <w:adjustRightInd w:val="0"/>
              <w:rPr>
                <w:sz w:val="18"/>
                <w:szCs w:val="18"/>
              </w:rPr>
            </w:pPr>
            <w:r w:rsidRPr="00E84D74">
              <w:rPr>
                <w:sz w:val="18"/>
                <w:szCs w:val="18"/>
              </w:rPr>
              <w:t>(10) ‘</w:t>
            </w:r>
            <w:r w:rsidRPr="00E84D74">
              <w:rPr>
                <w:b/>
                <w:sz w:val="18"/>
                <w:szCs w:val="18"/>
              </w:rPr>
              <w:t>daily metered’</w:t>
            </w:r>
            <w:r w:rsidRPr="00E84D74">
              <w:rPr>
                <w:sz w:val="18"/>
                <w:szCs w:val="18"/>
              </w:rPr>
              <w:t xml:space="preserve"> means that the gas quantity is measured and collected once per gas day;</w:t>
            </w:r>
          </w:p>
          <w:p w:rsidR="00996079" w:rsidRPr="00E84D74" w:rsidRDefault="00996079" w:rsidP="00DA725A">
            <w:pPr>
              <w:autoSpaceDE w:val="0"/>
              <w:autoSpaceDN w:val="0"/>
              <w:adjustRightInd w:val="0"/>
              <w:rPr>
                <w:sz w:val="18"/>
                <w:szCs w:val="18"/>
              </w:rPr>
            </w:pPr>
            <w:r w:rsidRPr="00E84D74">
              <w:rPr>
                <w:sz w:val="18"/>
                <w:szCs w:val="18"/>
              </w:rPr>
              <w:t>(11) ‘</w:t>
            </w:r>
            <w:r w:rsidRPr="00E84D74">
              <w:rPr>
                <w:b/>
                <w:sz w:val="18"/>
                <w:szCs w:val="18"/>
              </w:rPr>
              <w:t>intraday metered’</w:t>
            </w:r>
            <w:r w:rsidRPr="00E84D74">
              <w:rPr>
                <w:sz w:val="18"/>
                <w:szCs w:val="18"/>
              </w:rPr>
              <w:t xml:space="preserve"> means that the gas quantity is measured and collected a minimum of two times within the gas day;</w:t>
            </w:r>
          </w:p>
          <w:p w:rsidR="00996079" w:rsidRPr="00E84D74" w:rsidRDefault="00996079" w:rsidP="00DA725A">
            <w:pPr>
              <w:autoSpaceDE w:val="0"/>
              <w:autoSpaceDN w:val="0"/>
              <w:adjustRightInd w:val="0"/>
              <w:rPr>
                <w:sz w:val="18"/>
                <w:szCs w:val="18"/>
              </w:rPr>
            </w:pPr>
            <w:r w:rsidRPr="00E84D74">
              <w:rPr>
                <w:sz w:val="18"/>
                <w:szCs w:val="18"/>
              </w:rPr>
              <w:t>(12) ‘</w:t>
            </w:r>
            <w:r w:rsidRPr="00E84D74">
              <w:rPr>
                <w:b/>
                <w:sz w:val="18"/>
                <w:szCs w:val="18"/>
              </w:rPr>
              <w:t>non daily metered’</w:t>
            </w:r>
            <w:r w:rsidRPr="00E84D74">
              <w:rPr>
                <w:sz w:val="18"/>
                <w:szCs w:val="18"/>
              </w:rPr>
              <w:t xml:space="preserve"> means that the gas quantity is measured and collected less frequently than once per gas day;</w:t>
            </w:r>
          </w:p>
          <w:p w:rsidR="00996079" w:rsidRPr="00E84D74" w:rsidRDefault="00996079" w:rsidP="00DA725A">
            <w:pPr>
              <w:autoSpaceDE w:val="0"/>
              <w:autoSpaceDN w:val="0"/>
              <w:adjustRightInd w:val="0"/>
              <w:rPr>
                <w:sz w:val="18"/>
                <w:szCs w:val="18"/>
              </w:rPr>
            </w:pPr>
            <w:r w:rsidRPr="00E84D74">
              <w:rPr>
                <w:sz w:val="18"/>
                <w:szCs w:val="18"/>
              </w:rPr>
              <w:t>(13) ‘</w:t>
            </w:r>
            <w:r w:rsidRPr="00E84D74">
              <w:rPr>
                <w:b/>
                <w:sz w:val="18"/>
                <w:szCs w:val="18"/>
              </w:rPr>
              <w:t>balancing portfolio’</w:t>
            </w:r>
            <w:r w:rsidRPr="00E84D74">
              <w:rPr>
                <w:sz w:val="18"/>
                <w:szCs w:val="18"/>
              </w:rPr>
              <w:t xml:space="preserve"> means a grouping of a network user’s inputs and off-takes;</w:t>
            </w:r>
          </w:p>
          <w:p w:rsidR="00996079" w:rsidRPr="00E84D74" w:rsidRDefault="00996079" w:rsidP="00DA725A">
            <w:pPr>
              <w:autoSpaceDE w:val="0"/>
              <w:autoSpaceDN w:val="0"/>
              <w:adjustRightInd w:val="0"/>
              <w:rPr>
                <w:sz w:val="18"/>
                <w:szCs w:val="18"/>
              </w:rPr>
            </w:pPr>
            <w:r w:rsidRPr="00E84D74">
              <w:rPr>
                <w:sz w:val="18"/>
                <w:szCs w:val="18"/>
              </w:rPr>
              <w:t>(14) ‘</w:t>
            </w:r>
            <w:r w:rsidRPr="00E84D74">
              <w:rPr>
                <w:b/>
                <w:sz w:val="18"/>
                <w:szCs w:val="18"/>
              </w:rPr>
              <w:t>notification quantity’</w:t>
            </w:r>
            <w:r w:rsidRPr="00E84D74">
              <w:rPr>
                <w:sz w:val="18"/>
                <w:szCs w:val="18"/>
              </w:rPr>
              <w:t xml:space="preserve"> means the quantity of gas transferred between a transmission system operator and a network user or network users or balancing portfolios, as appropriate;</w:t>
            </w:r>
          </w:p>
          <w:p w:rsidR="00996079" w:rsidRPr="00E84D74" w:rsidRDefault="00996079" w:rsidP="00DA725A">
            <w:pPr>
              <w:autoSpaceDE w:val="0"/>
              <w:autoSpaceDN w:val="0"/>
              <w:adjustRightInd w:val="0"/>
              <w:rPr>
                <w:sz w:val="18"/>
                <w:szCs w:val="18"/>
              </w:rPr>
            </w:pPr>
            <w:r w:rsidRPr="00E84D74">
              <w:rPr>
                <w:sz w:val="18"/>
                <w:szCs w:val="18"/>
              </w:rPr>
              <w:t>(15) ‘</w:t>
            </w:r>
            <w:r w:rsidRPr="00E84D74">
              <w:rPr>
                <w:b/>
                <w:sz w:val="18"/>
                <w:szCs w:val="18"/>
              </w:rPr>
              <w:t>allocation’</w:t>
            </w:r>
            <w:r w:rsidRPr="00E84D74">
              <w:rPr>
                <w:sz w:val="18"/>
                <w:szCs w:val="18"/>
              </w:rPr>
              <w:t xml:space="preserve"> means the quantity of gas attributed to a network user by a transmission system  operator as an input or an off-take expressed in kWh for the purpose of determining the daily imbalance quantity;</w:t>
            </w:r>
          </w:p>
          <w:p w:rsidR="00996079" w:rsidRPr="00E84D74" w:rsidRDefault="00996079" w:rsidP="00DA725A">
            <w:pPr>
              <w:autoSpaceDE w:val="0"/>
              <w:autoSpaceDN w:val="0"/>
              <w:adjustRightInd w:val="0"/>
              <w:rPr>
                <w:sz w:val="18"/>
                <w:szCs w:val="18"/>
              </w:rPr>
            </w:pPr>
            <w:r w:rsidRPr="00E84D74">
              <w:rPr>
                <w:sz w:val="18"/>
                <w:szCs w:val="18"/>
              </w:rPr>
              <w:t xml:space="preserve">(16) </w:t>
            </w:r>
            <w:r w:rsidRPr="00E84D74">
              <w:rPr>
                <w:b/>
                <w:sz w:val="18"/>
                <w:szCs w:val="18"/>
              </w:rPr>
              <w:t xml:space="preserve">‘re-nomination cycle’ </w:t>
            </w:r>
            <w:r w:rsidRPr="00E84D74">
              <w:rPr>
                <w:sz w:val="18"/>
                <w:szCs w:val="18"/>
              </w:rPr>
              <w:t>means the process carried out by the transmission system operator in order to provide a network user with the message regarding the confirmed quantities following the receipt of a re-nomination;</w:t>
            </w:r>
          </w:p>
          <w:p w:rsidR="00996079" w:rsidRPr="00E84D74" w:rsidRDefault="00996079" w:rsidP="00207150">
            <w:pPr>
              <w:autoSpaceDE w:val="0"/>
              <w:autoSpaceDN w:val="0"/>
              <w:adjustRightInd w:val="0"/>
              <w:rPr>
                <w:sz w:val="18"/>
                <w:szCs w:val="18"/>
              </w:rPr>
            </w:pPr>
            <w:r w:rsidRPr="00E84D74">
              <w:rPr>
                <w:sz w:val="18"/>
                <w:szCs w:val="18"/>
              </w:rPr>
              <w:lastRenderedPageBreak/>
              <w:t>(17) ‘</w:t>
            </w:r>
            <w:r w:rsidRPr="00E84D74">
              <w:rPr>
                <w:b/>
                <w:sz w:val="18"/>
                <w:szCs w:val="18"/>
              </w:rPr>
              <w:t>within day charge’</w:t>
            </w:r>
            <w:r w:rsidRPr="00E84D74">
              <w:rPr>
                <w:sz w:val="18"/>
                <w:szCs w:val="18"/>
              </w:rPr>
              <w:t xml:space="preserve"> means a charge levied or a payment made by a transmission system operator</w:t>
            </w:r>
            <w:r w:rsidR="00207150">
              <w:rPr>
                <w:sz w:val="18"/>
                <w:szCs w:val="18"/>
              </w:rPr>
              <w:t xml:space="preserve"> </w:t>
            </w:r>
            <w:r w:rsidRPr="00E84D74">
              <w:rPr>
                <w:sz w:val="18"/>
                <w:szCs w:val="18"/>
              </w:rPr>
              <w:t>on or to a network user as a result of a within day obligation;</w:t>
            </w:r>
          </w:p>
          <w:p w:rsidR="00996079" w:rsidRPr="00E84D74" w:rsidRDefault="00996079" w:rsidP="00207150">
            <w:pPr>
              <w:autoSpaceDE w:val="0"/>
              <w:autoSpaceDN w:val="0"/>
              <w:adjustRightInd w:val="0"/>
              <w:rPr>
                <w:sz w:val="18"/>
                <w:szCs w:val="18"/>
              </w:rPr>
            </w:pPr>
            <w:r w:rsidRPr="00E84D74">
              <w:rPr>
                <w:sz w:val="18"/>
                <w:szCs w:val="18"/>
              </w:rPr>
              <w:t>(18) ‘</w:t>
            </w:r>
            <w:r w:rsidRPr="00E84D74">
              <w:rPr>
                <w:b/>
                <w:sz w:val="18"/>
                <w:szCs w:val="18"/>
              </w:rPr>
              <w:t>within day obligation’</w:t>
            </w:r>
            <w:r w:rsidRPr="00E84D74">
              <w:rPr>
                <w:sz w:val="18"/>
                <w:szCs w:val="18"/>
              </w:rPr>
              <w:t xml:space="preserve"> means a set of rules regarding network users’ inputs and off-takes withinthe gas day imposed by a transmission system operator on network users;</w:t>
            </w:r>
          </w:p>
          <w:p w:rsidR="00996079" w:rsidRPr="00E84D74" w:rsidRDefault="00996079" w:rsidP="00DA725A">
            <w:pPr>
              <w:autoSpaceDE w:val="0"/>
              <w:autoSpaceDN w:val="0"/>
              <w:adjustRightInd w:val="0"/>
              <w:rPr>
                <w:sz w:val="18"/>
                <w:szCs w:val="18"/>
              </w:rPr>
            </w:pPr>
            <w:r w:rsidRPr="00E84D74">
              <w:rPr>
                <w:sz w:val="18"/>
                <w:szCs w:val="18"/>
              </w:rPr>
              <w:t>(19) ‘</w:t>
            </w:r>
            <w:r w:rsidRPr="00E84D74">
              <w:rPr>
                <w:b/>
                <w:sz w:val="18"/>
                <w:szCs w:val="18"/>
              </w:rPr>
              <w:t>base case’</w:t>
            </w:r>
            <w:r w:rsidRPr="00E84D74">
              <w:rPr>
                <w:sz w:val="18"/>
                <w:szCs w:val="18"/>
              </w:rPr>
              <w:t xml:space="preserve"> means the model for information provision where the information on non- daily metered off-takes consists of a day ahead and within day forecasts;</w:t>
            </w:r>
          </w:p>
          <w:p w:rsidR="00996079" w:rsidRPr="00E84D74" w:rsidRDefault="00996079" w:rsidP="00DA725A">
            <w:pPr>
              <w:autoSpaceDE w:val="0"/>
              <w:autoSpaceDN w:val="0"/>
              <w:adjustRightInd w:val="0"/>
              <w:rPr>
                <w:sz w:val="18"/>
                <w:szCs w:val="18"/>
              </w:rPr>
            </w:pPr>
            <w:r w:rsidRPr="00E84D74">
              <w:rPr>
                <w:sz w:val="18"/>
                <w:szCs w:val="18"/>
              </w:rPr>
              <w:t>(20) ‘</w:t>
            </w:r>
            <w:r w:rsidRPr="00E84D74">
              <w:rPr>
                <w:b/>
                <w:sz w:val="18"/>
                <w:szCs w:val="18"/>
              </w:rPr>
              <w:t>variant 1’</w:t>
            </w:r>
            <w:r w:rsidRPr="00E84D74">
              <w:rPr>
                <w:sz w:val="18"/>
                <w:szCs w:val="18"/>
              </w:rPr>
              <w:t xml:space="preserve"> means the model for information  provision where the information on non- daily metered</w:t>
            </w:r>
          </w:p>
          <w:p w:rsidR="00996079" w:rsidRPr="00E84D74" w:rsidRDefault="00996079" w:rsidP="00DA725A">
            <w:pPr>
              <w:autoSpaceDE w:val="0"/>
              <w:autoSpaceDN w:val="0"/>
              <w:adjustRightInd w:val="0"/>
              <w:rPr>
                <w:sz w:val="18"/>
                <w:szCs w:val="18"/>
              </w:rPr>
            </w:pPr>
            <w:r w:rsidRPr="00E84D74">
              <w:rPr>
                <w:sz w:val="18"/>
                <w:szCs w:val="18"/>
              </w:rPr>
              <w:t>and daily metered off-takes is based on apportionment of measured flows during the gas day;</w:t>
            </w:r>
          </w:p>
          <w:p w:rsidR="00996079" w:rsidRPr="00E84D74" w:rsidRDefault="00D21F35" w:rsidP="00DA725A">
            <w:pPr>
              <w:autoSpaceDE w:val="0"/>
              <w:autoSpaceDN w:val="0"/>
              <w:adjustRightInd w:val="0"/>
              <w:rPr>
                <w:sz w:val="18"/>
                <w:szCs w:val="18"/>
              </w:rPr>
            </w:pPr>
            <w:r w:rsidRPr="00E84D74">
              <w:rPr>
                <w:sz w:val="18"/>
                <w:szCs w:val="18"/>
              </w:rPr>
              <w:t xml:space="preserve"> </w:t>
            </w:r>
            <w:r w:rsidR="00996079" w:rsidRPr="00E84D74">
              <w:rPr>
                <w:sz w:val="18"/>
                <w:szCs w:val="18"/>
              </w:rPr>
              <w:t>(21) ‘</w:t>
            </w:r>
            <w:r w:rsidR="00996079" w:rsidRPr="00E84D74">
              <w:rPr>
                <w:b/>
                <w:sz w:val="18"/>
                <w:szCs w:val="18"/>
              </w:rPr>
              <w:t>variant 2’</w:t>
            </w:r>
            <w:r w:rsidR="00996079" w:rsidRPr="00E84D74">
              <w:rPr>
                <w:sz w:val="18"/>
                <w:szCs w:val="18"/>
              </w:rPr>
              <w:t xml:space="preserve"> means the model for information provision where the information on non- daily</w:t>
            </w:r>
          </w:p>
          <w:p w:rsidR="002D2707" w:rsidRPr="00E84D74" w:rsidRDefault="00996079" w:rsidP="00DA725A">
            <w:pPr>
              <w:autoSpaceDE w:val="0"/>
              <w:autoSpaceDN w:val="0"/>
              <w:adjustRightInd w:val="0"/>
              <w:rPr>
                <w:rFonts w:ascii="FrutigerLT-Bold" w:hAnsi="FrutigerLT-Bold" w:cs="FrutigerLT-Bold"/>
                <w:b/>
                <w:bCs/>
                <w:sz w:val="18"/>
                <w:szCs w:val="18"/>
              </w:rPr>
            </w:pPr>
            <w:r w:rsidRPr="00E84D74">
              <w:rPr>
                <w:sz w:val="18"/>
                <w:szCs w:val="18"/>
              </w:rPr>
              <w:t>metered off-takes is a day ahead forecast.</w:t>
            </w:r>
          </w:p>
        </w:tc>
      </w:tr>
      <w:tr w:rsidR="00996079" w:rsidRPr="00043955" w:rsidTr="00FC3840">
        <w:trPr>
          <w:trHeight w:val="1240"/>
        </w:trPr>
        <w:tc>
          <w:tcPr>
            <w:tcW w:w="5245" w:type="dxa"/>
            <w:shd w:val="clear" w:color="auto" w:fill="auto"/>
          </w:tcPr>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lastRenderedPageBreak/>
              <w:t>CAPITOLUL II</w:t>
            </w:r>
            <w:r w:rsidRPr="00AF0E15">
              <w:rPr>
                <w:sz w:val="18"/>
                <w:szCs w:val="18"/>
                <w:lang w:val="it-IT" w:eastAsia="en-US"/>
              </w:rPr>
              <w:t> </w:t>
            </w:r>
          </w:p>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t>SISTEM DE ECHILIBRARE</w:t>
            </w:r>
            <w:r w:rsidRPr="00AF0E15">
              <w:rPr>
                <w:sz w:val="18"/>
                <w:szCs w:val="18"/>
                <w:lang w:val="it-IT" w:eastAsia="en-US"/>
              </w:rPr>
              <w:t> </w:t>
            </w:r>
          </w:p>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t>Articolul 4</w:t>
            </w:r>
          </w:p>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t>Principii generale</w:t>
            </w:r>
          </w:p>
          <w:p w:rsidR="00996079" w:rsidRDefault="00996079" w:rsidP="00DA725A">
            <w:pPr>
              <w:jc w:val="both"/>
              <w:textAlignment w:val="baseline"/>
              <w:rPr>
                <w:sz w:val="18"/>
                <w:szCs w:val="18"/>
                <w:lang w:val="it-IT" w:eastAsia="en-US"/>
              </w:rPr>
            </w:pPr>
            <w:r w:rsidRPr="00AF0E15">
              <w:rPr>
                <w:sz w:val="18"/>
                <w:szCs w:val="18"/>
                <w:lang w:val="it-IT" w:eastAsia="en-US"/>
              </w:rPr>
              <w:t>(1)   Utilizatorii rețelei au responsabilitatea de a-și echilibra portofoliile pentru a reduce la minimum necesitatea ca operatorii de sisteme de transport să întreprindă acțiunile de echilibrare stabilite în prezentul regulament. </w:t>
            </w:r>
          </w:p>
          <w:p w:rsidR="008558D1" w:rsidRPr="00AF0E15" w:rsidRDefault="008558D1"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AF0E15">
              <w:rPr>
                <w:sz w:val="18"/>
                <w:szCs w:val="18"/>
                <w:lang w:val="it-IT" w:eastAsia="en-US"/>
              </w:rPr>
              <w:t>(2)   Normele de echilibrare stabilite în conformitate cu prezentul regulament trebuie să reflecte nevoile reale ale sistemului, luând în considerare resursele de care dispun operatorii de sisteme de transport și să ofere stimulente utilizatorilor rețelei pentru echilibrarea în mod eficient a portofoliilor lor de echilibrare ale acestora. </w:t>
            </w:r>
          </w:p>
          <w:p w:rsidR="00996079" w:rsidRDefault="00996079" w:rsidP="00DA725A">
            <w:pPr>
              <w:jc w:val="both"/>
              <w:textAlignment w:val="baseline"/>
              <w:rPr>
                <w:sz w:val="18"/>
                <w:szCs w:val="18"/>
                <w:lang w:val="it-IT" w:eastAsia="en-US"/>
              </w:rPr>
            </w:pPr>
            <w:r w:rsidRPr="00AF0E15">
              <w:rPr>
                <w:sz w:val="18"/>
                <w:szCs w:val="18"/>
                <w:lang w:val="it-IT" w:eastAsia="en-US"/>
              </w:rPr>
              <w:t>(3)   Utilizatorii rețelei au posibilitatea de a încheia un acord obligatoriu din punct de vedere juridic cu operatorul de sistem de transport care să le permită să prezinte notificări comerciale, indiferent dacă au contractat capacitate de transport sau nu. </w:t>
            </w:r>
          </w:p>
          <w:p w:rsidR="008558D1" w:rsidRPr="00AF0E15" w:rsidRDefault="008558D1" w:rsidP="00DA725A">
            <w:pPr>
              <w:jc w:val="both"/>
              <w:textAlignment w:val="baseline"/>
              <w:rPr>
                <w:rFonts w:ascii="Segoe UI" w:hAnsi="Segoe UI" w:cs="Segoe UI"/>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(4)   În cadrul unei zone de echilibrare unde sunt activi mai mulți operatori de sisteme de transport, prezentul regulament se aplică tuturor operatorilor de sisteme de transport din zona de echilibrare respectivă. În cazul în care responsabilitatea pentru menținerea echilibrului rețelelor lor de transport a fost transferată către o entitate, prezentul regulament se aplică entității respective în măsura definită de normele naționale aplicabile. </w:t>
            </w:r>
          </w:p>
          <w:p w:rsidR="00996079" w:rsidRDefault="00996079" w:rsidP="00DA725A">
            <w:pPr>
              <w:jc w:val="both"/>
              <w:textAlignment w:val="baseline"/>
              <w:rPr>
                <w:sz w:val="18"/>
                <w:szCs w:val="18"/>
                <w:lang w:val="it-IT" w:eastAsia="en-US"/>
              </w:rPr>
            </w:pPr>
            <w:r w:rsidRPr="00AF0E15">
              <w:rPr>
                <w:b/>
                <w:bCs/>
                <w:sz w:val="18"/>
                <w:szCs w:val="18"/>
                <w:lang w:val="it-IT" w:eastAsia="en-US"/>
              </w:rPr>
              <w:lastRenderedPageBreak/>
              <w:t>                    </w:t>
            </w:r>
            <w:r w:rsidRPr="00AF0E15">
              <w:rPr>
                <w:sz w:val="18"/>
                <w:szCs w:val="18"/>
                <w:lang w:val="it-IT" w:eastAsia="en-US"/>
              </w:rPr>
              <w:t> </w:t>
            </w:r>
          </w:p>
          <w:p w:rsidR="008558D1" w:rsidRDefault="008558D1" w:rsidP="00DA725A">
            <w:pPr>
              <w:jc w:val="both"/>
              <w:textAlignment w:val="baseline"/>
              <w:rPr>
                <w:sz w:val="18"/>
                <w:szCs w:val="18"/>
                <w:lang w:val="it-IT" w:eastAsia="en-US"/>
              </w:rPr>
            </w:pPr>
          </w:p>
          <w:p w:rsidR="008558D1" w:rsidRPr="00AF0E15" w:rsidRDefault="008558D1" w:rsidP="00DA725A">
            <w:pPr>
              <w:jc w:val="both"/>
              <w:textAlignment w:val="baseline"/>
              <w:rPr>
                <w:rFonts w:ascii="Segoe UI" w:hAnsi="Segoe UI" w:cs="Segoe UI"/>
                <w:sz w:val="18"/>
                <w:szCs w:val="18"/>
                <w:lang w:val="it-IT" w:eastAsia="en-US"/>
              </w:rPr>
            </w:pPr>
          </w:p>
          <w:p w:rsidR="00996079" w:rsidRPr="00AF0E15" w:rsidRDefault="00996079" w:rsidP="008558D1">
            <w:pPr>
              <w:jc w:val="center"/>
              <w:textAlignment w:val="baseline"/>
              <w:rPr>
                <w:rFonts w:ascii="Segoe UI" w:hAnsi="Segoe UI" w:cs="Segoe UI"/>
                <w:sz w:val="18"/>
                <w:szCs w:val="18"/>
                <w:lang w:val="it-IT" w:eastAsia="en-US"/>
              </w:rPr>
            </w:pPr>
            <w:r w:rsidRPr="00AF0E15">
              <w:rPr>
                <w:b/>
                <w:bCs/>
                <w:sz w:val="18"/>
                <w:szCs w:val="18"/>
                <w:lang w:val="it-IT" w:eastAsia="en-US"/>
              </w:rPr>
              <w:t>Articolul 5</w:t>
            </w:r>
          </w:p>
          <w:p w:rsidR="00996079" w:rsidRPr="00AF0E15" w:rsidRDefault="00996079" w:rsidP="008558D1">
            <w:pPr>
              <w:jc w:val="center"/>
              <w:textAlignment w:val="baseline"/>
              <w:rPr>
                <w:rFonts w:ascii="Segoe UI" w:hAnsi="Segoe UI" w:cs="Segoe UI"/>
                <w:sz w:val="18"/>
                <w:szCs w:val="18"/>
                <w:lang w:val="it-IT" w:eastAsia="en-US"/>
              </w:rPr>
            </w:pPr>
            <w:r w:rsidRPr="00AF0E15">
              <w:rPr>
                <w:b/>
                <w:bCs/>
                <w:sz w:val="18"/>
                <w:szCs w:val="18"/>
                <w:lang w:val="it-IT" w:eastAsia="en-US"/>
              </w:rPr>
              <w:t>Notificări comerciale și alocări</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(1)   Schimbul de gaz între două portofolii de echilibrare din cadrul unei zone de echilibrare se realizează cu ajutorul unor notificări comerciale de cedare și de achiziționare, înaintate operatorului de sistem de transport cu privire la ziua gazieră. </w:t>
            </w:r>
          </w:p>
          <w:p w:rsidR="001E4203" w:rsidRDefault="001E4203" w:rsidP="00DA725A">
            <w:pPr>
              <w:jc w:val="both"/>
              <w:textAlignment w:val="baseline"/>
              <w:rPr>
                <w:sz w:val="18"/>
                <w:szCs w:val="18"/>
                <w:lang w:val="it-IT" w:eastAsia="en-US"/>
              </w:rPr>
            </w:pPr>
          </w:p>
          <w:p w:rsidR="00010611" w:rsidRDefault="00010611"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(2)   Termenul pentru prezentarea, retragerea și modificarea notificărilor comerciale este definit de către operatorul de sistem de transport în contractul de transport sau în alt acord obligatoriu din punct de vedere juridic încheiat cu utilizatorii rețelei, ținând cont de durata de procesare a notificărilor comerciale, dacă este cazul. Operatorul de sistem de transport permite utilizatorilor rețelei să prezinte notificări comerciale în apropierea momentului în care notificarea comercială devine efectivă.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(3)   Operatorul de sistem de transport reduce la minimum durata de procesare a notificărilor comerciale. Durata de procesare nu trebuie să depășească treizeci de minute, cu excepția cazului în care momentul când notificarea comercială devine efectivă permite prelungirea timpului de prelucrare cu până la două ore.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(4)   O notificare comercială furnizează cel puțin următoarele informații: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(a)</w:t>
            </w:r>
            <w:r w:rsidRPr="00AF0E15">
              <w:rPr>
                <w:rFonts w:ascii="Calibri" w:hAnsi="Calibri" w:cs="Calibri"/>
                <w:sz w:val="18"/>
                <w:szCs w:val="18"/>
                <w:lang w:val="it-IT" w:eastAsia="en-US"/>
              </w:rPr>
              <w:t xml:space="preserve"> </w:t>
            </w:r>
            <w:r w:rsidRPr="00AF0E15">
              <w:rPr>
                <w:sz w:val="18"/>
                <w:szCs w:val="18"/>
                <w:lang w:val="it-IT" w:eastAsia="en-US"/>
              </w:rPr>
              <w:t>ziua gazieră pentru care este transferat gazul;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(b)</w:t>
            </w:r>
            <w:r w:rsidRPr="00AF0E15">
              <w:rPr>
                <w:rFonts w:ascii="Calibri" w:hAnsi="Calibri" w:cs="Calibri"/>
                <w:sz w:val="18"/>
                <w:szCs w:val="18"/>
                <w:lang w:val="it-IT" w:eastAsia="en-US"/>
              </w:rPr>
              <w:t xml:space="preserve"> </w:t>
            </w:r>
            <w:r w:rsidRPr="00AF0E15">
              <w:rPr>
                <w:sz w:val="18"/>
                <w:szCs w:val="18"/>
                <w:lang w:val="it-IT" w:eastAsia="en-US"/>
              </w:rPr>
              <w:t>identificarea portofoliilor de echilibrare în cauză;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(c)</w:t>
            </w:r>
            <w:r w:rsidRPr="00AF0E15">
              <w:rPr>
                <w:rFonts w:ascii="Calibri" w:hAnsi="Calibri" w:cs="Calibri"/>
                <w:sz w:val="18"/>
                <w:szCs w:val="18"/>
                <w:lang w:val="it-IT" w:eastAsia="en-US"/>
              </w:rPr>
              <w:t xml:space="preserve"> </w:t>
            </w:r>
            <w:r w:rsidRPr="00AF0E15">
              <w:rPr>
                <w:sz w:val="18"/>
                <w:szCs w:val="18"/>
                <w:lang w:val="it-IT" w:eastAsia="en-US"/>
              </w:rPr>
              <w:t>dacă este vorba despre o notificare comercială de cedare sau de achiziționare;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(d)</w:t>
            </w:r>
            <w:r w:rsidRPr="00AF0E15">
              <w:rPr>
                <w:rFonts w:ascii="Calibri" w:hAnsi="Calibri" w:cs="Calibri"/>
                <w:sz w:val="18"/>
                <w:szCs w:val="18"/>
                <w:lang w:val="it-IT" w:eastAsia="en-US"/>
              </w:rPr>
              <w:t xml:space="preserve"> </w:t>
            </w:r>
            <w:r w:rsidRPr="00AF0E15">
              <w:rPr>
                <w:sz w:val="18"/>
                <w:szCs w:val="18"/>
                <w:lang w:val="it-IT" w:eastAsia="en-US"/>
              </w:rPr>
              <w:t>volumul de notificare exprimat în kWh/z, pentru volumul de notificare zilnică, sau în kWh/h, pentru volumul de notificare orară, conform dispozițiilor operatorului de sistem de transport. </w:t>
            </w:r>
          </w:p>
          <w:p w:rsidR="00010611" w:rsidRDefault="00996079" w:rsidP="00010611">
            <w:pPr>
              <w:jc w:val="both"/>
              <w:textAlignment w:val="baseline"/>
              <w:rPr>
                <w:sz w:val="18"/>
                <w:szCs w:val="18"/>
                <w:lang w:val="it-IT" w:eastAsia="en-US"/>
              </w:rPr>
            </w:pPr>
            <w:r w:rsidRPr="00AF0E15">
              <w:rPr>
                <w:sz w:val="18"/>
                <w:szCs w:val="18"/>
                <w:lang w:val="it-IT" w:eastAsia="en-US"/>
              </w:rPr>
              <w:t> </w:t>
            </w:r>
          </w:p>
          <w:p w:rsidR="00010611" w:rsidRDefault="00010611" w:rsidP="00010611">
            <w:pPr>
              <w:jc w:val="both"/>
              <w:textAlignment w:val="baseline"/>
              <w:rPr>
                <w:sz w:val="18"/>
                <w:szCs w:val="18"/>
                <w:lang w:val="it-IT" w:eastAsia="en-US"/>
              </w:rPr>
            </w:pPr>
          </w:p>
          <w:p w:rsidR="00996079" w:rsidRPr="00AF0E15" w:rsidRDefault="00996079" w:rsidP="00010611">
            <w:pPr>
              <w:jc w:val="both"/>
              <w:textAlignment w:val="baseline"/>
              <w:rPr>
                <w:rFonts w:ascii="Segoe UI" w:hAnsi="Segoe UI" w:cs="Segoe UI"/>
                <w:sz w:val="18"/>
                <w:szCs w:val="18"/>
                <w:lang w:val="it-IT" w:eastAsia="en-US"/>
              </w:rPr>
            </w:pPr>
            <w:r w:rsidRPr="00AF0E15">
              <w:rPr>
                <w:sz w:val="18"/>
                <w:szCs w:val="18"/>
                <w:lang w:val="it-IT" w:eastAsia="en-US"/>
              </w:rPr>
              <w:t>(5)   Dacă operatorul de sistem de transport primește un set corespunzător format dintr-o notificare comercială de cedare și dintr-una de achiziționare, iar volumele de notificare sunt egale, atunci operatorul de sistem de transport trebuie să aloce volumele de notificare portofoliilor de echilibrare în cauză, după cum urmează: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(a)</w:t>
            </w:r>
            <w:r w:rsidRPr="00AF0E15">
              <w:rPr>
                <w:rFonts w:ascii="Calibri" w:hAnsi="Calibri" w:cs="Calibri"/>
                <w:sz w:val="18"/>
                <w:szCs w:val="18"/>
                <w:lang w:val="it-IT" w:eastAsia="en-US"/>
              </w:rPr>
              <w:t xml:space="preserve"> </w:t>
            </w:r>
            <w:r w:rsidRPr="00AF0E15">
              <w:rPr>
                <w:sz w:val="18"/>
                <w:szCs w:val="18"/>
                <w:lang w:val="it-IT" w:eastAsia="en-US"/>
              </w:rPr>
              <w:t>portofoliului de echilibrare al utilizatorului rețelei care emite notificarea comercială de cedare, sub formă de ieșire; precum și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(b)</w:t>
            </w:r>
            <w:r w:rsidRPr="00AF0E15">
              <w:rPr>
                <w:rFonts w:ascii="Calibri" w:hAnsi="Calibri" w:cs="Calibri"/>
                <w:sz w:val="18"/>
                <w:szCs w:val="18"/>
                <w:lang w:val="it-IT" w:eastAsia="en-US"/>
              </w:rPr>
              <w:t xml:space="preserve"> </w:t>
            </w:r>
            <w:r w:rsidRPr="00AF0E15">
              <w:rPr>
                <w:sz w:val="18"/>
                <w:szCs w:val="18"/>
                <w:lang w:val="it-IT" w:eastAsia="en-US"/>
              </w:rPr>
              <w:t>portofoliului de echilibrare al utilizatorului rețelei care emite notificarea comercială de achiziționare, sub formă de intrare. </w:t>
            </w:r>
          </w:p>
          <w:p w:rsidR="001E4203" w:rsidRDefault="001E4203" w:rsidP="00DA725A">
            <w:pPr>
              <w:jc w:val="both"/>
              <w:textAlignment w:val="baseline"/>
              <w:rPr>
                <w:sz w:val="18"/>
                <w:szCs w:val="18"/>
                <w:lang w:val="it-IT" w:eastAsia="en-US"/>
              </w:rPr>
            </w:pPr>
          </w:p>
          <w:p w:rsidR="00010611" w:rsidRPr="00AF0E15" w:rsidRDefault="00010611" w:rsidP="00DA725A">
            <w:pPr>
              <w:jc w:val="both"/>
              <w:textAlignment w:val="baseline"/>
              <w:rPr>
                <w:sz w:val="18"/>
                <w:szCs w:val="18"/>
                <w:lang w:val="it-IT" w:eastAsia="en-US"/>
              </w:rPr>
            </w:pPr>
          </w:p>
          <w:p w:rsidR="00996079" w:rsidRDefault="00996079" w:rsidP="00DA725A">
            <w:pPr>
              <w:jc w:val="both"/>
              <w:textAlignment w:val="baseline"/>
              <w:rPr>
                <w:sz w:val="18"/>
                <w:szCs w:val="18"/>
                <w:lang w:val="it-IT" w:eastAsia="en-US"/>
              </w:rPr>
            </w:pPr>
            <w:r w:rsidRPr="00AF0E15">
              <w:rPr>
                <w:sz w:val="18"/>
                <w:szCs w:val="18"/>
                <w:lang w:val="it-IT" w:eastAsia="en-US"/>
              </w:rPr>
              <w:t>(6)   În cazul în care volumele de notificare menționate la alineatul (5) nu sunt egale, operatorul de sistem de transport fie alocă volumul de notificare mai mic menționat în notificarea comercială relevantă, fie respinge ambele notificări comerciale. Norma aplicabilă este definită de operatorul de sistem de transport în contractul de transport aplicabil sau într-un alt acord cu caracter juridic obligatoriu. </w:t>
            </w:r>
          </w:p>
          <w:p w:rsidR="000A12CB" w:rsidRDefault="000A12CB" w:rsidP="00DA725A">
            <w:pPr>
              <w:jc w:val="both"/>
              <w:textAlignment w:val="baseline"/>
              <w:rPr>
                <w:sz w:val="18"/>
                <w:szCs w:val="18"/>
                <w:lang w:val="it-IT" w:eastAsia="en-US"/>
              </w:rPr>
            </w:pP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(7)   Un furnizor de servicii nu trebuie împiedicat să acționeze în numele unui utilizator al rețelei în scopul alineatului (5), cu condiția aprobării prealabile a operatorului de sistem de transport.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(8)   Un utilizator al rețelei poate emite o notificare comercială privind o zi gazieră, indiferent dacă utilizatorul rețelei a efectuat sau nu o nominalizare pentru ziua gazieră respectivă.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(9)   Alineatele (1)-(8) se aplică, mutatis mutandis, operatorilor de sisteme de transport participanți la tranzacționare în conformitate cu articolul 6 alineatul (3) litera (a). </w:t>
            </w:r>
          </w:p>
          <w:p w:rsidR="00996079" w:rsidRPr="00AF0E15" w:rsidRDefault="00996079" w:rsidP="00DA725A">
            <w:pPr>
              <w:jc w:val="center"/>
              <w:textAlignment w:val="baseline"/>
              <w:rPr>
                <w:b/>
                <w:bCs/>
                <w:sz w:val="18"/>
                <w:szCs w:val="18"/>
                <w:lang w:val="it-IT" w:eastAsia="en-US"/>
              </w:rPr>
            </w:pPr>
          </w:p>
        </w:tc>
        <w:tc>
          <w:tcPr>
            <w:tcW w:w="4962" w:type="dxa"/>
            <w:shd w:val="clear" w:color="auto" w:fill="auto"/>
          </w:tcPr>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lastRenderedPageBreak/>
              <w:t>Capitolul II</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SISTEMUL DE ECHILIBRARE</w:t>
            </w:r>
          </w:p>
          <w:p w:rsidR="00870D8B" w:rsidRPr="00870D8B" w:rsidRDefault="00870D8B" w:rsidP="00870D8B">
            <w:pPr>
              <w:textAlignment w:val="baseline"/>
              <w:rPr>
                <w:bCs/>
                <w:sz w:val="18"/>
                <w:szCs w:val="18"/>
                <w:lang w:val="ro-RO" w:eastAsia="en-US"/>
              </w:rPr>
            </w:pPr>
            <w:r w:rsidRPr="00870D8B">
              <w:rPr>
                <w:bCs/>
                <w:sz w:val="18"/>
                <w:szCs w:val="18"/>
                <w:lang w:val="ro-RO" w:eastAsia="en-US"/>
              </w:rPr>
              <w:t> </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Secţiunea 1</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Principii generale</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438.</w:t>
            </w:r>
            <w:r w:rsidRPr="00870D8B">
              <w:rPr>
                <w:bCs/>
                <w:sz w:val="18"/>
                <w:szCs w:val="18"/>
                <w:lang w:val="ro-RO" w:eastAsia="en-US"/>
              </w:rPr>
              <w:t xml:space="preserve"> Utilizatorii de sistem au responsabilitatea de a-şi echilibra portofoliile de echilibrare pentru a reduce la minimum necesitatea ca OST să întreprindă acţiunile de echilibrare stabilite în prezentul Titlu.</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439.</w:t>
            </w:r>
            <w:r w:rsidRPr="00870D8B">
              <w:rPr>
                <w:bCs/>
                <w:sz w:val="18"/>
                <w:szCs w:val="18"/>
                <w:lang w:val="ro-RO" w:eastAsia="en-US"/>
              </w:rPr>
              <w:t xml:space="preserve"> Normele de echilibrare stabilite în conformitate cu prezentul Titlu trebuie să reflecte necesităţile reale ale sistemului, pornind de la resursele de care dispun OST şi să ofere stimulente utilizatorilor de sistem pentru echilibrarea în mod eficient a portofoliilor sale de echilibrare.</w:t>
            </w:r>
          </w:p>
          <w:p w:rsidR="00870D8B" w:rsidRDefault="00870D8B" w:rsidP="00870D8B">
            <w:pPr>
              <w:textAlignment w:val="baseline"/>
              <w:rPr>
                <w:bCs/>
                <w:sz w:val="18"/>
                <w:szCs w:val="18"/>
                <w:lang w:val="ro-RO" w:eastAsia="en-US"/>
              </w:rPr>
            </w:pPr>
            <w:r w:rsidRPr="00870D8B">
              <w:rPr>
                <w:b/>
                <w:bCs/>
                <w:sz w:val="18"/>
                <w:szCs w:val="18"/>
                <w:lang w:val="ro-RO" w:eastAsia="en-US"/>
              </w:rPr>
              <w:t>440.</w:t>
            </w:r>
            <w:r w:rsidRPr="00870D8B">
              <w:rPr>
                <w:bCs/>
                <w:sz w:val="18"/>
                <w:szCs w:val="18"/>
                <w:lang w:val="ro-RO" w:eastAsia="en-US"/>
              </w:rPr>
              <w:t xml:space="preserve"> Utilizatorii de sistem au posibilitatea de a încheia un contract cu OST care să le permită să prezinte notificări comerciale, indiferent dacă au contractat capacitatea reţelei de transport al gazelor naturale sau nu.</w:t>
            </w:r>
          </w:p>
          <w:p w:rsidR="008558D1" w:rsidRDefault="008558D1" w:rsidP="00870D8B">
            <w:pPr>
              <w:textAlignment w:val="baseline"/>
              <w:rPr>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441.</w:t>
            </w:r>
            <w:r w:rsidRPr="00870D8B">
              <w:rPr>
                <w:bCs/>
                <w:sz w:val="18"/>
                <w:szCs w:val="18"/>
                <w:lang w:val="ro-RO" w:eastAsia="en-US"/>
              </w:rPr>
              <w:t xml:space="preserve"> În cadrul unei zone de echilibrare unde sunt activi mai mulţi OST, prezentul Titlu se aplică tuturor OST din zona de echilibrare respectivă. În cazul în care responsabilitatea pentru menţinerea echilibrului în reţelele lor de transport al gazelor naturale a fost transferată către o entitate de echilibrare, prezentul Titlu se aplică entităţii respective.</w:t>
            </w:r>
          </w:p>
          <w:p w:rsidR="00870D8B" w:rsidRDefault="00870D8B" w:rsidP="00870D8B">
            <w:pPr>
              <w:textAlignment w:val="baseline"/>
              <w:rPr>
                <w:bCs/>
                <w:sz w:val="18"/>
                <w:szCs w:val="18"/>
                <w:lang w:val="ro-RO" w:eastAsia="en-US"/>
              </w:rPr>
            </w:pPr>
            <w:r w:rsidRPr="00870D8B">
              <w:rPr>
                <w:bCs/>
                <w:sz w:val="18"/>
                <w:szCs w:val="18"/>
                <w:lang w:val="ro-RO" w:eastAsia="en-US"/>
              </w:rPr>
              <w:t> </w:t>
            </w:r>
          </w:p>
          <w:p w:rsidR="008914AB" w:rsidRDefault="008914AB" w:rsidP="00870D8B">
            <w:pPr>
              <w:textAlignment w:val="baseline"/>
              <w:rPr>
                <w:bCs/>
                <w:sz w:val="18"/>
                <w:szCs w:val="18"/>
                <w:lang w:val="ro-RO" w:eastAsia="en-US"/>
              </w:rPr>
            </w:pPr>
          </w:p>
          <w:p w:rsidR="008558D1" w:rsidRDefault="008558D1" w:rsidP="00870D8B">
            <w:pPr>
              <w:textAlignment w:val="baseline"/>
              <w:rPr>
                <w:bCs/>
                <w:sz w:val="18"/>
                <w:szCs w:val="18"/>
                <w:lang w:val="ro-RO" w:eastAsia="en-US"/>
              </w:rPr>
            </w:pPr>
          </w:p>
          <w:p w:rsidR="008558D1" w:rsidRPr="00870D8B" w:rsidRDefault="008558D1" w:rsidP="00870D8B">
            <w:pPr>
              <w:textAlignment w:val="baseline"/>
              <w:rPr>
                <w:bCs/>
                <w:sz w:val="18"/>
                <w:szCs w:val="18"/>
                <w:lang w:val="ro-RO" w:eastAsia="en-US"/>
              </w:rPr>
            </w:pP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Secţiunea 2</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Notificări comerciale şi alocări</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442.</w:t>
            </w:r>
            <w:r w:rsidRPr="00870D8B">
              <w:rPr>
                <w:bCs/>
                <w:sz w:val="18"/>
                <w:szCs w:val="18"/>
                <w:lang w:val="ro-RO" w:eastAsia="en-US"/>
              </w:rPr>
              <w:t xml:space="preserve"> Schimbul de gaze naturale între 2 portofolii de echilibrare din cadrul unei zone de echilibrare se realizează cu ajutorul unor notificări comerciale de vânzare sau de cumpărare, prezentate către OST cu privire la ziua gazieră respectivă.</w:t>
            </w:r>
          </w:p>
          <w:p w:rsidR="008914AB" w:rsidRDefault="008914AB" w:rsidP="00870D8B">
            <w:pPr>
              <w:textAlignment w:val="baseline"/>
              <w:rPr>
                <w:b/>
                <w:bCs/>
                <w:sz w:val="18"/>
                <w:szCs w:val="18"/>
                <w:lang w:val="ro-RO" w:eastAsia="en-US"/>
              </w:rPr>
            </w:pPr>
          </w:p>
          <w:p w:rsidR="00010611" w:rsidRDefault="00010611" w:rsidP="00870D8B">
            <w:pPr>
              <w:textAlignment w:val="baseline"/>
              <w:rPr>
                <w:b/>
                <w:bCs/>
                <w:sz w:val="18"/>
                <w:szCs w:val="18"/>
                <w:lang w:val="ro-RO" w:eastAsia="en-US"/>
              </w:rPr>
            </w:pPr>
          </w:p>
          <w:p w:rsidR="00870D8B" w:rsidRDefault="00870D8B" w:rsidP="00870D8B">
            <w:pPr>
              <w:textAlignment w:val="baseline"/>
              <w:rPr>
                <w:bCs/>
                <w:sz w:val="18"/>
                <w:szCs w:val="18"/>
                <w:lang w:val="ro-RO" w:eastAsia="en-US"/>
              </w:rPr>
            </w:pPr>
            <w:r w:rsidRPr="00870D8B">
              <w:rPr>
                <w:b/>
                <w:bCs/>
                <w:sz w:val="18"/>
                <w:szCs w:val="18"/>
                <w:lang w:val="ro-RO" w:eastAsia="en-US"/>
              </w:rPr>
              <w:t>443.</w:t>
            </w:r>
            <w:r w:rsidRPr="00870D8B">
              <w:rPr>
                <w:bCs/>
                <w:sz w:val="18"/>
                <w:szCs w:val="18"/>
                <w:lang w:val="ro-RO" w:eastAsia="en-US"/>
              </w:rPr>
              <w:t xml:space="preserve"> Termenul pentru prezentarea, retragerea şi modificarea notificărilor comerciale este definit de către OST în contractul privind prestarea serviciilor de transport al gazelor naturale sau în alt acord obligatoriu din punct de vedere juridic încheiat cu utilizatorii de sistem, ţinând cont de durata de procesare a notificărilor comerciale, dacă este cazul. OST permite utilizatorilor de sistem să prezinte notificări comerciale în apropierea momentului în care notificarea comercială devine efectivă.</w:t>
            </w:r>
          </w:p>
          <w:p w:rsidR="008558D1" w:rsidRPr="00870D8B" w:rsidRDefault="008558D1" w:rsidP="00870D8B">
            <w:pPr>
              <w:textAlignment w:val="baseline"/>
              <w:rPr>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444.</w:t>
            </w:r>
            <w:r w:rsidRPr="00870D8B">
              <w:rPr>
                <w:bCs/>
                <w:sz w:val="18"/>
                <w:szCs w:val="18"/>
                <w:lang w:val="ro-RO" w:eastAsia="en-US"/>
              </w:rPr>
              <w:t xml:space="preserve"> OST reduce la minimum durata de procesare a notificărilor comerciale. Durata de procesare nu trebuie să depăşească 30 de minute, cu excepţia cazului când momentul în care notificarea comercială devine efectivă, permite prelungirea timpului de prelucrare cu până la 2 ore.</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445.</w:t>
            </w:r>
            <w:r w:rsidRPr="00870D8B">
              <w:rPr>
                <w:bCs/>
                <w:sz w:val="18"/>
                <w:szCs w:val="18"/>
                <w:lang w:val="ro-RO" w:eastAsia="en-US"/>
              </w:rPr>
              <w:t xml:space="preserve"> O notificare comercială conţine cel puţin următoarele informaţii:</w:t>
            </w:r>
          </w:p>
          <w:p w:rsidR="00870D8B" w:rsidRPr="00870D8B" w:rsidRDefault="00870D8B" w:rsidP="00870D8B">
            <w:pPr>
              <w:textAlignment w:val="baseline"/>
              <w:rPr>
                <w:bCs/>
                <w:sz w:val="18"/>
                <w:szCs w:val="18"/>
                <w:lang w:val="ro-RO" w:eastAsia="en-US"/>
              </w:rPr>
            </w:pPr>
            <w:r w:rsidRPr="00870D8B">
              <w:rPr>
                <w:bCs/>
                <w:sz w:val="18"/>
                <w:szCs w:val="18"/>
                <w:lang w:val="ro-RO" w:eastAsia="en-US"/>
              </w:rPr>
              <w:t>1) ziua gazieră pentru care se efectuează transportul gazelor naturale;</w:t>
            </w:r>
          </w:p>
          <w:p w:rsidR="00870D8B" w:rsidRPr="00870D8B" w:rsidRDefault="00870D8B" w:rsidP="00870D8B">
            <w:pPr>
              <w:textAlignment w:val="baseline"/>
              <w:rPr>
                <w:bCs/>
                <w:sz w:val="18"/>
                <w:szCs w:val="18"/>
                <w:lang w:val="ro-RO" w:eastAsia="en-US"/>
              </w:rPr>
            </w:pPr>
            <w:r w:rsidRPr="00870D8B">
              <w:rPr>
                <w:bCs/>
                <w:sz w:val="18"/>
                <w:szCs w:val="18"/>
                <w:lang w:val="ro-RO" w:eastAsia="en-US"/>
              </w:rPr>
              <w:t>2) codurile de identificare ale portofoliilor de echilibrare în cauză;</w:t>
            </w:r>
          </w:p>
          <w:p w:rsidR="00870D8B" w:rsidRPr="00870D8B" w:rsidRDefault="00870D8B" w:rsidP="00870D8B">
            <w:pPr>
              <w:textAlignment w:val="baseline"/>
              <w:rPr>
                <w:bCs/>
                <w:sz w:val="18"/>
                <w:szCs w:val="18"/>
                <w:lang w:val="ro-RO" w:eastAsia="en-US"/>
              </w:rPr>
            </w:pPr>
            <w:r w:rsidRPr="00870D8B">
              <w:rPr>
                <w:bCs/>
                <w:sz w:val="18"/>
                <w:szCs w:val="18"/>
                <w:lang w:val="ro-RO" w:eastAsia="en-US"/>
              </w:rPr>
              <w:t>3) specificarea tipului notificării (de vânzare sau de cumpărare);</w:t>
            </w:r>
          </w:p>
          <w:p w:rsidR="00870D8B" w:rsidRPr="00870D8B" w:rsidRDefault="00870D8B" w:rsidP="00870D8B">
            <w:pPr>
              <w:textAlignment w:val="baseline"/>
              <w:rPr>
                <w:bCs/>
                <w:sz w:val="18"/>
                <w:szCs w:val="18"/>
                <w:lang w:val="ro-RO" w:eastAsia="en-US"/>
              </w:rPr>
            </w:pPr>
            <w:r w:rsidRPr="00870D8B">
              <w:rPr>
                <w:bCs/>
                <w:sz w:val="18"/>
                <w:szCs w:val="18"/>
                <w:lang w:val="ro-RO" w:eastAsia="en-US"/>
              </w:rPr>
              <w:t>4) cantitatea de gaze naturale notificată zilnic, exprimată în kWh/zi sau în kWh/h (pentru cantitatea de gaze naturale notificată orar).</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446.</w:t>
            </w:r>
            <w:r w:rsidRPr="00870D8B">
              <w:rPr>
                <w:bCs/>
                <w:sz w:val="18"/>
                <w:szCs w:val="18"/>
                <w:lang w:val="ro-RO" w:eastAsia="en-US"/>
              </w:rPr>
              <w:t xml:space="preserve"> Dacă OST primeşte un set corespunzător format dintr-o notificare comercială de vânzare şi de cumpărare, iar cantităţile notificate sunt egale, atunci OST trebuie să aloce cantităţile notificate portofoliilor de echilibrare în cauză, după cum urmează:</w:t>
            </w:r>
          </w:p>
          <w:p w:rsidR="00870D8B" w:rsidRPr="00870D8B" w:rsidRDefault="00870D8B" w:rsidP="00870D8B">
            <w:pPr>
              <w:textAlignment w:val="baseline"/>
              <w:rPr>
                <w:bCs/>
                <w:sz w:val="18"/>
                <w:szCs w:val="18"/>
                <w:lang w:val="ro-RO" w:eastAsia="en-US"/>
              </w:rPr>
            </w:pPr>
            <w:r w:rsidRPr="00870D8B">
              <w:rPr>
                <w:bCs/>
                <w:sz w:val="18"/>
                <w:szCs w:val="18"/>
                <w:lang w:val="ro-RO" w:eastAsia="en-US"/>
              </w:rPr>
              <w:t>1) portofoliului de echilibrare al utilizatorului de sistem care emite notificarea comercială de vânzare, sub formă de ieşire; precum şi</w:t>
            </w:r>
          </w:p>
          <w:p w:rsidR="00870D8B" w:rsidRPr="00870D8B" w:rsidRDefault="00870D8B" w:rsidP="00870D8B">
            <w:pPr>
              <w:textAlignment w:val="baseline"/>
              <w:rPr>
                <w:bCs/>
                <w:sz w:val="18"/>
                <w:szCs w:val="18"/>
                <w:lang w:val="ro-RO" w:eastAsia="en-US"/>
              </w:rPr>
            </w:pPr>
            <w:r w:rsidRPr="00870D8B">
              <w:rPr>
                <w:bCs/>
                <w:sz w:val="18"/>
                <w:szCs w:val="18"/>
                <w:lang w:val="ro-RO" w:eastAsia="en-US"/>
              </w:rPr>
              <w:t>2) portofoliului de echilibrare al utilizatorului de sistem care emite notificarea comercială de cumpărare, sub formă de intrare.</w:t>
            </w:r>
          </w:p>
          <w:p w:rsidR="00870D8B" w:rsidRPr="008914AB" w:rsidRDefault="00870D8B" w:rsidP="00870D8B">
            <w:pPr>
              <w:textAlignment w:val="baseline"/>
              <w:rPr>
                <w:b/>
                <w:bCs/>
                <w:sz w:val="18"/>
                <w:szCs w:val="18"/>
                <w:lang w:val="ro-RO" w:eastAsia="en-US"/>
              </w:rPr>
            </w:pPr>
            <w:r w:rsidRPr="00870D8B">
              <w:rPr>
                <w:b/>
                <w:bCs/>
                <w:sz w:val="18"/>
                <w:szCs w:val="18"/>
                <w:lang w:val="ro-RO" w:eastAsia="en-US"/>
              </w:rPr>
              <w:lastRenderedPageBreak/>
              <w:t>447.</w:t>
            </w:r>
            <w:r w:rsidRPr="00870D8B">
              <w:rPr>
                <w:bCs/>
                <w:sz w:val="18"/>
                <w:szCs w:val="18"/>
                <w:lang w:val="ro-RO" w:eastAsia="en-US"/>
              </w:rPr>
              <w:t xml:space="preserve"> În cazul în care cantităţile notificate menţionate la pct.446 nu sunt egale, OST fie alocă cantitatea de notificare mai mică specificată în notificarea comercială respectivă, fie respinge ambele notificări comerciale. Norma aplicabilă este definită de OST în contractul privind prestarea serviciilor de transport aplicabil sau într-un alt acord cu caracter juridic obligatoriu (contractul de echilibrare).</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448.</w:t>
            </w:r>
            <w:r w:rsidRPr="00870D8B">
              <w:rPr>
                <w:bCs/>
                <w:sz w:val="18"/>
                <w:szCs w:val="18"/>
                <w:lang w:val="ro-RO" w:eastAsia="en-US"/>
              </w:rPr>
              <w:t xml:space="preserve"> Furnizorul de servicii de echilibrare nu trebuie împiedicat să acţioneze în numele unui utilizator de sistem în scopul pct.446, cu condiţia aprobării prealabile a OST.</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449.</w:t>
            </w:r>
            <w:r w:rsidRPr="00870D8B">
              <w:rPr>
                <w:bCs/>
                <w:sz w:val="18"/>
                <w:szCs w:val="18"/>
                <w:lang w:val="ro-RO" w:eastAsia="en-US"/>
              </w:rPr>
              <w:t xml:space="preserve"> Utilizatorul de sistem poate emite o notificare comercială privind o zi gazieră, indiferent dacă acesta a efectuat sau nu o nominalizare cu privire la ziua gazieră respectivă.</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450.</w:t>
            </w:r>
            <w:r w:rsidRPr="00870D8B">
              <w:rPr>
                <w:bCs/>
                <w:sz w:val="18"/>
                <w:szCs w:val="18"/>
                <w:lang w:val="ro-RO" w:eastAsia="en-US"/>
              </w:rPr>
              <w:t xml:space="preserve"> Prevederile prezentei Secţiuni</w:t>
            </w:r>
            <w:r w:rsidRPr="00870D8B">
              <w:rPr>
                <w:bCs/>
                <w:sz w:val="18"/>
                <w:szCs w:val="18"/>
                <w:vertAlign w:val="superscript"/>
                <w:lang w:val="ro-RO" w:eastAsia="en-US"/>
              </w:rPr>
              <w:t xml:space="preserve"> </w:t>
            </w:r>
            <w:r w:rsidRPr="00870D8B">
              <w:rPr>
                <w:bCs/>
                <w:sz w:val="18"/>
                <w:szCs w:val="18"/>
                <w:lang w:val="ro-RO" w:eastAsia="en-US"/>
              </w:rPr>
              <w:t xml:space="preserve">se aplică, mutatis mutandis OST participanţi la tranzacţionare, în conformitate cu pct.453 subpunctul 1). </w:t>
            </w:r>
          </w:p>
          <w:p w:rsidR="00996079" w:rsidRPr="00870D8B" w:rsidRDefault="00996079" w:rsidP="00870D8B">
            <w:pPr>
              <w:rPr>
                <w:lang w:val="ro-RO"/>
              </w:rPr>
            </w:pPr>
          </w:p>
        </w:tc>
        <w:tc>
          <w:tcPr>
            <w:tcW w:w="1275" w:type="dxa"/>
            <w:shd w:val="clear" w:color="auto" w:fill="auto"/>
          </w:tcPr>
          <w:p w:rsidR="00996079" w:rsidRDefault="00996079" w:rsidP="00DA725A">
            <w:pPr>
              <w:jc w:val="both"/>
              <w:rPr>
                <w:b/>
                <w:sz w:val="18"/>
                <w:szCs w:val="18"/>
                <w:lang w:val="it-IT"/>
              </w:rPr>
            </w:pPr>
          </w:p>
          <w:p w:rsidR="009806A9" w:rsidRDefault="009806A9" w:rsidP="00DA725A">
            <w:pPr>
              <w:jc w:val="both"/>
              <w:rPr>
                <w:b/>
                <w:sz w:val="18"/>
                <w:szCs w:val="18"/>
                <w:lang w:val="it-IT"/>
              </w:rPr>
            </w:pPr>
          </w:p>
          <w:p w:rsidR="009806A9" w:rsidRDefault="009806A9" w:rsidP="00DA725A">
            <w:pPr>
              <w:jc w:val="both"/>
              <w:rPr>
                <w:b/>
                <w:sz w:val="18"/>
                <w:szCs w:val="18"/>
                <w:lang w:val="it-IT"/>
              </w:rPr>
            </w:pPr>
          </w:p>
          <w:p w:rsidR="009806A9" w:rsidRDefault="009806A9" w:rsidP="00DA725A">
            <w:pPr>
              <w:jc w:val="both"/>
              <w:rPr>
                <w:b/>
                <w:sz w:val="18"/>
                <w:szCs w:val="18"/>
                <w:lang w:val="it-IT"/>
              </w:rPr>
            </w:pPr>
          </w:p>
          <w:p w:rsidR="009806A9" w:rsidRDefault="009806A9" w:rsidP="00DA725A">
            <w:pPr>
              <w:jc w:val="both"/>
              <w:rPr>
                <w:b/>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490C31" w:rsidRPr="00981BD4" w:rsidRDefault="00490C31" w:rsidP="00DA725A">
            <w:pPr>
              <w:jc w:val="both"/>
              <w:rPr>
                <w:sz w:val="18"/>
                <w:szCs w:val="18"/>
                <w:lang w:val="it-IT"/>
              </w:rPr>
            </w:pPr>
          </w:p>
          <w:p w:rsidR="00490C31" w:rsidRPr="00981BD4" w:rsidRDefault="00490C31"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8558D1" w:rsidRPr="00981BD4" w:rsidRDefault="008558D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8558D1" w:rsidRDefault="008558D1" w:rsidP="00DA725A">
            <w:pPr>
              <w:jc w:val="both"/>
              <w:rPr>
                <w:sz w:val="18"/>
                <w:szCs w:val="18"/>
                <w:lang w:val="it-IT"/>
              </w:rPr>
            </w:pPr>
          </w:p>
          <w:p w:rsidR="008558D1" w:rsidRPr="00981BD4" w:rsidRDefault="008558D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490C31" w:rsidRDefault="00490C31" w:rsidP="00DA725A">
            <w:pPr>
              <w:jc w:val="both"/>
              <w:rPr>
                <w:sz w:val="18"/>
                <w:szCs w:val="18"/>
                <w:lang w:val="it-IT"/>
              </w:rPr>
            </w:pPr>
          </w:p>
          <w:p w:rsidR="00010611" w:rsidRPr="00981BD4" w:rsidRDefault="00010611"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490C31" w:rsidRPr="00981BD4" w:rsidRDefault="00490C31" w:rsidP="00DA725A">
            <w:pPr>
              <w:jc w:val="both"/>
              <w:rPr>
                <w:sz w:val="18"/>
                <w:szCs w:val="18"/>
                <w:lang w:val="it-IT"/>
              </w:rPr>
            </w:pPr>
          </w:p>
          <w:p w:rsidR="00490C31" w:rsidRPr="00981BD4" w:rsidRDefault="00490C31" w:rsidP="00DA725A">
            <w:pPr>
              <w:jc w:val="both"/>
              <w:rPr>
                <w:sz w:val="18"/>
                <w:szCs w:val="18"/>
                <w:lang w:val="it-IT"/>
              </w:rPr>
            </w:pPr>
          </w:p>
          <w:p w:rsidR="009806A9" w:rsidRDefault="009806A9" w:rsidP="00DA725A">
            <w:pPr>
              <w:jc w:val="both"/>
              <w:rPr>
                <w:sz w:val="18"/>
                <w:szCs w:val="18"/>
                <w:lang w:val="it-IT"/>
              </w:rPr>
            </w:pPr>
          </w:p>
          <w:p w:rsidR="00010611" w:rsidRPr="00981BD4" w:rsidRDefault="0001061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010611" w:rsidRDefault="00010611" w:rsidP="00DA725A">
            <w:pPr>
              <w:jc w:val="both"/>
              <w:rPr>
                <w:sz w:val="18"/>
                <w:szCs w:val="18"/>
                <w:lang w:val="it-IT"/>
              </w:rPr>
            </w:pPr>
          </w:p>
          <w:p w:rsidR="00010611" w:rsidRDefault="0001061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8558D1" w:rsidRPr="00981BD4" w:rsidRDefault="008558D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010611" w:rsidRDefault="00010611" w:rsidP="00DA725A">
            <w:pPr>
              <w:jc w:val="both"/>
              <w:rPr>
                <w:sz w:val="18"/>
                <w:szCs w:val="18"/>
                <w:lang w:val="it-IT"/>
              </w:rPr>
            </w:pPr>
          </w:p>
          <w:p w:rsidR="00010611" w:rsidRDefault="00010611" w:rsidP="00DA725A">
            <w:pPr>
              <w:jc w:val="both"/>
              <w:rPr>
                <w:sz w:val="18"/>
                <w:szCs w:val="18"/>
                <w:lang w:val="it-IT"/>
              </w:rPr>
            </w:pPr>
          </w:p>
          <w:p w:rsidR="0013190A" w:rsidRDefault="0013190A"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Default="009806A9" w:rsidP="00DA725A">
            <w:pPr>
              <w:jc w:val="both"/>
              <w:rPr>
                <w:sz w:val="18"/>
                <w:szCs w:val="18"/>
                <w:lang w:val="it-IT"/>
              </w:rPr>
            </w:pPr>
          </w:p>
          <w:p w:rsidR="0013190A" w:rsidRDefault="0013190A"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1E4203" w:rsidRPr="00981BD4" w:rsidRDefault="001E4203" w:rsidP="00DA725A">
            <w:pPr>
              <w:jc w:val="both"/>
              <w:rPr>
                <w:sz w:val="18"/>
                <w:szCs w:val="18"/>
                <w:lang w:val="it-IT"/>
              </w:rPr>
            </w:pPr>
          </w:p>
          <w:p w:rsidR="001E4203" w:rsidRPr="00981BD4" w:rsidRDefault="001E4203" w:rsidP="00DA725A">
            <w:pPr>
              <w:jc w:val="both"/>
              <w:rPr>
                <w:sz w:val="18"/>
                <w:szCs w:val="18"/>
                <w:lang w:val="it-IT"/>
              </w:rPr>
            </w:pPr>
          </w:p>
          <w:p w:rsidR="001E4203" w:rsidRPr="00D82EE4" w:rsidRDefault="001E4203" w:rsidP="00DA725A">
            <w:pPr>
              <w:jc w:val="both"/>
              <w:rPr>
                <w:b/>
                <w:sz w:val="18"/>
                <w:szCs w:val="18"/>
                <w:lang w:val="it-IT"/>
              </w:rPr>
            </w:pPr>
            <w:r w:rsidRPr="00E55B82">
              <w:rPr>
                <w:sz w:val="18"/>
                <w:szCs w:val="18"/>
              </w:rPr>
              <w:t>Compatibil</w:t>
            </w:r>
          </w:p>
        </w:tc>
        <w:tc>
          <w:tcPr>
            <w:tcW w:w="4253" w:type="dxa"/>
            <w:shd w:val="clear" w:color="auto" w:fill="auto"/>
          </w:tcPr>
          <w:p w:rsidR="00996079" w:rsidRPr="00E84D74" w:rsidRDefault="00996079" w:rsidP="00DA725A">
            <w:pPr>
              <w:autoSpaceDE w:val="0"/>
              <w:autoSpaceDN w:val="0"/>
              <w:adjustRightInd w:val="0"/>
              <w:jc w:val="center"/>
              <w:rPr>
                <w:b/>
                <w:bCs/>
                <w:sz w:val="18"/>
                <w:szCs w:val="18"/>
              </w:rPr>
            </w:pPr>
            <w:r w:rsidRPr="00E84D74">
              <w:rPr>
                <w:b/>
                <w:bCs/>
                <w:sz w:val="18"/>
                <w:szCs w:val="18"/>
              </w:rPr>
              <w:lastRenderedPageBreak/>
              <w:t>CHAPTER II</w:t>
            </w:r>
          </w:p>
          <w:p w:rsidR="00996079" w:rsidRPr="00E84D74" w:rsidRDefault="00996079" w:rsidP="00DA725A">
            <w:pPr>
              <w:autoSpaceDE w:val="0"/>
              <w:autoSpaceDN w:val="0"/>
              <w:adjustRightInd w:val="0"/>
              <w:jc w:val="center"/>
              <w:rPr>
                <w:b/>
                <w:bCs/>
                <w:sz w:val="18"/>
                <w:szCs w:val="18"/>
              </w:rPr>
            </w:pPr>
            <w:r w:rsidRPr="00E84D74">
              <w:rPr>
                <w:b/>
                <w:bCs/>
                <w:sz w:val="18"/>
                <w:szCs w:val="18"/>
              </w:rPr>
              <w:t>BALANCING SYSTEM</w:t>
            </w:r>
          </w:p>
          <w:p w:rsidR="009806A9" w:rsidRPr="00E84D74" w:rsidRDefault="009806A9" w:rsidP="00DA725A">
            <w:pPr>
              <w:autoSpaceDE w:val="0"/>
              <w:autoSpaceDN w:val="0"/>
              <w:adjustRightInd w:val="0"/>
              <w:jc w:val="center"/>
              <w:rPr>
                <w:b/>
                <w:bCs/>
                <w:i/>
                <w:iCs/>
                <w:sz w:val="18"/>
                <w:szCs w:val="18"/>
              </w:rPr>
            </w:pPr>
          </w:p>
          <w:p w:rsidR="00996079" w:rsidRPr="00E84D74" w:rsidRDefault="00996079" w:rsidP="00DA725A">
            <w:pPr>
              <w:autoSpaceDE w:val="0"/>
              <w:autoSpaceDN w:val="0"/>
              <w:adjustRightInd w:val="0"/>
              <w:jc w:val="center"/>
              <w:rPr>
                <w:b/>
                <w:bCs/>
                <w:i/>
                <w:iCs/>
                <w:sz w:val="18"/>
                <w:szCs w:val="18"/>
              </w:rPr>
            </w:pPr>
            <w:r w:rsidRPr="00E84D74">
              <w:rPr>
                <w:b/>
                <w:bCs/>
                <w:i/>
                <w:iCs/>
                <w:sz w:val="18"/>
                <w:szCs w:val="18"/>
              </w:rPr>
              <w:t>Article 4</w:t>
            </w:r>
          </w:p>
          <w:p w:rsidR="00996079" w:rsidRPr="00E84D74" w:rsidRDefault="00996079" w:rsidP="00DA725A">
            <w:pPr>
              <w:autoSpaceDE w:val="0"/>
              <w:autoSpaceDN w:val="0"/>
              <w:adjustRightInd w:val="0"/>
              <w:jc w:val="center"/>
              <w:rPr>
                <w:b/>
                <w:bCs/>
                <w:sz w:val="18"/>
                <w:szCs w:val="18"/>
              </w:rPr>
            </w:pPr>
            <w:r w:rsidRPr="00E84D74">
              <w:rPr>
                <w:b/>
                <w:bCs/>
                <w:sz w:val="18"/>
                <w:szCs w:val="18"/>
              </w:rPr>
              <w:t>General principles</w:t>
            </w:r>
          </w:p>
          <w:p w:rsidR="00996079" w:rsidRPr="00E84D74" w:rsidRDefault="00996079" w:rsidP="00DA725A">
            <w:pPr>
              <w:autoSpaceDE w:val="0"/>
              <w:autoSpaceDN w:val="0"/>
              <w:adjustRightInd w:val="0"/>
              <w:rPr>
                <w:sz w:val="18"/>
                <w:szCs w:val="18"/>
              </w:rPr>
            </w:pPr>
            <w:r w:rsidRPr="00E84D74">
              <w:rPr>
                <w:sz w:val="18"/>
                <w:szCs w:val="18"/>
              </w:rPr>
              <w:t>1. The network users shall be responsible to balance their balancing portfolios in order to minimise the need for transmission system operators to undertake balancing actions set out under this Regulation.</w:t>
            </w:r>
          </w:p>
          <w:p w:rsidR="00996079" w:rsidRPr="00E84D74" w:rsidRDefault="00996079" w:rsidP="00DA725A">
            <w:pPr>
              <w:autoSpaceDE w:val="0"/>
              <w:autoSpaceDN w:val="0"/>
              <w:adjustRightInd w:val="0"/>
              <w:rPr>
                <w:sz w:val="18"/>
                <w:szCs w:val="18"/>
              </w:rPr>
            </w:pPr>
            <w:r w:rsidRPr="00E84D74">
              <w:rPr>
                <w:sz w:val="18"/>
                <w:szCs w:val="18"/>
              </w:rPr>
              <w:t>2. Balancing rules established in accordance with this Regulation shall reflect genuine system needs, taking into account the resources available to transmission system operators and shall provide incentives for network users to balance their balancing portfolios efficiently.</w:t>
            </w:r>
          </w:p>
          <w:p w:rsidR="00996079" w:rsidRPr="00E84D74" w:rsidRDefault="00996079" w:rsidP="00DA725A">
            <w:pPr>
              <w:autoSpaceDE w:val="0"/>
              <w:autoSpaceDN w:val="0"/>
              <w:adjustRightInd w:val="0"/>
              <w:rPr>
                <w:sz w:val="18"/>
                <w:szCs w:val="18"/>
              </w:rPr>
            </w:pPr>
            <w:r w:rsidRPr="00E84D74">
              <w:rPr>
                <w:sz w:val="18"/>
                <w:szCs w:val="18"/>
              </w:rPr>
              <w:t>3. Network users shall have the possibility to enter into a legally binding agreement with a transmission system operator whi</w:t>
            </w:r>
            <w:r w:rsidR="00D51DCE" w:rsidRPr="00E84D74">
              <w:rPr>
                <w:sz w:val="18"/>
                <w:szCs w:val="18"/>
              </w:rPr>
              <w:t xml:space="preserve">ch enables them to submit trade </w:t>
            </w:r>
            <w:r w:rsidRPr="00E84D74">
              <w:rPr>
                <w:sz w:val="18"/>
                <w:szCs w:val="18"/>
              </w:rPr>
              <w:t>notifications irrespective of whether they have contracted transport capacity or not.</w:t>
            </w:r>
          </w:p>
          <w:p w:rsidR="00996079" w:rsidRPr="00E84D74" w:rsidRDefault="00996079" w:rsidP="00DA725A">
            <w:pPr>
              <w:autoSpaceDE w:val="0"/>
              <w:autoSpaceDN w:val="0"/>
              <w:adjustRightInd w:val="0"/>
              <w:rPr>
                <w:sz w:val="18"/>
                <w:szCs w:val="18"/>
              </w:rPr>
            </w:pPr>
            <w:r w:rsidRPr="00E84D74">
              <w:rPr>
                <w:sz w:val="18"/>
                <w:szCs w:val="18"/>
              </w:rPr>
              <w:t xml:space="preserve">4. In a balancing zone where more than one transmission system operator is active, this Regulation shall apply to all the transmission system operators within that balancing zone. In case the responsibility of keeping their transmission networks in balance has been transferred to an entity, this Regulation shall apply </w:t>
            </w:r>
            <w:r w:rsidRPr="00E84D74">
              <w:rPr>
                <w:sz w:val="18"/>
                <w:szCs w:val="18"/>
              </w:rPr>
              <w:lastRenderedPageBreak/>
              <w:t>to that entity to the extent defined under the applicable national rules.</w:t>
            </w:r>
          </w:p>
          <w:p w:rsidR="00996079" w:rsidRPr="00E84D74" w:rsidRDefault="00996079" w:rsidP="00DA725A">
            <w:pPr>
              <w:autoSpaceDE w:val="0"/>
              <w:autoSpaceDN w:val="0"/>
              <w:adjustRightInd w:val="0"/>
              <w:rPr>
                <w:sz w:val="18"/>
                <w:szCs w:val="18"/>
              </w:rPr>
            </w:pPr>
          </w:p>
          <w:p w:rsidR="00996079" w:rsidRPr="00E84D74" w:rsidRDefault="00996079" w:rsidP="00DA725A">
            <w:pPr>
              <w:autoSpaceDE w:val="0"/>
              <w:autoSpaceDN w:val="0"/>
              <w:adjustRightInd w:val="0"/>
              <w:jc w:val="center"/>
              <w:rPr>
                <w:b/>
                <w:bCs/>
                <w:i/>
                <w:iCs/>
                <w:sz w:val="18"/>
                <w:szCs w:val="18"/>
              </w:rPr>
            </w:pPr>
            <w:r w:rsidRPr="00E84D74">
              <w:rPr>
                <w:b/>
                <w:bCs/>
                <w:i/>
                <w:iCs/>
                <w:sz w:val="18"/>
                <w:szCs w:val="18"/>
              </w:rPr>
              <w:t>Article 5</w:t>
            </w:r>
          </w:p>
          <w:p w:rsidR="00996079" w:rsidRPr="00E84D74" w:rsidRDefault="00996079" w:rsidP="00DA725A">
            <w:pPr>
              <w:autoSpaceDE w:val="0"/>
              <w:autoSpaceDN w:val="0"/>
              <w:adjustRightInd w:val="0"/>
              <w:jc w:val="center"/>
              <w:rPr>
                <w:b/>
                <w:bCs/>
                <w:sz w:val="18"/>
                <w:szCs w:val="18"/>
              </w:rPr>
            </w:pPr>
            <w:r w:rsidRPr="00E84D74">
              <w:rPr>
                <w:b/>
                <w:bCs/>
                <w:sz w:val="18"/>
                <w:szCs w:val="18"/>
              </w:rPr>
              <w:t>Trade notifications and allocations</w:t>
            </w:r>
          </w:p>
          <w:p w:rsidR="00996079" w:rsidRDefault="00996079" w:rsidP="00DA725A">
            <w:pPr>
              <w:autoSpaceDE w:val="0"/>
              <w:autoSpaceDN w:val="0"/>
              <w:adjustRightInd w:val="0"/>
              <w:rPr>
                <w:sz w:val="18"/>
                <w:szCs w:val="18"/>
              </w:rPr>
            </w:pPr>
            <w:r w:rsidRPr="00E84D74">
              <w:rPr>
                <w:sz w:val="18"/>
                <w:szCs w:val="18"/>
              </w:rPr>
              <w:t>1. Gas transfer between two balancing portfolios within one balancing zone shall be made through</w:t>
            </w:r>
            <w:r w:rsidR="008049FA" w:rsidRPr="00E84D74">
              <w:rPr>
                <w:sz w:val="18"/>
                <w:szCs w:val="18"/>
              </w:rPr>
              <w:t xml:space="preserve"> </w:t>
            </w:r>
            <w:r w:rsidRPr="00E84D74">
              <w:rPr>
                <w:sz w:val="18"/>
                <w:szCs w:val="18"/>
              </w:rPr>
              <w:t xml:space="preserve">disposing and acquiring trade notifications submitted to the </w:t>
            </w:r>
            <w:r w:rsidR="008049FA" w:rsidRPr="00E84D74">
              <w:rPr>
                <w:sz w:val="18"/>
                <w:szCs w:val="18"/>
              </w:rPr>
              <w:t xml:space="preserve"> </w:t>
            </w:r>
            <w:r w:rsidRPr="00E84D74">
              <w:rPr>
                <w:sz w:val="18"/>
                <w:szCs w:val="18"/>
              </w:rPr>
              <w:t>transmission system operator in respect of the gas day.</w:t>
            </w:r>
          </w:p>
          <w:p w:rsidR="008558D1" w:rsidRDefault="008558D1" w:rsidP="00DA725A">
            <w:pPr>
              <w:autoSpaceDE w:val="0"/>
              <w:autoSpaceDN w:val="0"/>
              <w:adjustRightInd w:val="0"/>
              <w:rPr>
                <w:sz w:val="18"/>
                <w:szCs w:val="18"/>
              </w:rPr>
            </w:pPr>
          </w:p>
          <w:p w:rsidR="008558D1" w:rsidRPr="00E84D74" w:rsidRDefault="008558D1" w:rsidP="00DA725A">
            <w:pPr>
              <w:autoSpaceDE w:val="0"/>
              <w:autoSpaceDN w:val="0"/>
              <w:adjustRightInd w:val="0"/>
              <w:rPr>
                <w:sz w:val="18"/>
                <w:szCs w:val="18"/>
              </w:rPr>
            </w:pPr>
          </w:p>
          <w:p w:rsidR="00996079" w:rsidRPr="00E84D74" w:rsidRDefault="00996079" w:rsidP="00DA725A">
            <w:pPr>
              <w:autoSpaceDE w:val="0"/>
              <w:autoSpaceDN w:val="0"/>
              <w:adjustRightInd w:val="0"/>
              <w:rPr>
                <w:sz w:val="18"/>
                <w:szCs w:val="18"/>
              </w:rPr>
            </w:pPr>
            <w:r w:rsidRPr="00E84D74">
              <w:rPr>
                <w:sz w:val="18"/>
                <w:szCs w:val="18"/>
              </w:rPr>
              <w:t>2. The timing for submitting, withdrawing and amending trade notifications shall be defined by the transmission system operator in the transport contract or other legally binding agreement with network users taking into account the time, if any, for processing the trade notifications. The transmission system operator shall enable the network users to submit trade notifications close to the time when the trade notification becomes effective.</w:t>
            </w:r>
          </w:p>
          <w:p w:rsidR="00996079" w:rsidRPr="00E84D74" w:rsidRDefault="00996079" w:rsidP="00DA725A">
            <w:pPr>
              <w:autoSpaceDE w:val="0"/>
              <w:autoSpaceDN w:val="0"/>
              <w:adjustRightInd w:val="0"/>
              <w:rPr>
                <w:sz w:val="18"/>
                <w:szCs w:val="18"/>
              </w:rPr>
            </w:pPr>
            <w:r w:rsidRPr="00E84D74">
              <w:rPr>
                <w:sz w:val="18"/>
                <w:szCs w:val="18"/>
              </w:rPr>
              <w:t xml:space="preserve">3. The transmission system operator shall minimise the time for processing trade notifications. The time for processing shall not take more than thirty minutes except where the time when the trade notification becomes effective permits to extend the time for processing up to two hours. </w:t>
            </w:r>
          </w:p>
          <w:p w:rsidR="00996079" w:rsidRPr="00E84D74" w:rsidRDefault="00996079" w:rsidP="00DA725A">
            <w:pPr>
              <w:autoSpaceDE w:val="0"/>
              <w:autoSpaceDN w:val="0"/>
              <w:adjustRightInd w:val="0"/>
              <w:rPr>
                <w:sz w:val="18"/>
                <w:szCs w:val="18"/>
              </w:rPr>
            </w:pPr>
            <w:r w:rsidRPr="00E84D74">
              <w:rPr>
                <w:sz w:val="18"/>
                <w:szCs w:val="18"/>
              </w:rPr>
              <w:t>4. A trade notification shall provide at least the following information:</w:t>
            </w:r>
          </w:p>
          <w:p w:rsidR="00996079" w:rsidRPr="00E84D74" w:rsidRDefault="00996079" w:rsidP="00DA725A">
            <w:pPr>
              <w:autoSpaceDE w:val="0"/>
              <w:autoSpaceDN w:val="0"/>
              <w:adjustRightInd w:val="0"/>
              <w:rPr>
                <w:sz w:val="18"/>
                <w:szCs w:val="18"/>
              </w:rPr>
            </w:pPr>
            <w:r w:rsidRPr="00E84D74">
              <w:rPr>
                <w:sz w:val="18"/>
                <w:szCs w:val="18"/>
              </w:rPr>
              <w:t>(a) the gas day for which gas is transferred;</w:t>
            </w:r>
          </w:p>
          <w:p w:rsidR="00996079" w:rsidRPr="00E84D74" w:rsidRDefault="00996079" w:rsidP="00DA725A">
            <w:pPr>
              <w:autoSpaceDE w:val="0"/>
              <w:autoSpaceDN w:val="0"/>
              <w:adjustRightInd w:val="0"/>
              <w:rPr>
                <w:sz w:val="18"/>
                <w:szCs w:val="18"/>
              </w:rPr>
            </w:pPr>
            <w:r w:rsidRPr="00E84D74">
              <w:rPr>
                <w:sz w:val="18"/>
                <w:szCs w:val="18"/>
              </w:rPr>
              <w:t>(b) the identification of the balancing portfolios concerned;</w:t>
            </w:r>
          </w:p>
          <w:p w:rsidR="00996079" w:rsidRPr="00E84D74" w:rsidRDefault="00996079" w:rsidP="00DA725A">
            <w:pPr>
              <w:autoSpaceDE w:val="0"/>
              <w:autoSpaceDN w:val="0"/>
              <w:adjustRightInd w:val="0"/>
              <w:rPr>
                <w:sz w:val="18"/>
                <w:szCs w:val="18"/>
              </w:rPr>
            </w:pPr>
            <w:r w:rsidRPr="00E84D74">
              <w:rPr>
                <w:sz w:val="18"/>
                <w:szCs w:val="18"/>
              </w:rPr>
              <w:t>(c) whether it is a disposing or an acquiring trade notification;</w:t>
            </w:r>
          </w:p>
          <w:p w:rsidR="00996079" w:rsidRDefault="00996079" w:rsidP="00DA725A">
            <w:pPr>
              <w:autoSpaceDE w:val="0"/>
              <w:autoSpaceDN w:val="0"/>
              <w:adjustRightInd w:val="0"/>
              <w:rPr>
                <w:sz w:val="18"/>
                <w:szCs w:val="18"/>
              </w:rPr>
            </w:pPr>
            <w:r w:rsidRPr="00E84D74">
              <w:rPr>
                <w:sz w:val="18"/>
                <w:szCs w:val="18"/>
              </w:rPr>
              <w:t>(d) the notification quantity expressed in kWh/d for daily notification quantity or in kWh/h for hourly notification quantity, as required by the transmission system operator.</w:t>
            </w:r>
          </w:p>
          <w:p w:rsidR="008558D1" w:rsidRPr="00E84D74" w:rsidRDefault="008558D1" w:rsidP="00DA725A">
            <w:pPr>
              <w:autoSpaceDE w:val="0"/>
              <w:autoSpaceDN w:val="0"/>
              <w:adjustRightInd w:val="0"/>
              <w:rPr>
                <w:sz w:val="18"/>
                <w:szCs w:val="18"/>
              </w:rPr>
            </w:pPr>
          </w:p>
          <w:p w:rsidR="00996079" w:rsidRPr="00E84D74" w:rsidRDefault="00996079" w:rsidP="00DA725A">
            <w:pPr>
              <w:autoSpaceDE w:val="0"/>
              <w:autoSpaceDN w:val="0"/>
              <w:adjustRightInd w:val="0"/>
              <w:rPr>
                <w:sz w:val="18"/>
                <w:szCs w:val="18"/>
              </w:rPr>
            </w:pPr>
            <w:r w:rsidRPr="00E84D74">
              <w:rPr>
                <w:sz w:val="18"/>
                <w:szCs w:val="18"/>
              </w:rPr>
              <w:t>5. If the transmission system operator receives a corresponding set of a disposing and an acquiring</w:t>
            </w:r>
          </w:p>
          <w:p w:rsidR="00996079" w:rsidRPr="00E84D74" w:rsidRDefault="00996079" w:rsidP="00DA725A">
            <w:pPr>
              <w:autoSpaceDE w:val="0"/>
              <w:autoSpaceDN w:val="0"/>
              <w:adjustRightInd w:val="0"/>
              <w:rPr>
                <w:sz w:val="18"/>
                <w:szCs w:val="18"/>
              </w:rPr>
            </w:pPr>
            <w:r w:rsidRPr="00E84D74">
              <w:rPr>
                <w:sz w:val="18"/>
                <w:szCs w:val="18"/>
              </w:rPr>
              <w:t>trade notifications and the notification quantities are equal then the transmission system operator shall allocate the notification quantity to the balancing portfoliosc concerned:</w:t>
            </w:r>
          </w:p>
          <w:p w:rsidR="00996079" w:rsidRPr="00E84D74" w:rsidRDefault="00996079" w:rsidP="00DA725A">
            <w:pPr>
              <w:autoSpaceDE w:val="0"/>
              <w:autoSpaceDN w:val="0"/>
              <w:adjustRightInd w:val="0"/>
              <w:rPr>
                <w:sz w:val="18"/>
                <w:szCs w:val="18"/>
              </w:rPr>
            </w:pPr>
            <w:r w:rsidRPr="00E84D74">
              <w:rPr>
                <w:sz w:val="18"/>
                <w:szCs w:val="18"/>
              </w:rPr>
              <w:t>(a) as an off-take to the balancing portfolio of the network user making the disposing trade notification;</w:t>
            </w:r>
          </w:p>
          <w:p w:rsidR="00996079" w:rsidRPr="00E84D74" w:rsidRDefault="00996079" w:rsidP="00DA725A">
            <w:pPr>
              <w:autoSpaceDE w:val="0"/>
              <w:autoSpaceDN w:val="0"/>
              <w:adjustRightInd w:val="0"/>
              <w:rPr>
                <w:sz w:val="18"/>
                <w:szCs w:val="18"/>
              </w:rPr>
            </w:pPr>
            <w:r w:rsidRPr="00E84D74">
              <w:rPr>
                <w:sz w:val="18"/>
                <w:szCs w:val="18"/>
              </w:rPr>
              <w:t>and</w:t>
            </w:r>
          </w:p>
          <w:p w:rsidR="00996079" w:rsidRPr="00E84D74" w:rsidRDefault="00996079" w:rsidP="00DA725A">
            <w:pPr>
              <w:autoSpaceDE w:val="0"/>
              <w:autoSpaceDN w:val="0"/>
              <w:adjustRightInd w:val="0"/>
              <w:rPr>
                <w:sz w:val="18"/>
                <w:szCs w:val="18"/>
              </w:rPr>
            </w:pPr>
            <w:r w:rsidRPr="00E84D74">
              <w:rPr>
                <w:sz w:val="18"/>
                <w:szCs w:val="18"/>
              </w:rPr>
              <w:lastRenderedPageBreak/>
              <w:t>(b) as an input to the balancing portfolio of the network user making the acquiring trade notification.</w:t>
            </w:r>
          </w:p>
          <w:p w:rsidR="00996079" w:rsidRPr="00E84D74" w:rsidRDefault="00996079" w:rsidP="00DA725A">
            <w:pPr>
              <w:autoSpaceDE w:val="0"/>
              <w:autoSpaceDN w:val="0"/>
              <w:adjustRightInd w:val="0"/>
              <w:rPr>
                <w:sz w:val="18"/>
                <w:szCs w:val="18"/>
              </w:rPr>
            </w:pPr>
            <w:r w:rsidRPr="00E84D74">
              <w:rPr>
                <w:sz w:val="18"/>
                <w:szCs w:val="18"/>
              </w:rPr>
              <w:t>6. Where the notification quantities referred to in paragraph 5 are not equal, the transmission system</w:t>
            </w:r>
          </w:p>
          <w:p w:rsidR="00996079" w:rsidRPr="00E84D74" w:rsidRDefault="00996079" w:rsidP="00DA725A">
            <w:pPr>
              <w:autoSpaceDE w:val="0"/>
              <w:autoSpaceDN w:val="0"/>
              <w:adjustRightInd w:val="0"/>
              <w:rPr>
                <w:sz w:val="18"/>
                <w:szCs w:val="18"/>
              </w:rPr>
            </w:pPr>
            <w:r w:rsidRPr="00E84D74">
              <w:rPr>
                <w:sz w:val="18"/>
                <w:szCs w:val="18"/>
              </w:rPr>
              <w:t>operator shall either allocate the lower notification quantity specified in the relevant trade notification</w:t>
            </w:r>
          </w:p>
          <w:p w:rsidR="00996079" w:rsidRPr="00E84D74" w:rsidRDefault="00996079" w:rsidP="00DA725A">
            <w:pPr>
              <w:autoSpaceDE w:val="0"/>
              <w:autoSpaceDN w:val="0"/>
              <w:adjustRightInd w:val="0"/>
              <w:rPr>
                <w:sz w:val="18"/>
                <w:szCs w:val="18"/>
              </w:rPr>
            </w:pPr>
            <w:r w:rsidRPr="00E84D74">
              <w:rPr>
                <w:sz w:val="18"/>
                <w:szCs w:val="18"/>
              </w:rPr>
              <w:t>or shall reject both trade notifications. The applicable rule shall be defined by the transmission system operator in the applicable transport contract or other legally binding agreement.</w:t>
            </w:r>
          </w:p>
          <w:p w:rsidR="00996079" w:rsidRPr="00E84D74" w:rsidRDefault="00996079" w:rsidP="00DA725A">
            <w:pPr>
              <w:autoSpaceDE w:val="0"/>
              <w:autoSpaceDN w:val="0"/>
              <w:adjustRightInd w:val="0"/>
              <w:rPr>
                <w:sz w:val="18"/>
                <w:szCs w:val="18"/>
              </w:rPr>
            </w:pPr>
            <w:r w:rsidRPr="00E84D74">
              <w:rPr>
                <w:sz w:val="18"/>
                <w:szCs w:val="18"/>
              </w:rPr>
              <w:t>7. A service provider shall not be prevented to act on behalf of a network user for the purpose of paragraph 5, subject to the prior approval of the transmission system operator.</w:t>
            </w:r>
          </w:p>
          <w:p w:rsidR="00996079" w:rsidRPr="00E84D74" w:rsidRDefault="00996079" w:rsidP="00DA725A">
            <w:pPr>
              <w:autoSpaceDE w:val="0"/>
              <w:autoSpaceDN w:val="0"/>
              <w:adjustRightInd w:val="0"/>
              <w:rPr>
                <w:sz w:val="18"/>
                <w:szCs w:val="18"/>
              </w:rPr>
            </w:pPr>
            <w:r w:rsidRPr="00E84D74">
              <w:rPr>
                <w:sz w:val="18"/>
                <w:szCs w:val="18"/>
              </w:rPr>
              <w:t>8. A network user may make a trade notification on a gas day irrespective of whether any nomination was made by this network user for that gas day.</w:t>
            </w:r>
          </w:p>
          <w:p w:rsidR="00996079" w:rsidRPr="00E84D74" w:rsidRDefault="00996079" w:rsidP="00DA725A">
            <w:pPr>
              <w:autoSpaceDE w:val="0"/>
              <w:autoSpaceDN w:val="0"/>
              <w:adjustRightInd w:val="0"/>
              <w:rPr>
                <w:b/>
                <w:bCs/>
                <w:i/>
                <w:iCs/>
                <w:sz w:val="18"/>
                <w:szCs w:val="18"/>
              </w:rPr>
            </w:pPr>
            <w:r w:rsidRPr="00E84D74">
              <w:rPr>
                <w:sz w:val="18"/>
                <w:szCs w:val="18"/>
              </w:rPr>
              <w:t>9. Paragraphs 1 to 8 shall apply, mutatis mutandis, to the transmission system operators trading in accordance with Article 6(3)(a).</w:t>
            </w:r>
          </w:p>
        </w:tc>
      </w:tr>
      <w:tr w:rsidR="004D04C6" w:rsidRPr="00043955" w:rsidTr="00FC3840">
        <w:trPr>
          <w:trHeight w:val="1240"/>
        </w:trPr>
        <w:tc>
          <w:tcPr>
            <w:tcW w:w="5245" w:type="dxa"/>
            <w:shd w:val="clear" w:color="auto" w:fill="auto"/>
          </w:tcPr>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CAPITOLUL III</w:t>
            </w:r>
          </w:p>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t>ECHILIBRAREA OPERAȚIONALĂ</w:t>
            </w:r>
          </w:p>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6</w:t>
            </w:r>
          </w:p>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generale</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desfășoară acțiuni de echilibrare cu scopul: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de a menține rețeaua de transport în limitele sale operaționale; </w:t>
            </w:r>
          </w:p>
          <w:p w:rsidR="004D04C6" w:rsidRDefault="004D04C6"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de a obține, la sfârșitul zilei, o poziție de stocare în conductă în cadrul rețelei de transport, diferită de cea anticipată pe baza previziunilor privind intrările și ieșirile pentru ziua gazieră respectivă, coerentă cu exploatarea viabilă din punct de vedere economic și eficientă a rețelei de transport. </w:t>
            </w:r>
          </w:p>
          <w:p w:rsidR="001A4C4F" w:rsidRDefault="001A4C4F" w:rsidP="00DA725A">
            <w:pPr>
              <w:jc w:val="both"/>
              <w:textAlignment w:val="baseline"/>
              <w:rPr>
                <w:sz w:val="18"/>
                <w:szCs w:val="18"/>
                <w:lang w:val="it-IT" w:eastAsia="en-US"/>
              </w:rPr>
            </w:pPr>
          </w:p>
          <w:p w:rsidR="001A4C4F" w:rsidRDefault="001A4C4F" w:rsidP="00DA725A">
            <w:pPr>
              <w:jc w:val="both"/>
              <w:textAlignment w:val="baseline"/>
              <w:rPr>
                <w:sz w:val="18"/>
                <w:szCs w:val="18"/>
                <w:lang w:val="it-IT" w:eastAsia="en-US"/>
              </w:rPr>
            </w:pPr>
          </w:p>
          <w:p w:rsidR="001A4C4F" w:rsidRPr="00981BD4" w:rsidRDefault="001A4C4F" w:rsidP="00DA725A">
            <w:pPr>
              <w:jc w:val="both"/>
              <w:textAlignment w:val="baseline"/>
              <w:rPr>
                <w:rFonts w:ascii="Segoe UI" w:hAnsi="Segoe UI" w:cs="Segoe UI"/>
                <w:sz w:val="18"/>
                <w:szCs w:val="18"/>
                <w:lang w:val="it-IT" w:eastAsia="en-US"/>
              </w:rPr>
            </w:pP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(2)   În momentul desfășurării de acțiuni de echilibrare, operatorul de sistem de transport ia în considerare cel puțin următoarele aspecte referitoare la zona de echilibrare: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propriile estimări ale operatorului de sistem de transport cu privire la cererea de gaz pe durata și în cursul zilei gaziere pentru care sunt avute în vedere acțiuni de echilibrare;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informații privind nominalizarea și alocarea, precum și fluxurile de gaz măsurate; </w:t>
            </w:r>
          </w:p>
          <w:p w:rsidR="004D04C6" w:rsidRDefault="004D04C6"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presiunile gazului la nivelul întregii (întregilor) rețele de transport. </w:t>
            </w:r>
          </w:p>
          <w:p w:rsidR="001A4C4F" w:rsidRPr="00981BD4" w:rsidRDefault="001A4C4F" w:rsidP="00DA725A">
            <w:pPr>
              <w:jc w:val="both"/>
              <w:textAlignment w:val="baseline"/>
              <w:rPr>
                <w:rFonts w:ascii="Segoe UI" w:hAnsi="Segoe UI" w:cs="Segoe UI"/>
                <w:sz w:val="18"/>
                <w:szCs w:val="18"/>
                <w:lang w:val="it-IT" w:eastAsia="en-US"/>
              </w:rPr>
            </w:pP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(3)   Operatorul de sistem de transport desfășoară acțiuni de echilibrare prin: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achiziționarea sau vânzarea de produse standardizate pe termen scurt pe o platformă de tranzacționare; și/sau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utilizarea de servicii de echilibrare.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(4)   În momentul desfășurării de acțiuni de echilibrare, operatorul de sistem de transport trebuie să țină seama de următoarele principii: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acțiunile de echilibrare sunt întreprinse pe bază nediscriminatorie; </w:t>
            </w:r>
          </w:p>
          <w:p w:rsidR="004D04C6" w:rsidRPr="00981BD4" w:rsidRDefault="004D04C6" w:rsidP="00DA725A">
            <w:pPr>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acțiunile de echilibrare trebuie să țină cont de orice obligație a operatorilor de sisteme de transport de a exploata o rețea de transport rentabilă și eficientă. </w:t>
            </w:r>
          </w:p>
          <w:p w:rsidR="008518A2" w:rsidRDefault="008518A2" w:rsidP="00DA725A">
            <w:pPr>
              <w:jc w:val="both"/>
              <w:textAlignment w:val="baseline"/>
              <w:rPr>
                <w:sz w:val="18"/>
                <w:szCs w:val="18"/>
                <w:lang w:val="it-IT" w:eastAsia="en-US"/>
              </w:rPr>
            </w:pPr>
          </w:p>
          <w:p w:rsidR="006E10C6" w:rsidRDefault="006E10C6" w:rsidP="00DA725A">
            <w:pPr>
              <w:jc w:val="both"/>
              <w:textAlignment w:val="baseline"/>
              <w:rPr>
                <w:sz w:val="18"/>
                <w:szCs w:val="18"/>
                <w:lang w:val="it-IT" w:eastAsia="en-US"/>
              </w:rPr>
            </w:pPr>
          </w:p>
          <w:p w:rsidR="006E10C6" w:rsidRPr="00981BD4" w:rsidRDefault="006E10C6" w:rsidP="00DA725A">
            <w:pPr>
              <w:jc w:val="both"/>
              <w:textAlignment w:val="baseline"/>
              <w:rPr>
                <w:sz w:val="18"/>
                <w:szCs w:val="18"/>
                <w:lang w:val="it-IT" w:eastAsia="en-US"/>
              </w:rPr>
            </w:pPr>
          </w:p>
          <w:p w:rsidR="008518A2" w:rsidRPr="00981BD4" w:rsidRDefault="008518A2"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7</w:t>
            </w:r>
          </w:p>
          <w:p w:rsidR="008518A2" w:rsidRPr="00981BD4" w:rsidRDefault="008518A2" w:rsidP="00DA725A">
            <w:pPr>
              <w:jc w:val="center"/>
              <w:textAlignment w:val="baseline"/>
              <w:rPr>
                <w:rFonts w:ascii="Segoe UI" w:hAnsi="Segoe UI" w:cs="Segoe UI"/>
                <w:sz w:val="18"/>
                <w:szCs w:val="18"/>
                <w:lang w:val="it-IT" w:eastAsia="en-US"/>
              </w:rPr>
            </w:pPr>
            <w:r w:rsidRPr="00981BD4">
              <w:rPr>
                <w:b/>
                <w:bCs/>
                <w:sz w:val="18"/>
                <w:szCs w:val="18"/>
                <w:lang w:val="it-IT" w:eastAsia="en-US"/>
              </w:rPr>
              <w:t>Produse standardizate pe termen scurt</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(1)   Produsele standardizate pe termen scurt sunt tranzacționate pentru livrare pentru ziua în curs sau pentru ziua următoare, șapte zile pe săptămână, în conformitate cu normele aplicabile ale platformei de tranzacționare, astfel cum sunt definite de comun acord de operatorul platformei de tranzacționare și operatorul de sistem de transport.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(2)   Participantul la tranzacționare emitent este cel care introduce o ofertă de tranzacționare pe platforma de tranzacționare, iar participantul la tranzacționare receptor este cel care o acceptă.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(3)   În cazul comercializării unui produs titlu: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un participant la tranzacționare emite notificarea comercială de cedare, iar celălalt participant emite notificarea comercială de achiziționare;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ambele notificări comerciale menționează cantitatea de gaz transferată de la participantul la tranzacționare care emite notificarea comercială de cedare către participantul la tranzacționare care emite o notificare comercială de achiziționare;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atunci când se utilizează un volum de notificare orară, acesta se aplică în mod egal tuturor orelor rămase din ziua gazieră începând cu un anumit moment și este egal cu zero pentru toate orele de dinaintea momentului respectiv.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(4)   În cazul în care se comercializează un produs localizat: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determină punctele de intrare și de ieșire relevante sau grupurile de astfel de puncte care pot fi folosite; </w:t>
            </w:r>
          </w:p>
          <w:p w:rsidR="008518A2" w:rsidRDefault="008518A2"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toate condițiile menționate la alineatul (3) sunt îndeplinite; </w:t>
            </w:r>
          </w:p>
          <w:p w:rsidR="008518A2" w:rsidRDefault="008518A2"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participantul la tranzacționare emitent modifică volumul de gaz care urmează să fie livrat către sau preluat din rețeaua de transport în punctul de intrare sau de ieșire specificat cu un volum egal cu volumul de notificare și furnizează operatorului de sistem de transport dovezi privind faptul că volumul a fost modificat în consecință; </w:t>
            </w:r>
          </w:p>
          <w:p w:rsidR="00E87034" w:rsidRPr="00981BD4" w:rsidRDefault="00E87034" w:rsidP="00DA725A">
            <w:pPr>
              <w:jc w:val="both"/>
              <w:textAlignment w:val="baseline"/>
              <w:rPr>
                <w:rFonts w:ascii="Segoe UI" w:hAnsi="Segoe UI" w:cs="Segoe UI"/>
                <w:sz w:val="18"/>
                <w:szCs w:val="18"/>
                <w:lang w:val="it-IT" w:eastAsia="en-US"/>
              </w:rPr>
            </w:pPr>
          </w:p>
          <w:p w:rsidR="008518A2" w:rsidRDefault="008518A2" w:rsidP="00DA725A">
            <w:pPr>
              <w:jc w:val="both"/>
              <w:textAlignment w:val="baseline"/>
              <w:rPr>
                <w:sz w:val="18"/>
                <w:szCs w:val="18"/>
                <w:lang w:val="it-IT" w:eastAsia="en-US"/>
              </w:rPr>
            </w:pPr>
            <w:r w:rsidRPr="00981BD4">
              <w:rPr>
                <w:sz w:val="18"/>
                <w:szCs w:val="18"/>
                <w:lang w:val="it-IT" w:eastAsia="en-US"/>
              </w:rPr>
              <w:t>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(5)   În cazul în care se comercializează un produs temporal: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condițiile menționate la alineatul (3) literele (a) și (b) sunt îndeplinite;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se aplică un volum de notificare orară în cazul orelor din ziua gazieră de la un anumit moment de începere până la un anumit moment de încheiere și este egal cu zero pentru toate orele de dinaintea momentului de începere și zero pentru toate orele de după momentul de încheiere.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(6)   În cazul comercializării unui produs localizat temporal, trebuie îndeplinite condițiile menționate la alineatul (4) literele (a) și (c) și la alineatul (5).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(7)   Atunci când stabilesc produsele standardizate pe termen scurt, operatorii de sisteme de transport din zonele de echilibrare adiacente cooperează în vederea identificării produselor relevante. Fiecare operator de sistem de transport informează operatorii relevanți de platforme de tranzacționare cu privire la rezultatul acestei cooperări fără nicio întârziere nejustificată. </w:t>
            </w:r>
          </w:p>
          <w:p w:rsidR="008518A2" w:rsidRPr="00981BD4" w:rsidRDefault="008518A2" w:rsidP="00DA725A">
            <w:pPr>
              <w:textAlignment w:val="baseline"/>
              <w:rPr>
                <w:b/>
                <w:bCs/>
                <w:sz w:val="18"/>
                <w:szCs w:val="18"/>
                <w:lang w:val="it-IT" w:eastAsia="en-US"/>
              </w:rPr>
            </w:pPr>
          </w:p>
        </w:tc>
        <w:tc>
          <w:tcPr>
            <w:tcW w:w="4962" w:type="dxa"/>
            <w:shd w:val="clear" w:color="auto" w:fill="auto"/>
          </w:tcPr>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lastRenderedPageBreak/>
              <w:t>Capitolul III</w:t>
            </w:r>
          </w:p>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t>ECHILIBRAREA OPERAŢIONALĂ</w:t>
            </w:r>
          </w:p>
          <w:p w:rsidR="006E10C6" w:rsidRPr="006E10C6" w:rsidRDefault="006E10C6" w:rsidP="00CB424E">
            <w:pPr>
              <w:jc w:val="center"/>
              <w:textAlignment w:val="baseline"/>
              <w:rPr>
                <w:b/>
                <w:bCs/>
                <w:sz w:val="18"/>
                <w:szCs w:val="18"/>
                <w:lang w:val="ro-RO" w:eastAsia="en-US"/>
              </w:rPr>
            </w:pPr>
            <w:r w:rsidRPr="006E10C6">
              <w:rPr>
                <w:b/>
                <w:bCs/>
                <w:sz w:val="18"/>
                <w:szCs w:val="18"/>
                <w:lang w:val="ro-RO" w:eastAsia="en-US"/>
              </w:rPr>
              <w:t>Secţiunea 1</w:t>
            </w:r>
          </w:p>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t>Dispoziţii generale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451.</w:t>
            </w:r>
            <w:r w:rsidRPr="006E10C6">
              <w:rPr>
                <w:bCs/>
                <w:sz w:val="18"/>
                <w:szCs w:val="18"/>
                <w:lang w:val="ro-RO" w:eastAsia="en-US"/>
              </w:rPr>
              <w:t xml:space="preserve"> OST întreprinde acţiuni de echilibrare cu scopul:</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1) de a menţine regimul de funcţionare a reţelei de transport al gazelor naturale în limitele parametrilor de funcţionare pentru care a fost proiectată;</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2) de a asigura stocarea unei cantităţi corespunzătoare de gaze naturale în reţeaua de transport al gazelor naturale din zona de echilibrare a Republicii Moldova la sfârşitul zilei gaziere, diferită de cea prognozată pe baza intrărilor şi ieşirilor prognozate pentru acea zi gazieră, în aşa mod încât să asigure funcţionarea economică şi eficientă a reţelei de transport al gazelor naturale.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452.</w:t>
            </w:r>
            <w:r w:rsidRPr="006E10C6">
              <w:rPr>
                <w:bCs/>
                <w:sz w:val="18"/>
                <w:szCs w:val="18"/>
                <w:lang w:val="ro-RO" w:eastAsia="en-US"/>
              </w:rPr>
              <w:t xml:space="preserve"> La desfăşurarea acţiunilor de echilibrare, OST ia în considerare cel puţin următoarele aspecte referitoare la zona de echilibrare:</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1) prognozele proprii ale OST privind cererea de gaze naturale pentru ziua gazieră şi pe parcursul zilei gaziere, pentru care ar putea fi necesară (-e) acţiunea (acţiunile) de echilibrare;</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2) informaţiile privind nominalizarea (-rile) şi alocarea (-rile), precum şi fluxurile de gaze naturale măsurate;</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3) presiunea gazelor la nivelul întregii (-lor) reţele de transport al gazelor naturale.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453.</w:t>
            </w:r>
            <w:r w:rsidRPr="006E10C6">
              <w:rPr>
                <w:bCs/>
                <w:sz w:val="18"/>
                <w:szCs w:val="18"/>
                <w:lang w:val="ro-RO" w:eastAsia="en-US"/>
              </w:rPr>
              <w:t xml:space="preserve"> OST întreprinde acţiuni de echilibrare prin:</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lastRenderedPageBreak/>
              <w:t>1) cumpărarea sau vânzarea de produse standardizate pe termen scurt (în continuare – PSTS) pe o platformă de tranzacţionare; şi/sau</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2) utilizarea serviciilor de echilibrare.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454.</w:t>
            </w:r>
            <w:r w:rsidRPr="006E10C6">
              <w:rPr>
                <w:bCs/>
                <w:sz w:val="18"/>
                <w:szCs w:val="18"/>
                <w:lang w:val="ro-RO" w:eastAsia="en-US"/>
              </w:rPr>
              <w:t xml:space="preserve"> Atunci cînd efectuează acţiuni de echilibrare, OST trebuie să ţină cont de următoarele principii:</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1) acţiunile de echilibrare sunt întreprinse în mod nediscriminatoriu;</w:t>
            </w:r>
          </w:p>
          <w:p w:rsidR="006E10C6" w:rsidRPr="006E10C6" w:rsidRDefault="006E10C6" w:rsidP="006E10C6">
            <w:pPr>
              <w:textAlignment w:val="baseline"/>
              <w:rPr>
                <w:bCs/>
                <w:sz w:val="18"/>
                <w:szCs w:val="18"/>
                <w:lang w:val="ro-RO" w:eastAsia="en-US"/>
              </w:rPr>
            </w:pPr>
            <w:r w:rsidRPr="006E10C6">
              <w:rPr>
                <w:bCs/>
                <w:sz w:val="18"/>
                <w:szCs w:val="18"/>
                <w:lang w:val="ro-RO" w:eastAsia="en-US"/>
              </w:rPr>
              <w:t>2) acţiunile de echilibrare trebuie să ţină cont de orice obligaţie a OST de a opera reţeaua de transport al gazelor naturale într-un mod economic şi eficient.</w:t>
            </w:r>
          </w:p>
          <w:p w:rsidR="006E10C6" w:rsidRPr="006E10C6" w:rsidRDefault="006E10C6" w:rsidP="006E10C6">
            <w:pPr>
              <w:textAlignment w:val="baseline"/>
              <w:rPr>
                <w:bCs/>
                <w:sz w:val="18"/>
                <w:szCs w:val="18"/>
                <w:lang w:val="ro-RO" w:eastAsia="en-US"/>
              </w:rPr>
            </w:pPr>
            <w:r w:rsidRPr="006E10C6">
              <w:rPr>
                <w:bCs/>
                <w:sz w:val="18"/>
                <w:szCs w:val="18"/>
                <w:lang w:val="ro-RO" w:eastAsia="en-US"/>
              </w:rPr>
              <w:t> </w:t>
            </w:r>
          </w:p>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t>Secţiunea 2</w:t>
            </w:r>
          </w:p>
          <w:p w:rsidR="006E10C6" w:rsidRDefault="006E10C6" w:rsidP="00165BD4">
            <w:pPr>
              <w:jc w:val="center"/>
              <w:textAlignment w:val="baseline"/>
              <w:rPr>
                <w:b/>
                <w:bCs/>
                <w:sz w:val="18"/>
                <w:szCs w:val="18"/>
                <w:lang w:val="ro-RO" w:eastAsia="en-US"/>
              </w:rPr>
            </w:pPr>
            <w:r w:rsidRPr="006E10C6">
              <w:rPr>
                <w:b/>
                <w:bCs/>
                <w:sz w:val="18"/>
                <w:szCs w:val="18"/>
                <w:lang w:val="ro-RO" w:eastAsia="en-US"/>
              </w:rPr>
              <w:t>Produse standardizate pe termen scurt</w:t>
            </w:r>
          </w:p>
          <w:p w:rsidR="008558D1" w:rsidRDefault="008558D1" w:rsidP="00165BD4">
            <w:pPr>
              <w:jc w:val="center"/>
              <w:textAlignment w:val="baseline"/>
              <w:rPr>
                <w:b/>
                <w:bCs/>
                <w:sz w:val="18"/>
                <w:szCs w:val="18"/>
                <w:lang w:val="ro-RO" w:eastAsia="en-US"/>
              </w:rPr>
            </w:pPr>
          </w:p>
          <w:p w:rsidR="006E10C6" w:rsidRDefault="006E10C6" w:rsidP="006E10C6">
            <w:pPr>
              <w:textAlignment w:val="baseline"/>
              <w:rPr>
                <w:bCs/>
                <w:sz w:val="18"/>
                <w:szCs w:val="18"/>
                <w:lang w:val="ro-RO" w:eastAsia="en-US"/>
              </w:rPr>
            </w:pPr>
            <w:r w:rsidRPr="006E10C6">
              <w:rPr>
                <w:b/>
                <w:bCs/>
                <w:sz w:val="18"/>
                <w:szCs w:val="18"/>
                <w:lang w:val="ro-RO" w:eastAsia="en-US"/>
              </w:rPr>
              <w:t>455.</w:t>
            </w:r>
            <w:r w:rsidRPr="006E10C6">
              <w:rPr>
                <w:bCs/>
                <w:sz w:val="18"/>
                <w:szCs w:val="18"/>
                <w:lang w:val="ro-RO" w:eastAsia="en-US"/>
              </w:rPr>
              <w:t xml:space="preserve"> PSTS sunt tranzacţionate pentru livrarea în cursul zilei sau în ziua următoare, 7 zile pe săptămână, în conformitate cu normele aplicabile platformei de tranzacţionare, astfel cum sunt definite de comun acord de operatorul platformei de tranzacţionare şi OST.</w:t>
            </w:r>
          </w:p>
          <w:p w:rsidR="001A4C4F" w:rsidRPr="006E10C6" w:rsidRDefault="001A4C4F" w:rsidP="006E10C6">
            <w:pPr>
              <w:textAlignment w:val="baseline"/>
              <w:rPr>
                <w:bCs/>
                <w:sz w:val="18"/>
                <w:szCs w:val="18"/>
                <w:lang w:val="ro-RO" w:eastAsia="en-US"/>
              </w:rPr>
            </w:pPr>
          </w:p>
          <w:p w:rsidR="006E10C6" w:rsidRPr="006E10C6" w:rsidRDefault="006E10C6" w:rsidP="006E10C6">
            <w:pPr>
              <w:textAlignment w:val="baseline"/>
              <w:rPr>
                <w:bCs/>
                <w:sz w:val="18"/>
                <w:szCs w:val="18"/>
                <w:lang w:val="ro-RO" w:eastAsia="en-US"/>
              </w:rPr>
            </w:pPr>
            <w:r w:rsidRPr="006E10C6">
              <w:rPr>
                <w:b/>
                <w:bCs/>
                <w:sz w:val="18"/>
                <w:szCs w:val="18"/>
                <w:lang w:val="ro-RO" w:eastAsia="en-US"/>
              </w:rPr>
              <w:t>456.</w:t>
            </w:r>
            <w:r w:rsidRPr="006E10C6">
              <w:rPr>
                <w:bCs/>
                <w:sz w:val="18"/>
                <w:szCs w:val="18"/>
                <w:lang w:val="ro-RO" w:eastAsia="en-US"/>
              </w:rPr>
              <w:t xml:space="preserve"> Participantul la tranzacţionare emitent este cel care introduce o ofertă de tranzacţionare pe platforma de tranzacţionare, iar participantul la tranzacţionare receptor este cel care o acceptă.</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457.</w:t>
            </w:r>
            <w:r w:rsidRPr="006E10C6">
              <w:rPr>
                <w:bCs/>
                <w:sz w:val="18"/>
                <w:szCs w:val="18"/>
                <w:lang w:val="ro-RO" w:eastAsia="en-US"/>
              </w:rPr>
              <w:t xml:space="preserve"> În cazul comercializării unui produs titlu:</w:t>
            </w:r>
          </w:p>
          <w:p w:rsidR="006E10C6" w:rsidRPr="006E10C6" w:rsidRDefault="006E10C6" w:rsidP="006E10C6">
            <w:pPr>
              <w:textAlignment w:val="baseline"/>
              <w:rPr>
                <w:bCs/>
                <w:sz w:val="18"/>
                <w:szCs w:val="18"/>
                <w:lang w:val="ro-RO" w:eastAsia="en-US"/>
              </w:rPr>
            </w:pPr>
            <w:r w:rsidRPr="006E10C6">
              <w:rPr>
                <w:bCs/>
                <w:sz w:val="18"/>
                <w:szCs w:val="18"/>
                <w:lang w:val="ro-RO" w:eastAsia="en-US"/>
              </w:rPr>
              <w:t>1) un participant la tranzacţionare emite notificarea comercială de vânzare, iar celălalt participant la tranzacţionare emite notificarea comercială de cumpărare;</w:t>
            </w:r>
          </w:p>
          <w:p w:rsidR="006E10C6" w:rsidRPr="006E10C6" w:rsidRDefault="006E10C6" w:rsidP="006E10C6">
            <w:pPr>
              <w:textAlignment w:val="baseline"/>
              <w:rPr>
                <w:bCs/>
                <w:sz w:val="18"/>
                <w:szCs w:val="18"/>
                <w:lang w:val="ro-RO" w:eastAsia="en-US"/>
              </w:rPr>
            </w:pPr>
            <w:r w:rsidRPr="006E10C6">
              <w:rPr>
                <w:bCs/>
                <w:sz w:val="18"/>
                <w:szCs w:val="18"/>
                <w:lang w:val="ro-RO" w:eastAsia="en-US"/>
              </w:rPr>
              <w:t>2) ambele notificări comerciale specifică cantitatea de gaze naturale transferată de la participantul la tranzacţionare care emite notificarea comercială de vânzare către participantul la tranzacţionare care emite o notificare comercială de cumpărare;</w:t>
            </w:r>
          </w:p>
          <w:p w:rsidR="006E10C6" w:rsidRPr="006E10C6" w:rsidRDefault="006E10C6" w:rsidP="006E10C6">
            <w:pPr>
              <w:textAlignment w:val="baseline"/>
              <w:rPr>
                <w:bCs/>
                <w:sz w:val="18"/>
                <w:szCs w:val="18"/>
                <w:lang w:val="ro-RO" w:eastAsia="en-US"/>
              </w:rPr>
            </w:pPr>
            <w:r w:rsidRPr="006E10C6">
              <w:rPr>
                <w:bCs/>
                <w:sz w:val="18"/>
                <w:szCs w:val="18"/>
                <w:lang w:val="ro-RO" w:eastAsia="en-US"/>
              </w:rPr>
              <w:t>3) atunci când se utilizează o cantitate notificată orară, acesta se aplică în mod egal tuturor orelor rămase din ziua gazieră începând cu un anumit moment şi este egal cu zero pentru toate orele de dinaintea momentului respectiv.</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458.</w:t>
            </w:r>
            <w:r w:rsidRPr="006E10C6">
              <w:rPr>
                <w:bCs/>
                <w:sz w:val="18"/>
                <w:szCs w:val="18"/>
                <w:lang w:val="ro-RO" w:eastAsia="en-US"/>
              </w:rPr>
              <w:t xml:space="preserve"> În cazul în care se comercializează un produs de localizare (pentru un punct fizic determinat):</w:t>
            </w:r>
          </w:p>
          <w:p w:rsidR="006E10C6" w:rsidRPr="006E10C6" w:rsidRDefault="006E10C6" w:rsidP="006E10C6">
            <w:pPr>
              <w:textAlignment w:val="baseline"/>
              <w:rPr>
                <w:bCs/>
                <w:sz w:val="18"/>
                <w:szCs w:val="18"/>
                <w:lang w:val="ro-RO" w:eastAsia="en-US"/>
              </w:rPr>
            </w:pPr>
            <w:r w:rsidRPr="006E10C6">
              <w:rPr>
                <w:bCs/>
                <w:sz w:val="18"/>
                <w:szCs w:val="18"/>
                <w:lang w:val="ro-RO" w:eastAsia="en-US"/>
              </w:rPr>
              <w:t>1) OST determină punctele de intrare şi de ieşire relevante sau grupurile de astfel de puncte care pot fi folosite;</w:t>
            </w:r>
          </w:p>
          <w:p w:rsidR="006E10C6" w:rsidRPr="006E10C6" w:rsidRDefault="006E10C6" w:rsidP="006E10C6">
            <w:pPr>
              <w:textAlignment w:val="baseline"/>
              <w:rPr>
                <w:bCs/>
                <w:sz w:val="18"/>
                <w:szCs w:val="18"/>
                <w:lang w:val="ro-RO" w:eastAsia="en-US"/>
              </w:rPr>
            </w:pPr>
            <w:r w:rsidRPr="006E10C6">
              <w:rPr>
                <w:bCs/>
                <w:sz w:val="18"/>
                <w:szCs w:val="18"/>
                <w:lang w:val="ro-RO" w:eastAsia="en-US"/>
              </w:rPr>
              <w:t>2) toate condiţiile menţionate la pct.457 sunt îndeplinite;</w:t>
            </w:r>
          </w:p>
          <w:p w:rsidR="006E10C6" w:rsidRDefault="006E10C6" w:rsidP="006E10C6">
            <w:pPr>
              <w:textAlignment w:val="baseline"/>
              <w:rPr>
                <w:bCs/>
                <w:sz w:val="18"/>
                <w:szCs w:val="18"/>
                <w:lang w:val="ro-RO" w:eastAsia="en-US"/>
              </w:rPr>
            </w:pPr>
            <w:r w:rsidRPr="006E10C6">
              <w:rPr>
                <w:bCs/>
                <w:sz w:val="18"/>
                <w:szCs w:val="18"/>
                <w:lang w:val="ro-RO" w:eastAsia="en-US"/>
              </w:rPr>
              <w:t>3) participantul la tranzacţionare emitent modifică cantitatea de gaze naturale care urmează să fie livrată către sau preluată din reţeaua de transport în punctul de intrare sau de ieşire specificat cu o cantitate egală cu cantitatea notificată şi transmite către OST dovadă faptului că cantitatea a fost modificată;</w:t>
            </w:r>
          </w:p>
          <w:p w:rsidR="00E87034" w:rsidRDefault="00E87034" w:rsidP="006E10C6">
            <w:pPr>
              <w:textAlignment w:val="baseline"/>
              <w:rPr>
                <w:bCs/>
                <w:sz w:val="18"/>
                <w:szCs w:val="18"/>
                <w:lang w:val="ro-RO" w:eastAsia="en-US"/>
              </w:rPr>
            </w:pPr>
          </w:p>
          <w:p w:rsidR="002939EB" w:rsidRDefault="002939EB" w:rsidP="006E10C6">
            <w:pPr>
              <w:textAlignment w:val="baseline"/>
              <w:rPr>
                <w:bCs/>
                <w:sz w:val="18"/>
                <w:szCs w:val="18"/>
                <w:lang w:val="ro-RO" w:eastAsia="en-US"/>
              </w:rPr>
            </w:pPr>
          </w:p>
          <w:p w:rsidR="006E10C6" w:rsidRPr="006E10C6" w:rsidRDefault="006E10C6" w:rsidP="006E10C6">
            <w:pPr>
              <w:textAlignment w:val="baseline"/>
              <w:rPr>
                <w:bCs/>
                <w:sz w:val="18"/>
                <w:szCs w:val="18"/>
                <w:lang w:val="ro-RO" w:eastAsia="en-US"/>
              </w:rPr>
            </w:pPr>
            <w:r w:rsidRPr="006E10C6">
              <w:rPr>
                <w:b/>
                <w:bCs/>
                <w:sz w:val="18"/>
                <w:szCs w:val="18"/>
                <w:lang w:val="ro-RO" w:eastAsia="en-US"/>
              </w:rPr>
              <w:t>459.</w:t>
            </w:r>
            <w:r w:rsidRPr="006E10C6">
              <w:rPr>
                <w:bCs/>
                <w:sz w:val="18"/>
                <w:szCs w:val="18"/>
                <w:lang w:val="ro-RO" w:eastAsia="en-US"/>
              </w:rPr>
              <w:t xml:space="preserve"> În cazul în care se comercializează un produs temporar:</w:t>
            </w:r>
          </w:p>
          <w:p w:rsidR="006E10C6" w:rsidRPr="006E10C6" w:rsidRDefault="006E10C6" w:rsidP="006E10C6">
            <w:pPr>
              <w:textAlignment w:val="baseline"/>
              <w:rPr>
                <w:bCs/>
                <w:sz w:val="18"/>
                <w:szCs w:val="18"/>
                <w:lang w:val="ro-RO" w:eastAsia="en-US"/>
              </w:rPr>
            </w:pPr>
            <w:r w:rsidRPr="006E10C6">
              <w:rPr>
                <w:bCs/>
                <w:sz w:val="18"/>
                <w:szCs w:val="18"/>
                <w:lang w:val="ro-RO" w:eastAsia="en-US"/>
              </w:rPr>
              <w:t>1) condiţiile menţionate la pct.457 subpunctele 1) şi 2) sunt îndeplinite;</w:t>
            </w:r>
          </w:p>
          <w:p w:rsidR="006E10C6" w:rsidRPr="006E10C6" w:rsidRDefault="006E10C6" w:rsidP="006E10C6">
            <w:pPr>
              <w:textAlignment w:val="baseline"/>
              <w:rPr>
                <w:bCs/>
                <w:sz w:val="18"/>
                <w:szCs w:val="18"/>
                <w:lang w:val="ro-RO" w:eastAsia="en-US"/>
              </w:rPr>
            </w:pPr>
            <w:r w:rsidRPr="006E10C6">
              <w:rPr>
                <w:bCs/>
                <w:sz w:val="18"/>
                <w:szCs w:val="18"/>
                <w:lang w:val="ro-RO" w:eastAsia="en-US"/>
              </w:rPr>
              <w:t>2) se aplică o cantitate notificată orară în cazul orelor din ziua gazieră de la un anumit moment de începere până la un anumit moment de încheiere şi este egal cu zero pentru toate orele de dinaintea momentului de începere şi zero pentru toate orele de după momentul de încheiere.</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460.</w:t>
            </w:r>
            <w:r w:rsidRPr="006E10C6">
              <w:rPr>
                <w:bCs/>
                <w:sz w:val="18"/>
                <w:szCs w:val="18"/>
                <w:lang w:val="ro-RO" w:eastAsia="en-US"/>
              </w:rPr>
              <w:t xml:space="preserve"> În cazul comercializării unui produs de localizare temporar, trebuie îndeplinite condiţiile menţionate la pct.458</w:t>
            </w:r>
            <w:r w:rsidRPr="006E10C6">
              <w:rPr>
                <w:bCs/>
                <w:sz w:val="18"/>
                <w:szCs w:val="18"/>
                <w:vertAlign w:val="superscript"/>
                <w:lang w:val="ro-RO" w:eastAsia="en-US"/>
              </w:rPr>
              <w:t xml:space="preserve"> </w:t>
            </w:r>
            <w:r w:rsidRPr="006E10C6">
              <w:rPr>
                <w:bCs/>
                <w:sz w:val="18"/>
                <w:szCs w:val="18"/>
                <w:lang w:val="ro-RO" w:eastAsia="en-US"/>
              </w:rPr>
              <w:t>subpunctele 1) şi 3) şi la pct.459.</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461.</w:t>
            </w:r>
            <w:r w:rsidRPr="006E10C6">
              <w:rPr>
                <w:bCs/>
                <w:sz w:val="18"/>
                <w:szCs w:val="18"/>
                <w:lang w:val="ro-RO" w:eastAsia="en-US"/>
              </w:rPr>
              <w:t xml:space="preserve"> Atunci când stabilesc PSTS, OST din zonele de echilibrare adiacente cooperează în vederea identificării produselor respective. Fiecare OST informează operatorii platformelor de tranzacţionare în cauză cu privire la rezultatul acestei cooperări fără nicio întârziere nejustificată.</w:t>
            </w:r>
          </w:p>
          <w:p w:rsidR="004D04C6" w:rsidRPr="006E10C6" w:rsidRDefault="004D04C6" w:rsidP="006E10C6">
            <w:pPr>
              <w:textAlignment w:val="baseline"/>
              <w:rPr>
                <w:b/>
                <w:bCs/>
                <w:sz w:val="18"/>
                <w:szCs w:val="18"/>
                <w:lang w:val="ro-RO" w:eastAsia="en-US"/>
              </w:rPr>
            </w:pPr>
          </w:p>
        </w:tc>
        <w:tc>
          <w:tcPr>
            <w:tcW w:w="1275" w:type="dxa"/>
            <w:shd w:val="clear" w:color="auto" w:fill="auto"/>
          </w:tcPr>
          <w:p w:rsidR="004D04C6" w:rsidRDefault="004D04C6" w:rsidP="00DA725A">
            <w:pPr>
              <w:jc w:val="both"/>
              <w:rPr>
                <w:b/>
                <w:sz w:val="18"/>
                <w:szCs w:val="18"/>
                <w:lang w:val="it-IT"/>
              </w:rPr>
            </w:pPr>
          </w:p>
          <w:p w:rsidR="003A0C2B" w:rsidRDefault="003A0C2B" w:rsidP="00DA725A">
            <w:pPr>
              <w:jc w:val="both"/>
              <w:rPr>
                <w:b/>
                <w:sz w:val="18"/>
                <w:szCs w:val="18"/>
                <w:lang w:val="it-IT"/>
              </w:rPr>
            </w:pPr>
          </w:p>
          <w:p w:rsidR="003A0C2B" w:rsidRDefault="003A0C2B" w:rsidP="00DA725A">
            <w:pPr>
              <w:jc w:val="both"/>
              <w:rPr>
                <w:b/>
                <w:sz w:val="18"/>
                <w:szCs w:val="18"/>
                <w:lang w:val="it-IT"/>
              </w:rPr>
            </w:pPr>
          </w:p>
          <w:p w:rsidR="003A0C2B" w:rsidRDefault="003A0C2B" w:rsidP="00DA725A">
            <w:pPr>
              <w:jc w:val="both"/>
              <w:rPr>
                <w:b/>
                <w:sz w:val="18"/>
                <w:szCs w:val="18"/>
                <w:lang w:val="it-IT"/>
              </w:rPr>
            </w:pPr>
          </w:p>
          <w:p w:rsidR="003A0C2B" w:rsidRPr="00981BD4" w:rsidRDefault="003A0C2B" w:rsidP="00DA725A">
            <w:pPr>
              <w:jc w:val="both"/>
              <w:rPr>
                <w:sz w:val="18"/>
                <w:szCs w:val="18"/>
                <w:lang w:val="it-IT"/>
              </w:rPr>
            </w:pPr>
            <w:r w:rsidRPr="00981BD4">
              <w:rPr>
                <w:sz w:val="18"/>
                <w:szCs w:val="18"/>
                <w:lang w:val="it-IT"/>
              </w:rPr>
              <w:t>Compatibil</w:t>
            </w: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Default="003A0C2B" w:rsidP="00DA725A">
            <w:pPr>
              <w:jc w:val="both"/>
              <w:rPr>
                <w:sz w:val="18"/>
                <w:szCs w:val="18"/>
                <w:lang w:val="it-IT"/>
              </w:rPr>
            </w:pPr>
          </w:p>
          <w:p w:rsidR="00CB424E" w:rsidRDefault="00CB424E" w:rsidP="00DA725A">
            <w:pPr>
              <w:jc w:val="both"/>
              <w:rPr>
                <w:sz w:val="18"/>
                <w:szCs w:val="18"/>
                <w:lang w:val="it-IT"/>
              </w:rPr>
            </w:pPr>
          </w:p>
          <w:p w:rsidR="00CB424E" w:rsidRPr="00981BD4" w:rsidRDefault="00CB424E" w:rsidP="00DA725A">
            <w:pPr>
              <w:jc w:val="both"/>
              <w:rPr>
                <w:sz w:val="18"/>
                <w:szCs w:val="18"/>
                <w:lang w:val="it-IT"/>
              </w:rPr>
            </w:pPr>
          </w:p>
          <w:p w:rsidR="003A0C2B" w:rsidRPr="00981BD4" w:rsidRDefault="003A0C2B" w:rsidP="00DA725A">
            <w:pPr>
              <w:jc w:val="both"/>
              <w:rPr>
                <w:sz w:val="18"/>
                <w:szCs w:val="18"/>
                <w:lang w:val="it-IT"/>
              </w:rPr>
            </w:pPr>
          </w:p>
          <w:p w:rsidR="003A0C2B" w:rsidRDefault="003A0C2B" w:rsidP="00DA725A">
            <w:pPr>
              <w:jc w:val="both"/>
              <w:rPr>
                <w:sz w:val="18"/>
                <w:szCs w:val="18"/>
                <w:lang w:val="it-IT"/>
              </w:rPr>
            </w:pPr>
          </w:p>
          <w:p w:rsidR="001A4C4F" w:rsidRDefault="001A4C4F" w:rsidP="00DA725A">
            <w:pPr>
              <w:jc w:val="both"/>
              <w:rPr>
                <w:sz w:val="18"/>
                <w:szCs w:val="18"/>
                <w:lang w:val="it-IT"/>
              </w:rPr>
            </w:pPr>
          </w:p>
          <w:p w:rsidR="001A4C4F" w:rsidRPr="00981BD4" w:rsidRDefault="001A4C4F" w:rsidP="00DA725A">
            <w:pPr>
              <w:jc w:val="both"/>
              <w:rPr>
                <w:sz w:val="18"/>
                <w:szCs w:val="18"/>
                <w:lang w:val="it-IT"/>
              </w:rPr>
            </w:pPr>
          </w:p>
          <w:p w:rsidR="00490C31" w:rsidRPr="00981BD4" w:rsidRDefault="00490C31" w:rsidP="00DA725A">
            <w:pPr>
              <w:jc w:val="both"/>
              <w:rPr>
                <w:sz w:val="18"/>
                <w:szCs w:val="18"/>
                <w:lang w:val="it-IT"/>
              </w:rPr>
            </w:pPr>
          </w:p>
          <w:p w:rsidR="003A0C2B" w:rsidRPr="00981BD4" w:rsidRDefault="003A0C2B" w:rsidP="00DA725A">
            <w:pPr>
              <w:jc w:val="both"/>
              <w:rPr>
                <w:sz w:val="18"/>
                <w:szCs w:val="18"/>
                <w:lang w:val="it-IT"/>
              </w:rPr>
            </w:pPr>
            <w:r w:rsidRPr="00981BD4">
              <w:rPr>
                <w:sz w:val="18"/>
                <w:szCs w:val="18"/>
                <w:lang w:val="it-IT"/>
              </w:rPr>
              <w:t>Compatibil</w:t>
            </w: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490C31" w:rsidRPr="00981BD4" w:rsidRDefault="00490C31" w:rsidP="00DA725A">
            <w:pPr>
              <w:jc w:val="both"/>
              <w:rPr>
                <w:sz w:val="18"/>
                <w:szCs w:val="18"/>
                <w:lang w:val="it-IT"/>
              </w:rPr>
            </w:pPr>
          </w:p>
          <w:p w:rsidR="003A0C2B" w:rsidRDefault="003A0C2B" w:rsidP="00DA725A">
            <w:pPr>
              <w:jc w:val="both"/>
              <w:rPr>
                <w:sz w:val="18"/>
                <w:szCs w:val="18"/>
                <w:lang w:val="it-IT"/>
              </w:rPr>
            </w:pPr>
          </w:p>
          <w:p w:rsidR="001A4C4F" w:rsidRDefault="001A4C4F" w:rsidP="00DA725A">
            <w:pPr>
              <w:jc w:val="both"/>
              <w:rPr>
                <w:sz w:val="18"/>
                <w:szCs w:val="18"/>
                <w:lang w:val="it-IT"/>
              </w:rPr>
            </w:pPr>
          </w:p>
          <w:p w:rsidR="001A4C4F" w:rsidRDefault="001A4C4F" w:rsidP="00DA725A">
            <w:pPr>
              <w:jc w:val="both"/>
              <w:rPr>
                <w:sz w:val="18"/>
                <w:szCs w:val="18"/>
                <w:lang w:val="it-IT"/>
              </w:rPr>
            </w:pPr>
          </w:p>
          <w:p w:rsidR="003A0C2B" w:rsidRPr="00981BD4" w:rsidRDefault="003A0C2B" w:rsidP="00DA725A">
            <w:pPr>
              <w:jc w:val="both"/>
              <w:rPr>
                <w:sz w:val="18"/>
                <w:szCs w:val="18"/>
                <w:lang w:val="it-IT"/>
              </w:rPr>
            </w:pPr>
            <w:r w:rsidRPr="00981BD4">
              <w:rPr>
                <w:sz w:val="18"/>
                <w:szCs w:val="18"/>
                <w:lang w:val="it-IT"/>
              </w:rPr>
              <w:lastRenderedPageBreak/>
              <w:t>Compatibil</w:t>
            </w:r>
          </w:p>
          <w:p w:rsidR="00C37921" w:rsidRPr="00981BD4" w:rsidRDefault="00C37921" w:rsidP="00DA725A">
            <w:pPr>
              <w:jc w:val="both"/>
              <w:rPr>
                <w:sz w:val="18"/>
                <w:szCs w:val="18"/>
                <w:lang w:val="it-IT"/>
              </w:rPr>
            </w:pPr>
          </w:p>
          <w:p w:rsidR="00C37921" w:rsidRDefault="00C37921" w:rsidP="00DA725A">
            <w:pPr>
              <w:jc w:val="both"/>
              <w:rPr>
                <w:sz w:val="18"/>
                <w:szCs w:val="18"/>
                <w:lang w:val="it-IT"/>
              </w:rPr>
            </w:pPr>
          </w:p>
          <w:p w:rsidR="00CB424E" w:rsidRPr="00981BD4" w:rsidRDefault="00CB424E" w:rsidP="00DA725A">
            <w:pPr>
              <w:jc w:val="both"/>
              <w:rPr>
                <w:sz w:val="18"/>
                <w:szCs w:val="18"/>
                <w:lang w:val="it-IT"/>
              </w:rPr>
            </w:pPr>
          </w:p>
          <w:p w:rsidR="00C37921" w:rsidRPr="00981BD4" w:rsidRDefault="00C37921" w:rsidP="00DA725A">
            <w:pPr>
              <w:jc w:val="both"/>
              <w:rPr>
                <w:sz w:val="18"/>
                <w:szCs w:val="18"/>
                <w:lang w:val="it-IT"/>
              </w:rPr>
            </w:pPr>
          </w:p>
          <w:p w:rsidR="00C37921" w:rsidRPr="00981BD4" w:rsidRDefault="00C37921"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1A4C4F" w:rsidRDefault="001A4C4F" w:rsidP="00DA725A">
            <w:pPr>
              <w:jc w:val="both"/>
              <w:rPr>
                <w:sz w:val="18"/>
                <w:szCs w:val="18"/>
                <w:lang w:val="it-IT"/>
              </w:rPr>
            </w:pPr>
          </w:p>
          <w:p w:rsidR="001A4C4F" w:rsidRDefault="001A4C4F" w:rsidP="00DA725A">
            <w:pPr>
              <w:jc w:val="both"/>
              <w:rPr>
                <w:sz w:val="18"/>
                <w:szCs w:val="18"/>
                <w:lang w:val="it-IT"/>
              </w:rPr>
            </w:pPr>
          </w:p>
          <w:p w:rsidR="001A4C4F" w:rsidRPr="00981BD4" w:rsidRDefault="001A4C4F"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Pr="00981BD4" w:rsidRDefault="002939EB"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Default="002939EB" w:rsidP="00DA725A">
            <w:pPr>
              <w:jc w:val="both"/>
              <w:rPr>
                <w:sz w:val="18"/>
                <w:szCs w:val="18"/>
                <w:lang w:val="it-IT"/>
              </w:rPr>
            </w:pPr>
          </w:p>
          <w:p w:rsidR="008558D1" w:rsidRPr="00981BD4" w:rsidRDefault="008558D1"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Pr="00981BD4" w:rsidRDefault="002939EB"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B167DB" w:rsidRPr="00981BD4" w:rsidRDefault="00B167DB"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Default="002939EB"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D3356A" w:rsidRDefault="00D3356A" w:rsidP="00DA725A">
            <w:pPr>
              <w:jc w:val="both"/>
              <w:rPr>
                <w:sz w:val="18"/>
                <w:szCs w:val="18"/>
                <w:lang w:val="it-IT"/>
              </w:rPr>
            </w:pPr>
          </w:p>
          <w:p w:rsidR="0013190A" w:rsidRPr="00981BD4" w:rsidRDefault="0013190A"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8558D1" w:rsidRDefault="008558D1" w:rsidP="00DA725A">
            <w:pPr>
              <w:jc w:val="both"/>
              <w:rPr>
                <w:sz w:val="18"/>
                <w:szCs w:val="18"/>
                <w:lang w:val="it-IT"/>
              </w:rPr>
            </w:pPr>
          </w:p>
          <w:p w:rsidR="00B10ED2" w:rsidRPr="00D82EE4" w:rsidRDefault="00B10ED2" w:rsidP="00DA725A">
            <w:pPr>
              <w:jc w:val="both"/>
              <w:rPr>
                <w:b/>
                <w:sz w:val="18"/>
                <w:szCs w:val="18"/>
                <w:lang w:val="it-IT"/>
              </w:rPr>
            </w:pPr>
            <w:r w:rsidRPr="00981BD4">
              <w:rPr>
                <w:sz w:val="18"/>
                <w:szCs w:val="18"/>
                <w:lang w:val="it-IT"/>
              </w:rPr>
              <w:t>Compatibil</w:t>
            </w:r>
          </w:p>
        </w:tc>
        <w:tc>
          <w:tcPr>
            <w:tcW w:w="4253" w:type="dxa"/>
            <w:shd w:val="clear" w:color="auto" w:fill="auto"/>
          </w:tcPr>
          <w:p w:rsidR="004D04C6" w:rsidRPr="00E84D74" w:rsidRDefault="004D04C6" w:rsidP="00DA725A">
            <w:pPr>
              <w:autoSpaceDE w:val="0"/>
              <w:autoSpaceDN w:val="0"/>
              <w:adjustRightInd w:val="0"/>
              <w:jc w:val="center"/>
              <w:rPr>
                <w:b/>
                <w:bCs/>
                <w:sz w:val="18"/>
                <w:szCs w:val="18"/>
              </w:rPr>
            </w:pPr>
            <w:r w:rsidRPr="00E84D74">
              <w:rPr>
                <w:b/>
                <w:bCs/>
                <w:sz w:val="18"/>
                <w:szCs w:val="18"/>
              </w:rPr>
              <w:lastRenderedPageBreak/>
              <w:t>CHAPTER III</w:t>
            </w:r>
          </w:p>
          <w:p w:rsidR="004D04C6" w:rsidRPr="00E84D74" w:rsidRDefault="004D04C6" w:rsidP="00DA725A">
            <w:pPr>
              <w:autoSpaceDE w:val="0"/>
              <w:autoSpaceDN w:val="0"/>
              <w:adjustRightInd w:val="0"/>
              <w:jc w:val="center"/>
              <w:rPr>
                <w:b/>
                <w:bCs/>
                <w:sz w:val="18"/>
                <w:szCs w:val="18"/>
              </w:rPr>
            </w:pPr>
            <w:r w:rsidRPr="00E84D74">
              <w:rPr>
                <w:b/>
                <w:bCs/>
                <w:sz w:val="18"/>
                <w:szCs w:val="18"/>
              </w:rPr>
              <w:t>OPERATIONAL BALANCING</w:t>
            </w:r>
          </w:p>
          <w:p w:rsidR="004D04C6" w:rsidRPr="00E84D74" w:rsidRDefault="004D04C6" w:rsidP="00DA725A">
            <w:pPr>
              <w:autoSpaceDE w:val="0"/>
              <w:autoSpaceDN w:val="0"/>
              <w:adjustRightInd w:val="0"/>
              <w:jc w:val="center"/>
              <w:rPr>
                <w:b/>
                <w:bCs/>
                <w:i/>
                <w:iCs/>
                <w:sz w:val="18"/>
                <w:szCs w:val="18"/>
              </w:rPr>
            </w:pPr>
            <w:r w:rsidRPr="00E84D74">
              <w:rPr>
                <w:b/>
                <w:bCs/>
                <w:i/>
                <w:iCs/>
                <w:sz w:val="18"/>
                <w:szCs w:val="18"/>
              </w:rPr>
              <w:t>Article 6</w:t>
            </w:r>
          </w:p>
          <w:p w:rsidR="004D04C6" w:rsidRPr="00E84D74" w:rsidRDefault="004D04C6" w:rsidP="00DA725A">
            <w:pPr>
              <w:autoSpaceDE w:val="0"/>
              <w:autoSpaceDN w:val="0"/>
              <w:adjustRightInd w:val="0"/>
              <w:jc w:val="center"/>
              <w:rPr>
                <w:b/>
                <w:bCs/>
                <w:sz w:val="18"/>
                <w:szCs w:val="18"/>
              </w:rPr>
            </w:pPr>
            <w:r w:rsidRPr="00E84D74">
              <w:rPr>
                <w:b/>
                <w:bCs/>
                <w:sz w:val="18"/>
                <w:szCs w:val="18"/>
              </w:rPr>
              <w:t>General provisions</w:t>
            </w:r>
          </w:p>
          <w:p w:rsidR="004D04C6" w:rsidRPr="00E84D74" w:rsidRDefault="004D04C6" w:rsidP="00DA725A">
            <w:pPr>
              <w:autoSpaceDE w:val="0"/>
              <w:autoSpaceDN w:val="0"/>
              <w:adjustRightInd w:val="0"/>
              <w:rPr>
                <w:sz w:val="18"/>
                <w:szCs w:val="18"/>
              </w:rPr>
            </w:pPr>
            <w:r w:rsidRPr="00E84D74">
              <w:rPr>
                <w:sz w:val="18"/>
                <w:szCs w:val="18"/>
              </w:rPr>
              <w:t>1. The transmission system operator shall undertake balancing actions in order to:</w:t>
            </w:r>
          </w:p>
          <w:p w:rsidR="004D04C6" w:rsidRPr="00E84D74" w:rsidRDefault="004D04C6" w:rsidP="00DA725A">
            <w:pPr>
              <w:autoSpaceDE w:val="0"/>
              <w:autoSpaceDN w:val="0"/>
              <w:adjustRightInd w:val="0"/>
              <w:rPr>
                <w:sz w:val="18"/>
                <w:szCs w:val="18"/>
              </w:rPr>
            </w:pPr>
            <w:r w:rsidRPr="00E84D74">
              <w:rPr>
                <w:sz w:val="18"/>
                <w:szCs w:val="18"/>
              </w:rPr>
              <w:t>(a) maintain the transmission network within its operational limits;</w:t>
            </w:r>
          </w:p>
          <w:p w:rsidR="004D04C6" w:rsidRDefault="004D04C6" w:rsidP="00DA725A">
            <w:pPr>
              <w:autoSpaceDE w:val="0"/>
              <w:autoSpaceDN w:val="0"/>
              <w:adjustRightInd w:val="0"/>
              <w:rPr>
                <w:sz w:val="18"/>
                <w:szCs w:val="18"/>
              </w:rPr>
            </w:pPr>
            <w:r w:rsidRPr="00E84D74">
              <w:rPr>
                <w:sz w:val="18"/>
                <w:szCs w:val="18"/>
              </w:rPr>
              <w:t>(b) achieve an end of day linepack position in the transmission network different from the one anticipated on the basis of expected inputs and off-takes for that gas day, consistent with economic and efficient operation of the transmission network.</w:t>
            </w:r>
          </w:p>
          <w:p w:rsidR="001A4C4F" w:rsidRDefault="001A4C4F" w:rsidP="00DA725A">
            <w:pPr>
              <w:autoSpaceDE w:val="0"/>
              <w:autoSpaceDN w:val="0"/>
              <w:adjustRightInd w:val="0"/>
              <w:rPr>
                <w:sz w:val="18"/>
                <w:szCs w:val="18"/>
              </w:rPr>
            </w:pPr>
          </w:p>
          <w:p w:rsidR="001A4C4F" w:rsidRPr="00E84D74" w:rsidRDefault="001A4C4F" w:rsidP="00DA725A">
            <w:pPr>
              <w:autoSpaceDE w:val="0"/>
              <w:autoSpaceDN w:val="0"/>
              <w:adjustRightInd w:val="0"/>
              <w:rPr>
                <w:sz w:val="18"/>
                <w:szCs w:val="18"/>
              </w:rPr>
            </w:pPr>
          </w:p>
          <w:p w:rsidR="004D04C6" w:rsidRPr="00E84D74" w:rsidRDefault="004D04C6" w:rsidP="00DA725A">
            <w:pPr>
              <w:autoSpaceDE w:val="0"/>
              <w:autoSpaceDN w:val="0"/>
              <w:adjustRightInd w:val="0"/>
              <w:rPr>
                <w:sz w:val="18"/>
                <w:szCs w:val="18"/>
              </w:rPr>
            </w:pPr>
            <w:r w:rsidRPr="00E84D74">
              <w:rPr>
                <w:sz w:val="18"/>
                <w:szCs w:val="18"/>
              </w:rPr>
              <w:t>2. While undertaking balancing actions the transmission system operator shall consider at least the following in respect of the balancing zone:</w:t>
            </w:r>
          </w:p>
          <w:p w:rsidR="004D04C6" w:rsidRPr="00E84D74" w:rsidRDefault="004D04C6" w:rsidP="00DA725A">
            <w:pPr>
              <w:autoSpaceDE w:val="0"/>
              <w:autoSpaceDN w:val="0"/>
              <w:adjustRightInd w:val="0"/>
              <w:rPr>
                <w:sz w:val="18"/>
                <w:szCs w:val="18"/>
              </w:rPr>
            </w:pPr>
            <w:r w:rsidRPr="00E84D74">
              <w:rPr>
                <w:sz w:val="18"/>
                <w:szCs w:val="18"/>
              </w:rPr>
              <w:t>(a) the transmission system operator’s own estimates of demand of gas over and within the gas day for which the balancing action(s) is (are) considered;</w:t>
            </w:r>
          </w:p>
          <w:p w:rsidR="004D04C6" w:rsidRPr="00E84D74" w:rsidRDefault="004D04C6" w:rsidP="00DA725A">
            <w:pPr>
              <w:autoSpaceDE w:val="0"/>
              <w:autoSpaceDN w:val="0"/>
              <w:adjustRightInd w:val="0"/>
              <w:rPr>
                <w:sz w:val="18"/>
                <w:szCs w:val="18"/>
              </w:rPr>
            </w:pPr>
            <w:r w:rsidRPr="00E84D74">
              <w:rPr>
                <w:sz w:val="18"/>
                <w:szCs w:val="18"/>
              </w:rPr>
              <w:t>(b) nomination and allocation information and measured gas flows;</w:t>
            </w:r>
          </w:p>
          <w:p w:rsidR="004D04C6" w:rsidRPr="00E84D74" w:rsidRDefault="004D04C6" w:rsidP="00DA725A">
            <w:pPr>
              <w:autoSpaceDE w:val="0"/>
              <w:autoSpaceDN w:val="0"/>
              <w:adjustRightInd w:val="0"/>
              <w:rPr>
                <w:sz w:val="18"/>
                <w:szCs w:val="18"/>
              </w:rPr>
            </w:pPr>
            <w:r w:rsidRPr="00E84D74">
              <w:rPr>
                <w:sz w:val="18"/>
                <w:szCs w:val="18"/>
              </w:rPr>
              <w:t>(c) gas pressures throughout the transmission network(s).</w:t>
            </w:r>
          </w:p>
          <w:p w:rsidR="004D04C6" w:rsidRPr="00E84D74" w:rsidRDefault="004D04C6" w:rsidP="00DA725A">
            <w:pPr>
              <w:autoSpaceDE w:val="0"/>
              <w:autoSpaceDN w:val="0"/>
              <w:adjustRightInd w:val="0"/>
              <w:rPr>
                <w:sz w:val="18"/>
                <w:szCs w:val="18"/>
              </w:rPr>
            </w:pPr>
            <w:r w:rsidRPr="00E84D74">
              <w:rPr>
                <w:sz w:val="18"/>
                <w:szCs w:val="18"/>
              </w:rPr>
              <w:lastRenderedPageBreak/>
              <w:t>3. The transmission system operator shall undertake balancing actions through:</w:t>
            </w:r>
          </w:p>
          <w:p w:rsidR="004D04C6" w:rsidRPr="00E84D74" w:rsidRDefault="004D04C6" w:rsidP="00DA725A">
            <w:pPr>
              <w:autoSpaceDE w:val="0"/>
              <w:autoSpaceDN w:val="0"/>
              <w:adjustRightInd w:val="0"/>
              <w:rPr>
                <w:sz w:val="18"/>
                <w:szCs w:val="18"/>
              </w:rPr>
            </w:pPr>
            <w:r w:rsidRPr="00E84D74">
              <w:rPr>
                <w:sz w:val="18"/>
                <w:szCs w:val="18"/>
              </w:rPr>
              <w:t xml:space="preserve">(a) purchase and sale of short term standardised products on a trading platform; and/or </w:t>
            </w:r>
          </w:p>
          <w:p w:rsidR="004D04C6" w:rsidRPr="00E84D74" w:rsidRDefault="004D04C6" w:rsidP="00DA725A">
            <w:pPr>
              <w:autoSpaceDE w:val="0"/>
              <w:autoSpaceDN w:val="0"/>
              <w:adjustRightInd w:val="0"/>
              <w:rPr>
                <w:sz w:val="18"/>
                <w:szCs w:val="18"/>
              </w:rPr>
            </w:pPr>
            <w:r w:rsidRPr="00E84D74">
              <w:rPr>
                <w:sz w:val="18"/>
                <w:szCs w:val="18"/>
              </w:rPr>
              <w:t>(b) the use of balancing services.</w:t>
            </w:r>
          </w:p>
          <w:p w:rsidR="00837196" w:rsidRPr="00E84D74" w:rsidRDefault="004D04C6" w:rsidP="00DA725A">
            <w:pPr>
              <w:autoSpaceDE w:val="0"/>
              <w:autoSpaceDN w:val="0"/>
              <w:adjustRightInd w:val="0"/>
              <w:rPr>
                <w:sz w:val="18"/>
                <w:szCs w:val="18"/>
              </w:rPr>
            </w:pPr>
            <w:r w:rsidRPr="00E84D74">
              <w:rPr>
                <w:sz w:val="18"/>
                <w:szCs w:val="18"/>
              </w:rPr>
              <w:t>4. While undertaking balancing actions the transmission system operator shall take into account the</w:t>
            </w:r>
            <w:r w:rsidR="00837196" w:rsidRPr="00E84D74">
              <w:rPr>
                <w:sz w:val="18"/>
                <w:szCs w:val="18"/>
              </w:rPr>
              <w:t xml:space="preserve"> following principles:</w:t>
            </w:r>
          </w:p>
          <w:p w:rsidR="00837196" w:rsidRPr="00E84D74" w:rsidRDefault="00837196" w:rsidP="00DA725A">
            <w:pPr>
              <w:autoSpaceDE w:val="0"/>
              <w:autoSpaceDN w:val="0"/>
              <w:adjustRightInd w:val="0"/>
              <w:rPr>
                <w:sz w:val="18"/>
                <w:szCs w:val="18"/>
              </w:rPr>
            </w:pPr>
            <w:r w:rsidRPr="00E84D74">
              <w:rPr>
                <w:sz w:val="18"/>
                <w:szCs w:val="18"/>
              </w:rPr>
              <w:t>(a) the balancing actions shall be undertaken on a non-discriminatory basis;</w:t>
            </w:r>
          </w:p>
          <w:p w:rsidR="00837196" w:rsidRPr="00E84D74" w:rsidRDefault="00837196" w:rsidP="00DA725A">
            <w:pPr>
              <w:autoSpaceDE w:val="0"/>
              <w:autoSpaceDN w:val="0"/>
              <w:adjustRightInd w:val="0"/>
              <w:rPr>
                <w:sz w:val="18"/>
                <w:szCs w:val="18"/>
              </w:rPr>
            </w:pPr>
            <w:r w:rsidRPr="00E84D74">
              <w:rPr>
                <w:sz w:val="18"/>
                <w:szCs w:val="18"/>
              </w:rPr>
              <w:t>(b) the balancing actions shall have regard to any obligation upon transmission system operators to</w:t>
            </w:r>
          </w:p>
          <w:p w:rsidR="004D04C6" w:rsidRPr="00E84D74" w:rsidRDefault="00837196" w:rsidP="00DA725A">
            <w:pPr>
              <w:autoSpaceDE w:val="0"/>
              <w:autoSpaceDN w:val="0"/>
              <w:adjustRightInd w:val="0"/>
              <w:rPr>
                <w:sz w:val="18"/>
                <w:szCs w:val="18"/>
              </w:rPr>
            </w:pPr>
            <w:r w:rsidRPr="00E84D74">
              <w:rPr>
                <w:sz w:val="18"/>
                <w:szCs w:val="18"/>
              </w:rPr>
              <w:t>operate an economic and efficient transmission network.</w:t>
            </w:r>
          </w:p>
          <w:p w:rsidR="004D04C6" w:rsidRPr="00E84D74" w:rsidRDefault="004D04C6" w:rsidP="00DA725A">
            <w:pPr>
              <w:autoSpaceDE w:val="0"/>
              <w:autoSpaceDN w:val="0"/>
              <w:adjustRightInd w:val="0"/>
              <w:jc w:val="center"/>
              <w:rPr>
                <w:b/>
                <w:bCs/>
                <w:i/>
                <w:iCs/>
                <w:sz w:val="18"/>
                <w:szCs w:val="18"/>
              </w:rPr>
            </w:pPr>
            <w:r w:rsidRPr="00E84D74">
              <w:rPr>
                <w:b/>
                <w:bCs/>
                <w:i/>
                <w:iCs/>
                <w:sz w:val="18"/>
                <w:szCs w:val="18"/>
              </w:rPr>
              <w:t>Article 7</w:t>
            </w:r>
          </w:p>
          <w:p w:rsidR="004D04C6" w:rsidRPr="00E84D74" w:rsidRDefault="004D04C6" w:rsidP="00DA725A">
            <w:pPr>
              <w:autoSpaceDE w:val="0"/>
              <w:autoSpaceDN w:val="0"/>
              <w:adjustRightInd w:val="0"/>
              <w:jc w:val="center"/>
              <w:rPr>
                <w:b/>
                <w:bCs/>
                <w:sz w:val="18"/>
                <w:szCs w:val="18"/>
              </w:rPr>
            </w:pPr>
            <w:r w:rsidRPr="00E84D74">
              <w:rPr>
                <w:b/>
                <w:bCs/>
                <w:sz w:val="18"/>
                <w:szCs w:val="18"/>
              </w:rPr>
              <w:t>Short term standardised products</w:t>
            </w:r>
          </w:p>
          <w:p w:rsidR="004D04C6" w:rsidRPr="00E84D74" w:rsidRDefault="004D04C6" w:rsidP="00DA725A">
            <w:pPr>
              <w:autoSpaceDE w:val="0"/>
              <w:autoSpaceDN w:val="0"/>
              <w:adjustRightInd w:val="0"/>
              <w:rPr>
                <w:sz w:val="18"/>
                <w:szCs w:val="18"/>
              </w:rPr>
            </w:pPr>
            <w:r w:rsidRPr="00E84D74">
              <w:rPr>
                <w:sz w:val="18"/>
                <w:szCs w:val="18"/>
              </w:rPr>
              <w:t>1. The short term standardised products shall be traded for delivery on a within day or day ahead basis seven days a week in accordance with the applicable rules of the trading platform as defined between the trading platform operator and the transmission system operator.</w:t>
            </w:r>
          </w:p>
          <w:p w:rsidR="004D04C6" w:rsidRPr="00E84D74" w:rsidRDefault="004D04C6" w:rsidP="00DA725A">
            <w:pPr>
              <w:autoSpaceDE w:val="0"/>
              <w:autoSpaceDN w:val="0"/>
              <w:adjustRightInd w:val="0"/>
              <w:rPr>
                <w:sz w:val="18"/>
                <w:szCs w:val="18"/>
              </w:rPr>
            </w:pPr>
            <w:r w:rsidRPr="00E84D74">
              <w:rPr>
                <w:sz w:val="18"/>
                <w:szCs w:val="18"/>
              </w:rPr>
              <w:t xml:space="preserve">2. The originating trading participant is the trading participant that posts a bid or an offer to trade on the trading platform and the accepting trading participant is the trading participant that accepts it. </w:t>
            </w:r>
          </w:p>
          <w:p w:rsidR="004D04C6" w:rsidRPr="00E84D74" w:rsidRDefault="004D04C6" w:rsidP="00DA725A">
            <w:pPr>
              <w:autoSpaceDE w:val="0"/>
              <w:autoSpaceDN w:val="0"/>
              <w:adjustRightInd w:val="0"/>
              <w:rPr>
                <w:sz w:val="18"/>
                <w:szCs w:val="18"/>
              </w:rPr>
            </w:pPr>
            <w:r w:rsidRPr="00E84D74">
              <w:rPr>
                <w:sz w:val="18"/>
                <w:szCs w:val="18"/>
              </w:rPr>
              <w:t>3. Where a title product is traded:</w:t>
            </w:r>
          </w:p>
          <w:p w:rsidR="004D04C6" w:rsidRPr="00E84D74" w:rsidRDefault="004D04C6" w:rsidP="00DA725A">
            <w:pPr>
              <w:autoSpaceDE w:val="0"/>
              <w:autoSpaceDN w:val="0"/>
              <w:adjustRightInd w:val="0"/>
              <w:rPr>
                <w:sz w:val="18"/>
                <w:szCs w:val="18"/>
              </w:rPr>
            </w:pPr>
            <w:r w:rsidRPr="00E84D74">
              <w:rPr>
                <w:sz w:val="18"/>
                <w:szCs w:val="18"/>
              </w:rPr>
              <w:t>(a) one trading participant makes an acquiring trade notification and the other makes a disposing trade notification;</w:t>
            </w:r>
          </w:p>
          <w:p w:rsidR="004D04C6" w:rsidRPr="00E84D74" w:rsidRDefault="004D04C6" w:rsidP="00DA725A">
            <w:pPr>
              <w:autoSpaceDE w:val="0"/>
              <w:autoSpaceDN w:val="0"/>
              <w:adjustRightInd w:val="0"/>
              <w:rPr>
                <w:sz w:val="18"/>
                <w:szCs w:val="18"/>
              </w:rPr>
            </w:pPr>
            <w:r w:rsidRPr="00E84D74">
              <w:rPr>
                <w:sz w:val="18"/>
                <w:szCs w:val="18"/>
              </w:rPr>
              <w:t>(b) both trade notifications shall specify the gas quantity transferred from the trading participant who makes a disposing trade notification to the trading participant who makes an acquiring trade notification;</w:t>
            </w:r>
          </w:p>
          <w:p w:rsidR="004D04C6" w:rsidRPr="00E84D74" w:rsidRDefault="004D04C6" w:rsidP="00DA725A">
            <w:pPr>
              <w:autoSpaceDE w:val="0"/>
              <w:autoSpaceDN w:val="0"/>
              <w:adjustRightInd w:val="0"/>
              <w:rPr>
                <w:sz w:val="18"/>
                <w:szCs w:val="18"/>
              </w:rPr>
            </w:pPr>
            <w:r w:rsidRPr="00E84D74">
              <w:rPr>
                <w:sz w:val="18"/>
                <w:szCs w:val="18"/>
              </w:rPr>
              <w:t>(c) where an hourly notification quantity is used, it shall be applied flat to all the remaining hours of the gas day from a specified start time and shall be equal to zero for all the hours before this start time.</w:t>
            </w:r>
          </w:p>
          <w:p w:rsidR="004D04C6" w:rsidRPr="00E84D74" w:rsidRDefault="004D04C6" w:rsidP="00DA725A">
            <w:pPr>
              <w:autoSpaceDE w:val="0"/>
              <w:autoSpaceDN w:val="0"/>
              <w:adjustRightInd w:val="0"/>
              <w:rPr>
                <w:sz w:val="18"/>
                <w:szCs w:val="18"/>
              </w:rPr>
            </w:pPr>
            <w:r w:rsidRPr="00E84D74">
              <w:rPr>
                <w:sz w:val="18"/>
                <w:szCs w:val="18"/>
              </w:rPr>
              <w:t>4. Where a locational product is traded:</w:t>
            </w:r>
          </w:p>
          <w:p w:rsidR="004D04C6" w:rsidRPr="00E84D74" w:rsidRDefault="004D04C6" w:rsidP="00DA725A">
            <w:pPr>
              <w:autoSpaceDE w:val="0"/>
              <w:autoSpaceDN w:val="0"/>
              <w:adjustRightInd w:val="0"/>
              <w:rPr>
                <w:sz w:val="18"/>
                <w:szCs w:val="18"/>
              </w:rPr>
            </w:pPr>
            <w:r w:rsidRPr="00E84D74">
              <w:rPr>
                <w:sz w:val="18"/>
                <w:szCs w:val="18"/>
              </w:rPr>
              <w:t>(a) the transmission system operator shall determine the relevant entry and exit points or groups thereof that can be used;</w:t>
            </w:r>
          </w:p>
          <w:p w:rsidR="004D04C6" w:rsidRPr="00E84D74" w:rsidRDefault="004D04C6" w:rsidP="00DA725A">
            <w:pPr>
              <w:autoSpaceDE w:val="0"/>
              <w:autoSpaceDN w:val="0"/>
              <w:adjustRightInd w:val="0"/>
              <w:rPr>
                <w:sz w:val="18"/>
                <w:szCs w:val="18"/>
              </w:rPr>
            </w:pPr>
            <w:r w:rsidRPr="00E84D74">
              <w:rPr>
                <w:sz w:val="18"/>
                <w:szCs w:val="18"/>
              </w:rPr>
              <w:t>(b) all the conditions specified in paragraph 3 shall be fulfilled;</w:t>
            </w:r>
          </w:p>
          <w:p w:rsidR="004D04C6" w:rsidRPr="00E84D74" w:rsidRDefault="004D04C6" w:rsidP="002939EB">
            <w:pPr>
              <w:autoSpaceDE w:val="0"/>
              <w:autoSpaceDN w:val="0"/>
              <w:adjustRightInd w:val="0"/>
              <w:rPr>
                <w:sz w:val="18"/>
                <w:szCs w:val="18"/>
              </w:rPr>
            </w:pPr>
            <w:r w:rsidRPr="00E84D74">
              <w:rPr>
                <w:sz w:val="18"/>
                <w:szCs w:val="18"/>
              </w:rPr>
              <w:t xml:space="preserve">(c) the originating trading participant shall modify the quantity of gas to be delivered to or off-takenfrom the transmission network at the specified entry or exit point by an amount equal to the notification quantity and </w:t>
            </w:r>
            <w:r w:rsidRPr="00E84D74">
              <w:rPr>
                <w:sz w:val="18"/>
                <w:szCs w:val="18"/>
              </w:rPr>
              <w:lastRenderedPageBreak/>
              <w:t>provide evidence to the transmission system operator that the quantity was modified accordingly;</w:t>
            </w:r>
          </w:p>
          <w:p w:rsidR="004D04C6" w:rsidRPr="00E84D74" w:rsidRDefault="004D04C6" w:rsidP="00DA725A">
            <w:pPr>
              <w:autoSpaceDE w:val="0"/>
              <w:autoSpaceDN w:val="0"/>
              <w:adjustRightInd w:val="0"/>
              <w:rPr>
                <w:sz w:val="18"/>
                <w:szCs w:val="18"/>
              </w:rPr>
            </w:pPr>
            <w:r w:rsidRPr="00E84D74">
              <w:rPr>
                <w:sz w:val="18"/>
                <w:szCs w:val="18"/>
              </w:rPr>
              <w:t>5. Where a temporal product is traded:</w:t>
            </w:r>
          </w:p>
          <w:p w:rsidR="004D04C6" w:rsidRPr="00E84D74" w:rsidRDefault="004D04C6" w:rsidP="00DA725A">
            <w:pPr>
              <w:autoSpaceDE w:val="0"/>
              <w:autoSpaceDN w:val="0"/>
              <w:adjustRightInd w:val="0"/>
              <w:rPr>
                <w:sz w:val="18"/>
                <w:szCs w:val="18"/>
              </w:rPr>
            </w:pPr>
            <w:r w:rsidRPr="00E84D74">
              <w:rPr>
                <w:sz w:val="18"/>
                <w:szCs w:val="18"/>
              </w:rPr>
              <w:t>(a) the conditions specified in paragraph 3(a) and (b) shall be fulfilled;</w:t>
            </w:r>
          </w:p>
          <w:p w:rsidR="004D04C6" w:rsidRPr="00E84D74" w:rsidRDefault="004D04C6" w:rsidP="00DA725A">
            <w:pPr>
              <w:autoSpaceDE w:val="0"/>
              <w:autoSpaceDN w:val="0"/>
              <w:adjustRightInd w:val="0"/>
              <w:rPr>
                <w:sz w:val="18"/>
                <w:szCs w:val="18"/>
              </w:rPr>
            </w:pPr>
            <w:r w:rsidRPr="00E84D74">
              <w:rPr>
                <w:sz w:val="18"/>
                <w:szCs w:val="18"/>
              </w:rPr>
              <w:t>(b) an hourly notification quantity shall be applied to the hours of the gas day from a specified start</w:t>
            </w:r>
          </w:p>
          <w:p w:rsidR="004D04C6" w:rsidRPr="00E84D74" w:rsidRDefault="004D04C6" w:rsidP="00DA725A">
            <w:pPr>
              <w:autoSpaceDE w:val="0"/>
              <w:autoSpaceDN w:val="0"/>
              <w:adjustRightInd w:val="0"/>
              <w:rPr>
                <w:sz w:val="18"/>
                <w:szCs w:val="18"/>
              </w:rPr>
            </w:pPr>
            <w:r w:rsidRPr="00E84D74">
              <w:rPr>
                <w:sz w:val="18"/>
                <w:szCs w:val="18"/>
              </w:rPr>
              <w:t>time up to a specified end time and shall be equal to zero for all the hours before the start time and zero for all the hours after the end time.</w:t>
            </w:r>
          </w:p>
          <w:p w:rsidR="004D04C6" w:rsidRPr="00E84D74" w:rsidRDefault="004D04C6" w:rsidP="00DA725A">
            <w:pPr>
              <w:autoSpaceDE w:val="0"/>
              <w:autoSpaceDN w:val="0"/>
              <w:adjustRightInd w:val="0"/>
              <w:rPr>
                <w:sz w:val="18"/>
                <w:szCs w:val="18"/>
              </w:rPr>
            </w:pPr>
            <w:r w:rsidRPr="00E84D74">
              <w:rPr>
                <w:sz w:val="18"/>
                <w:szCs w:val="18"/>
              </w:rPr>
              <w:t>6. Where a temporal locational product is traded, the conditions specified in paragraph 4(a), and (c) and paragraph 5 shall be fulfilled.</w:t>
            </w:r>
          </w:p>
          <w:p w:rsidR="004D04C6" w:rsidRPr="00E84D74" w:rsidRDefault="004D04C6" w:rsidP="00DA725A">
            <w:pPr>
              <w:autoSpaceDE w:val="0"/>
              <w:autoSpaceDN w:val="0"/>
              <w:adjustRightInd w:val="0"/>
              <w:rPr>
                <w:b/>
                <w:bCs/>
                <w:sz w:val="18"/>
                <w:szCs w:val="18"/>
              </w:rPr>
            </w:pPr>
            <w:r w:rsidRPr="00E84D74">
              <w:rPr>
                <w:sz w:val="18"/>
                <w:szCs w:val="18"/>
              </w:rPr>
              <w:t>7. When establishing the short term standardised products, the transmission system operators from adjacent balancing zones shall cooperate in order to determine the relevant products. Each transmission system operator shall inform the relevant trading platform operators of the result of such cooperation without undue delay.</w:t>
            </w:r>
          </w:p>
        </w:tc>
      </w:tr>
      <w:tr w:rsidR="004D04C6" w:rsidRPr="00043955" w:rsidTr="00FC3840">
        <w:trPr>
          <w:trHeight w:val="706"/>
        </w:trPr>
        <w:tc>
          <w:tcPr>
            <w:tcW w:w="5245" w:type="dxa"/>
            <w:shd w:val="clear" w:color="auto" w:fill="auto"/>
          </w:tcPr>
          <w:p w:rsidR="00EF0BF8" w:rsidRDefault="00EF0BF8" w:rsidP="00DA725A">
            <w:pPr>
              <w:jc w:val="center"/>
              <w:textAlignment w:val="baseline"/>
              <w:rPr>
                <w:b/>
                <w:bCs/>
                <w:sz w:val="18"/>
                <w:szCs w:val="18"/>
                <w:lang w:val="en-GB" w:eastAsia="en-US"/>
              </w:rPr>
            </w:pPr>
            <w:r w:rsidRPr="00BE464B">
              <w:rPr>
                <w:b/>
                <w:bCs/>
                <w:sz w:val="18"/>
                <w:szCs w:val="18"/>
                <w:lang w:val="en-GB" w:eastAsia="en-US"/>
              </w:rPr>
              <w:lastRenderedPageBreak/>
              <w:t>Articolul 8</w:t>
            </w:r>
          </w:p>
          <w:p w:rsidR="00EF0BF8" w:rsidRPr="00BE464B" w:rsidRDefault="00EF0BF8" w:rsidP="00DA725A">
            <w:pPr>
              <w:jc w:val="center"/>
              <w:textAlignment w:val="baseline"/>
              <w:rPr>
                <w:rFonts w:ascii="Segoe UI" w:hAnsi="Segoe UI" w:cs="Segoe UI"/>
                <w:sz w:val="18"/>
                <w:szCs w:val="18"/>
                <w:lang w:eastAsia="en-US"/>
              </w:rPr>
            </w:pPr>
            <w:r w:rsidRPr="00BE464B">
              <w:rPr>
                <w:b/>
                <w:bCs/>
                <w:sz w:val="18"/>
                <w:szCs w:val="18"/>
                <w:lang w:val="en-GB" w:eastAsia="en-US"/>
              </w:rPr>
              <w:t>Servicii de echilibrare</w:t>
            </w:r>
          </w:p>
          <w:p w:rsidR="00EF0BF8" w:rsidRPr="00BE464B" w:rsidRDefault="00EF0BF8" w:rsidP="00DA725A">
            <w:pPr>
              <w:jc w:val="both"/>
              <w:textAlignment w:val="baseline"/>
              <w:rPr>
                <w:rFonts w:ascii="Segoe UI" w:hAnsi="Segoe UI" w:cs="Segoe UI"/>
                <w:sz w:val="18"/>
                <w:szCs w:val="18"/>
                <w:lang w:eastAsia="en-US"/>
              </w:rPr>
            </w:pPr>
            <w:r w:rsidRPr="00BE464B">
              <w:rPr>
                <w:sz w:val="18"/>
                <w:szCs w:val="18"/>
                <w:lang w:eastAsia="en-US"/>
              </w:rPr>
              <w:t> </w:t>
            </w:r>
            <w:r w:rsidRPr="00BE464B">
              <w:rPr>
                <w:sz w:val="18"/>
                <w:szCs w:val="18"/>
                <w:lang w:val="en-GB" w:eastAsia="en-US"/>
              </w:rPr>
              <w:t>(1)   Operatorul de sistem de transport are dreptul să achiziționeze servicii de echilibrare pentru situațiile în care produsele standardizate pe termen scurt nu oferă sau este posibil să nu ofere răspunsul necesar pentru a menține rețeaua de transport în limitele sale operaționale sau în absența unei lichidități în ceea ce privește produsele standardizate pe termen scurt.</w:t>
            </w:r>
            <w:r w:rsidRPr="00BE464B">
              <w:rPr>
                <w:sz w:val="18"/>
                <w:szCs w:val="18"/>
                <w:lang w:eastAsia="en-US"/>
              </w:rPr>
              <w: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(2)   În scopul desfășurării de acțiuni de echilibrare prin utilizarea de servicii de echilibrare, operatorul de sistem de transport are în vedere cel puțin următoarele aspecte atunci când achiziționează astfel de servicii de echilibrare: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modul în care serviciile de echilibrare vor menține rețeaua de transport în limitele sale operaționale;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timpul de răspuns al serviciilor de echilibrare în comparație cu timpii de răspuns specifici pentru orice produse standardizate pe termen scurt disponibile;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costul estimat al achiziționării și utilizării de servicii de echilibrare comparativ cu costurile estimate ale utilizării oricăror produse standardizate pe termen scurt disponibile;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zona unde trebuie livrat gazul;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cerințele de calitate privind gazul ale operatorului de sistem de transport;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măsura în care achiziționarea și utilizarea de servicii de echilibrare poate afecta lichiditatea pieței angro a gazului pe termen scurt.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(3)   Serviciile de echilibrare sunt achiziționate într-un mod bazat pe piață, prin intermediul unei proceduri de licitație publică transparentă și nediscriminatorie, în conformitate cu normele naționale aplicabile, în special: </w:t>
            </w:r>
          </w:p>
          <w:p w:rsidR="00A25831" w:rsidRPr="00981BD4" w:rsidRDefault="00EF0BF8" w:rsidP="00DA725A">
            <w:pPr>
              <w:jc w:val="both"/>
              <w:textAlignment w:val="baseline"/>
              <w:rPr>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anterior oricărui angajament de contractare a unui serviciu de echilibrare, operatorul de sistem de transport publică o cerere de ofertă nerestrictivă indicând scopul, domeniul de aplicare și instrucțiunile aferente pentru ofertanți pentru a le permite acestora să participe la procedura de licitație; </w:t>
            </w:r>
          </w:p>
          <w:p w:rsidR="00EF0BF8" w:rsidRDefault="00EF0BF8"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rezultatele sunt publicate fără a aduce atingere protecției informațiilor sensibile din punct de vedere comercial, iar rezultatele individuale sunt dezvăluite fiecărui ofertant în parte. </w:t>
            </w:r>
          </w:p>
          <w:p w:rsidR="00D3356A" w:rsidRDefault="00D3356A" w:rsidP="00DA725A">
            <w:pPr>
              <w:jc w:val="both"/>
              <w:textAlignment w:val="baseline"/>
              <w:rPr>
                <w:sz w:val="18"/>
                <w:szCs w:val="18"/>
                <w:lang w:val="it-IT" w:eastAsia="en-US"/>
              </w:rPr>
            </w:pPr>
          </w:p>
          <w:p w:rsidR="00D3356A" w:rsidRDefault="00D3356A" w:rsidP="00DA725A">
            <w:pPr>
              <w:jc w:val="both"/>
              <w:textAlignment w:val="baseline"/>
              <w:rPr>
                <w:sz w:val="18"/>
                <w:szCs w:val="18"/>
                <w:lang w:val="it-IT" w:eastAsia="en-US"/>
              </w:rPr>
            </w:pPr>
          </w:p>
          <w:p w:rsidR="00D3356A" w:rsidRPr="00981BD4" w:rsidRDefault="00D3356A" w:rsidP="00DA725A">
            <w:pPr>
              <w:jc w:val="both"/>
              <w:textAlignment w:val="baseline"/>
              <w:rPr>
                <w:rFonts w:ascii="Segoe UI" w:hAnsi="Segoe UI" w:cs="Segoe UI"/>
                <w:sz w:val="18"/>
                <w:szCs w:val="18"/>
                <w:lang w:val="it-IT" w:eastAsia="en-US"/>
              </w:rPr>
            </w:pP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(4)   În anumite circumstanțe, autoritatea națională de reglementare poate aproba o altă procedură transparentă și nediscriminatorie decât licitația publică.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(5)   Cu excepția cazului în care, printr-o decizie a autorității naționale de reglementare, se permite o durată mai mare a unui serviciu de echilibrare, durata unui astfel de serviciu nu trebuie să depășească un an, iar data de început trebuie să survină în termen de douăsprezece luni de la angajamentul obligatoriu aferent al părților contractante.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(6)   Operatorul de sistem de transport își revizuiește anual utilizarea serviciilor sale de echilibrare, în vederea analizării dacă produsele standardizate pe termen scurt disponibile ar îndeplini într-o mai mare măsură cerințele operaționale ale operatorului de sistem de transport și dacă utilizarea de servicii de echilibrare ar putea fi redusă în anul următor. </w:t>
            </w:r>
          </w:p>
          <w:p w:rsidR="004D04C6" w:rsidRPr="00981BD4" w:rsidRDefault="00EF0BF8" w:rsidP="002C4B4E">
            <w:pPr>
              <w:jc w:val="both"/>
              <w:textAlignment w:val="baseline"/>
              <w:rPr>
                <w:b/>
                <w:bCs/>
                <w:sz w:val="18"/>
                <w:szCs w:val="18"/>
                <w:lang w:val="it-IT" w:eastAsia="en-US"/>
              </w:rPr>
            </w:pPr>
            <w:r w:rsidRPr="00981BD4">
              <w:rPr>
                <w:sz w:val="18"/>
                <w:szCs w:val="18"/>
                <w:lang w:val="it-IT" w:eastAsia="en-US"/>
              </w:rPr>
              <w:t>(7)   Operatorul de sistem de transport publică anual informațiile referitoare la serviciile de echilibrare achiziționate și la costurile aferente suportate. </w:t>
            </w:r>
          </w:p>
        </w:tc>
        <w:tc>
          <w:tcPr>
            <w:tcW w:w="4962" w:type="dxa"/>
            <w:shd w:val="clear" w:color="auto" w:fill="auto"/>
          </w:tcPr>
          <w:p w:rsidR="00165BD4" w:rsidRPr="00165BD4" w:rsidRDefault="00165BD4" w:rsidP="00165BD4">
            <w:pPr>
              <w:jc w:val="center"/>
              <w:textAlignment w:val="baseline"/>
              <w:rPr>
                <w:b/>
                <w:bCs/>
                <w:sz w:val="18"/>
                <w:szCs w:val="18"/>
                <w:lang w:val="ro-RO" w:eastAsia="en-US"/>
              </w:rPr>
            </w:pPr>
            <w:r w:rsidRPr="00165BD4">
              <w:rPr>
                <w:b/>
                <w:bCs/>
                <w:sz w:val="18"/>
                <w:szCs w:val="18"/>
                <w:lang w:val="ro-RO" w:eastAsia="en-US"/>
              </w:rPr>
              <w:lastRenderedPageBreak/>
              <w:t>Secţiunea 3</w:t>
            </w:r>
          </w:p>
          <w:p w:rsidR="00165BD4" w:rsidRPr="00165BD4" w:rsidRDefault="00165BD4" w:rsidP="00165BD4">
            <w:pPr>
              <w:jc w:val="center"/>
              <w:textAlignment w:val="baseline"/>
              <w:rPr>
                <w:b/>
                <w:bCs/>
                <w:sz w:val="18"/>
                <w:szCs w:val="18"/>
                <w:lang w:val="ro-RO" w:eastAsia="en-US"/>
              </w:rPr>
            </w:pPr>
            <w:r w:rsidRPr="00165BD4">
              <w:rPr>
                <w:b/>
                <w:bCs/>
                <w:sz w:val="18"/>
                <w:szCs w:val="18"/>
                <w:lang w:val="ro-RO" w:eastAsia="en-US"/>
              </w:rPr>
              <w:t>Servicii de echilibrare</w:t>
            </w:r>
          </w:p>
          <w:p w:rsidR="00165BD4" w:rsidRPr="00165BD4" w:rsidRDefault="00165BD4" w:rsidP="00165BD4">
            <w:pPr>
              <w:textAlignment w:val="baseline"/>
              <w:rPr>
                <w:bCs/>
                <w:sz w:val="18"/>
                <w:szCs w:val="18"/>
                <w:lang w:val="ro-RO" w:eastAsia="en-US"/>
              </w:rPr>
            </w:pPr>
            <w:r w:rsidRPr="00165BD4">
              <w:rPr>
                <w:b/>
                <w:bCs/>
                <w:sz w:val="18"/>
                <w:szCs w:val="18"/>
                <w:lang w:val="ro-RO" w:eastAsia="en-US"/>
              </w:rPr>
              <w:t>462.</w:t>
            </w:r>
            <w:r w:rsidRPr="00165BD4">
              <w:rPr>
                <w:bCs/>
                <w:sz w:val="18"/>
                <w:szCs w:val="18"/>
                <w:lang w:val="ro-RO" w:eastAsia="en-US"/>
              </w:rPr>
              <w:t xml:space="preserve"> OST are dreptul să achiziţioneze servicii de echilibrare pentru situaţiile în care PSTS nu pot fi furnizate sau nu vor fi suficiente pentru menţinerea parametrilor tehnici de funcţionare a reţelei de transport al gazelor naturale în limitele sale operaţionale sau în absenţa unei lichidităţi în ceea ce priveşte PSTS.</w:t>
            </w:r>
          </w:p>
          <w:p w:rsidR="002C4B4E" w:rsidRDefault="002C4B4E" w:rsidP="00165BD4">
            <w:pPr>
              <w:textAlignment w:val="baseline"/>
              <w:rPr>
                <w:b/>
                <w:bCs/>
                <w:sz w:val="18"/>
                <w:szCs w:val="18"/>
                <w:lang w:val="ro-RO" w:eastAsia="en-US"/>
              </w:rPr>
            </w:pPr>
          </w:p>
          <w:p w:rsidR="00165BD4" w:rsidRPr="00165BD4" w:rsidRDefault="00165BD4" w:rsidP="00165BD4">
            <w:pPr>
              <w:textAlignment w:val="baseline"/>
              <w:rPr>
                <w:bCs/>
                <w:sz w:val="18"/>
                <w:szCs w:val="18"/>
                <w:lang w:val="ro-RO" w:eastAsia="en-US"/>
              </w:rPr>
            </w:pPr>
            <w:r w:rsidRPr="00165BD4">
              <w:rPr>
                <w:b/>
                <w:bCs/>
                <w:sz w:val="18"/>
                <w:szCs w:val="18"/>
                <w:lang w:val="ro-RO" w:eastAsia="en-US"/>
              </w:rPr>
              <w:t>463.</w:t>
            </w:r>
            <w:r w:rsidRPr="00165BD4">
              <w:rPr>
                <w:bCs/>
                <w:sz w:val="18"/>
                <w:szCs w:val="18"/>
                <w:lang w:val="ro-RO" w:eastAsia="en-US"/>
              </w:rPr>
              <w:t xml:space="preserve"> În scopul îndeplinirii acţiunilor de echilibrare prin intermediul serviciilor de echilibrare, când achiziţionează servicii de echilibrare, OST ia în considerare următoarele:</w:t>
            </w:r>
          </w:p>
          <w:p w:rsidR="00165BD4" w:rsidRPr="00165BD4" w:rsidRDefault="00165BD4" w:rsidP="00165BD4">
            <w:pPr>
              <w:textAlignment w:val="baseline"/>
              <w:rPr>
                <w:bCs/>
                <w:sz w:val="18"/>
                <w:szCs w:val="18"/>
                <w:lang w:val="ro-RO" w:eastAsia="en-US"/>
              </w:rPr>
            </w:pPr>
            <w:r w:rsidRPr="00165BD4">
              <w:rPr>
                <w:bCs/>
                <w:sz w:val="18"/>
                <w:szCs w:val="18"/>
                <w:lang w:val="ro-RO" w:eastAsia="en-US"/>
              </w:rPr>
              <w:t>1) modul în care serviciile de echilibrare vor menţine parametrii de funcţionare a reţelei de transport al gazelor naturale în limitele sale operaţionale;</w:t>
            </w:r>
          </w:p>
          <w:p w:rsidR="00165BD4" w:rsidRPr="00165BD4" w:rsidRDefault="00165BD4" w:rsidP="00165BD4">
            <w:pPr>
              <w:textAlignment w:val="baseline"/>
              <w:rPr>
                <w:bCs/>
                <w:sz w:val="18"/>
                <w:szCs w:val="18"/>
                <w:lang w:val="ro-RO" w:eastAsia="en-US"/>
              </w:rPr>
            </w:pPr>
            <w:r w:rsidRPr="00165BD4">
              <w:rPr>
                <w:bCs/>
                <w:sz w:val="18"/>
                <w:szCs w:val="18"/>
                <w:lang w:val="ro-RO" w:eastAsia="en-US"/>
              </w:rPr>
              <w:t>2) timpul de răspuns al serviciilor de echilibrare în comparaţie cu timpul de răspuns specific pentru orice PSTS disponibile;</w:t>
            </w:r>
          </w:p>
          <w:p w:rsidR="00165BD4" w:rsidRPr="00165BD4" w:rsidRDefault="00165BD4" w:rsidP="00165BD4">
            <w:pPr>
              <w:textAlignment w:val="baseline"/>
              <w:rPr>
                <w:bCs/>
                <w:sz w:val="18"/>
                <w:szCs w:val="18"/>
                <w:lang w:val="ro-RO" w:eastAsia="en-US"/>
              </w:rPr>
            </w:pPr>
            <w:r w:rsidRPr="00165BD4">
              <w:rPr>
                <w:bCs/>
                <w:sz w:val="18"/>
                <w:szCs w:val="18"/>
                <w:lang w:val="ro-RO" w:eastAsia="en-US"/>
              </w:rPr>
              <w:t>3) zona unde trebuie livrate gazele naturale;</w:t>
            </w:r>
          </w:p>
          <w:p w:rsidR="00165BD4" w:rsidRPr="00165BD4" w:rsidRDefault="00165BD4" w:rsidP="00165BD4">
            <w:pPr>
              <w:textAlignment w:val="baseline"/>
              <w:rPr>
                <w:bCs/>
                <w:sz w:val="18"/>
                <w:szCs w:val="18"/>
                <w:lang w:val="ro-RO" w:eastAsia="en-US"/>
              </w:rPr>
            </w:pPr>
            <w:r w:rsidRPr="00165BD4">
              <w:rPr>
                <w:bCs/>
                <w:sz w:val="18"/>
                <w:szCs w:val="18"/>
                <w:lang w:val="ro-RO" w:eastAsia="en-US"/>
              </w:rPr>
              <w:t>4) costul estimat al achiziţionării şi utilizării serviciilor de echilibrare comparativ cu costurile estimate ale utilizării oricăror PSTS disponibile;</w:t>
            </w:r>
          </w:p>
          <w:p w:rsidR="00165BD4" w:rsidRPr="00165BD4" w:rsidRDefault="00165BD4" w:rsidP="00165BD4">
            <w:pPr>
              <w:textAlignment w:val="baseline"/>
              <w:rPr>
                <w:bCs/>
                <w:sz w:val="18"/>
                <w:szCs w:val="18"/>
                <w:lang w:val="ro-RO" w:eastAsia="en-US"/>
              </w:rPr>
            </w:pPr>
            <w:r w:rsidRPr="00165BD4">
              <w:rPr>
                <w:bCs/>
                <w:sz w:val="18"/>
                <w:szCs w:val="18"/>
                <w:lang w:val="ro-RO" w:eastAsia="en-US"/>
              </w:rPr>
              <w:t>5) cerinţele privind calitatea gazelor naturale ale OST;</w:t>
            </w:r>
          </w:p>
          <w:p w:rsidR="00165BD4" w:rsidRPr="00165BD4" w:rsidRDefault="00165BD4" w:rsidP="00165BD4">
            <w:pPr>
              <w:textAlignment w:val="baseline"/>
              <w:rPr>
                <w:bCs/>
                <w:sz w:val="18"/>
                <w:szCs w:val="18"/>
                <w:lang w:val="ro-RO" w:eastAsia="en-US"/>
              </w:rPr>
            </w:pPr>
            <w:r w:rsidRPr="00165BD4">
              <w:rPr>
                <w:bCs/>
                <w:sz w:val="18"/>
                <w:szCs w:val="18"/>
                <w:lang w:val="ro-RO" w:eastAsia="en-US"/>
              </w:rPr>
              <w:t>6) măsura în care achiziţionarea şi utilizarea serviciilor de echilibrare poate afecta lichiditatea pieţei angro a gazelor naturale pe termen scurt.</w:t>
            </w:r>
          </w:p>
          <w:p w:rsidR="002C4B4E" w:rsidRDefault="002C4B4E" w:rsidP="00165BD4">
            <w:pPr>
              <w:textAlignment w:val="baseline"/>
              <w:rPr>
                <w:b/>
                <w:bCs/>
                <w:sz w:val="18"/>
                <w:szCs w:val="18"/>
                <w:lang w:val="ro-RO" w:eastAsia="en-US"/>
              </w:rPr>
            </w:pPr>
          </w:p>
          <w:p w:rsidR="00165BD4" w:rsidRPr="00165BD4" w:rsidRDefault="00165BD4" w:rsidP="00165BD4">
            <w:pPr>
              <w:textAlignment w:val="baseline"/>
              <w:rPr>
                <w:bCs/>
                <w:sz w:val="18"/>
                <w:szCs w:val="18"/>
                <w:lang w:val="ro-RO" w:eastAsia="en-US"/>
              </w:rPr>
            </w:pPr>
            <w:r w:rsidRPr="00165BD4">
              <w:rPr>
                <w:b/>
                <w:bCs/>
                <w:sz w:val="18"/>
                <w:szCs w:val="18"/>
                <w:lang w:val="ro-RO" w:eastAsia="en-US"/>
              </w:rPr>
              <w:lastRenderedPageBreak/>
              <w:t>464.</w:t>
            </w:r>
            <w:r w:rsidRPr="00165BD4">
              <w:rPr>
                <w:bCs/>
                <w:sz w:val="18"/>
                <w:szCs w:val="18"/>
                <w:lang w:val="ro-RO" w:eastAsia="en-US"/>
              </w:rPr>
              <w:t xml:space="preserve"> Serviciile de echilibrare sunt achiziţionate într-un mod bazat pe piaţă, prin intermediul unei proceduri de licitaţie publică, transparentă şi nediscriminatorie, în conformitate cu prezentul Cod şi Regulile pieţei gazelor naturale aprobate prin </w:t>
            </w:r>
            <w:hyperlink r:id="rId93" w:history="1">
              <w:r w:rsidRPr="00165BD4">
                <w:rPr>
                  <w:rStyle w:val="Hyperlink"/>
                  <w:bCs/>
                  <w:sz w:val="18"/>
                  <w:szCs w:val="18"/>
                  <w:lang w:val="ro-RO" w:eastAsia="en-US"/>
                </w:rPr>
                <w:t>Hotărârea ANRE nr.534/2019</w:t>
              </w:r>
            </w:hyperlink>
            <w:r w:rsidRPr="00165BD4">
              <w:rPr>
                <w:bCs/>
                <w:sz w:val="18"/>
                <w:szCs w:val="18"/>
                <w:lang w:val="ro-RO" w:eastAsia="en-US"/>
              </w:rPr>
              <w:t>, în special:</w:t>
            </w:r>
          </w:p>
          <w:p w:rsidR="00165BD4" w:rsidRPr="00165BD4" w:rsidRDefault="00165BD4" w:rsidP="00165BD4">
            <w:pPr>
              <w:textAlignment w:val="baseline"/>
              <w:rPr>
                <w:bCs/>
                <w:sz w:val="18"/>
                <w:szCs w:val="18"/>
                <w:lang w:val="ro-RO" w:eastAsia="en-US"/>
              </w:rPr>
            </w:pPr>
            <w:r w:rsidRPr="00165BD4">
              <w:rPr>
                <w:bCs/>
                <w:sz w:val="18"/>
                <w:szCs w:val="18"/>
                <w:lang w:val="ro-RO" w:eastAsia="en-US"/>
              </w:rPr>
              <w:t>1) înainte de a încheia un contract privind furnizarea serviciilor de echilibrare, OST publică o cerere de ofertă nerestrictivă indicând scopul, domeniul de aplicare şi instrucţiunile aferente pentru a permite ofertanţilor să participe la procedura de licitaţie;</w:t>
            </w:r>
          </w:p>
          <w:p w:rsidR="00165BD4" w:rsidRPr="00165BD4" w:rsidRDefault="00165BD4" w:rsidP="00165BD4">
            <w:pPr>
              <w:textAlignment w:val="baseline"/>
              <w:rPr>
                <w:bCs/>
                <w:sz w:val="18"/>
                <w:szCs w:val="18"/>
                <w:lang w:val="ro-RO" w:eastAsia="en-US"/>
              </w:rPr>
            </w:pPr>
            <w:r w:rsidRPr="00165BD4">
              <w:rPr>
                <w:bCs/>
                <w:sz w:val="18"/>
                <w:szCs w:val="18"/>
                <w:lang w:val="ro-RO" w:eastAsia="en-US"/>
              </w:rPr>
              <w:t>2) rezultatele sunt publicate fără a aduce atingere protecţiei informaţiilor sensibile din punct de vedere comercial, iar rezultatele individuale sunt prezentate fiecărui ofertant în parte.</w:t>
            </w:r>
          </w:p>
          <w:p w:rsidR="002C4B4E" w:rsidRDefault="002C4B4E" w:rsidP="00165BD4">
            <w:pPr>
              <w:textAlignment w:val="baseline"/>
              <w:rPr>
                <w:b/>
                <w:bCs/>
                <w:sz w:val="18"/>
                <w:szCs w:val="18"/>
                <w:lang w:val="ro-RO" w:eastAsia="en-US"/>
              </w:rPr>
            </w:pPr>
          </w:p>
          <w:p w:rsidR="002C4B4E" w:rsidRDefault="002C4B4E" w:rsidP="00165BD4">
            <w:pPr>
              <w:textAlignment w:val="baseline"/>
              <w:rPr>
                <w:b/>
                <w:bCs/>
                <w:sz w:val="18"/>
                <w:szCs w:val="18"/>
                <w:lang w:val="ro-RO" w:eastAsia="en-US"/>
              </w:rPr>
            </w:pPr>
          </w:p>
          <w:p w:rsidR="00165BD4" w:rsidRDefault="00165BD4" w:rsidP="00165BD4">
            <w:pPr>
              <w:textAlignment w:val="baseline"/>
              <w:rPr>
                <w:bCs/>
                <w:sz w:val="18"/>
                <w:szCs w:val="18"/>
                <w:lang w:val="ro-RO" w:eastAsia="en-US"/>
              </w:rPr>
            </w:pPr>
            <w:r w:rsidRPr="00165BD4">
              <w:rPr>
                <w:b/>
                <w:bCs/>
                <w:sz w:val="18"/>
                <w:szCs w:val="18"/>
                <w:lang w:val="ro-RO" w:eastAsia="en-US"/>
              </w:rPr>
              <w:t>465.</w:t>
            </w:r>
            <w:r w:rsidRPr="00165BD4">
              <w:rPr>
                <w:bCs/>
                <w:sz w:val="18"/>
                <w:szCs w:val="18"/>
                <w:lang w:val="ro-RO" w:eastAsia="en-US"/>
              </w:rPr>
              <w:t xml:space="preserve"> Agenţia poate aproba o altă procedură transparentă şi nediscriminatorie decât lici</w:t>
            </w:r>
            <w:r>
              <w:rPr>
                <w:bCs/>
                <w:sz w:val="18"/>
                <w:szCs w:val="18"/>
                <w:lang w:val="ro-RO" w:eastAsia="en-US"/>
              </w:rPr>
              <w:t>taţia publică.</w:t>
            </w:r>
          </w:p>
          <w:p w:rsidR="00D3356A" w:rsidRPr="00165BD4" w:rsidRDefault="00D3356A" w:rsidP="00165BD4">
            <w:pPr>
              <w:textAlignment w:val="baseline"/>
              <w:rPr>
                <w:bCs/>
                <w:sz w:val="18"/>
                <w:szCs w:val="18"/>
                <w:lang w:val="ro-RO" w:eastAsia="en-US"/>
              </w:rPr>
            </w:pPr>
          </w:p>
          <w:p w:rsidR="00165BD4" w:rsidRPr="00165BD4" w:rsidRDefault="00165BD4" w:rsidP="00165BD4">
            <w:pPr>
              <w:textAlignment w:val="baseline"/>
              <w:rPr>
                <w:bCs/>
                <w:sz w:val="18"/>
                <w:szCs w:val="18"/>
                <w:lang w:val="ro-RO" w:eastAsia="en-US"/>
              </w:rPr>
            </w:pPr>
            <w:r w:rsidRPr="00165BD4">
              <w:rPr>
                <w:b/>
                <w:bCs/>
                <w:sz w:val="18"/>
                <w:szCs w:val="18"/>
                <w:lang w:val="ro-RO" w:eastAsia="en-US"/>
              </w:rPr>
              <w:t>466.</w:t>
            </w:r>
            <w:r w:rsidRPr="00165BD4">
              <w:rPr>
                <w:bCs/>
                <w:sz w:val="18"/>
                <w:szCs w:val="18"/>
                <w:lang w:val="ro-RO" w:eastAsia="en-US"/>
              </w:rPr>
              <w:t xml:space="preserve"> Cu excepţia cazului în care, printr-o hotărâre a Agenţiei, se permite o durată mai mare de prestare a unui serviciu de echilibrare, durata prestării unui astfel de serviciu nu trebuie să depăşească un an, iar data de început trebuie să survină în termen de 12 luni de la angajamentul obligatoriu luat de părţile contractante.</w:t>
            </w:r>
          </w:p>
          <w:p w:rsidR="00165BD4" w:rsidRPr="00165BD4" w:rsidRDefault="00165BD4" w:rsidP="00165BD4">
            <w:pPr>
              <w:textAlignment w:val="baseline"/>
              <w:rPr>
                <w:bCs/>
                <w:sz w:val="18"/>
                <w:szCs w:val="18"/>
                <w:lang w:val="ro-RO" w:eastAsia="en-US"/>
              </w:rPr>
            </w:pPr>
            <w:r w:rsidRPr="00165BD4">
              <w:rPr>
                <w:b/>
                <w:bCs/>
                <w:sz w:val="18"/>
                <w:szCs w:val="18"/>
                <w:lang w:val="ro-RO" w:eastAsia="en-US"/>
              </w:rPr>
              <w:t>467.</w:t>
            </w:r>
            <w:r w:rsidRPr="00165BD4">
              <w:rPr>
                <w:bCs/>
                <w:sz w:val="18"/>
                <w:szCs w:val="18"/>
                <w:lang w:val="ro-RO" w:eastAsia="en-US"/>
              </w:rPr>
              <w:t xml:space="preserve"> OST îşi reexaminează anual utilizarea serviciilor sale de echilibrare, în vederea analizării dacă PSTS disponibile ar îndeplini într-o mai mare măsură cerinţele operaţionale ale OST şi dacă utilizarea serviciilor de echilibrare ar putea fi redusă în anul următor.</w:t>
            </w:r>
          </w:p>
          <w:p w:rsidR="004D04C6" w:rsidRPr="00BE464B" w:rsidRDefault="00165BD4" w:rsidP="00165BD4">
            <w:pPr>
              <w:textAlignment w:val="baseline"/>
              <w:rPr>
                <w:b/>
                <w:bCs/>
                <w:sz w:val="18"/>
                <w:szCs w:val="18"/>
                <w:lang w:val="ro-MD" w:eastAsia="en-US"/>
              </w:rPr>
            </w:pPr>
            <w:r w:rsidRPr="00165BD4">
              <w:rPr>
                <w:b/>
                <w:bCs/>
                <w:sz w:val="18"/>
                <w:szCs w:val="18"/>
                <w:lang w:val="ro-RO" w:eastAsia="en-US"/>
              </w:rPr>
              <w:t>468.</w:t>
            </w:r>
            <w:r w:rsidRPr="00165BD4">
              <w:rPr>
                <w:bCs/>
                <w:sz w:val="18"/>
                <w:szCs w:val="18"/>
                <w:lang w:val="ro-RO" w:eastAsia="en-US"/>
              </w:rPr>
              <w:t xml:space="preserve"> OST publică pe pagina sa electronică anual informaţiile referitoare la serviciile de echilibrare achiziţionate (contractate) şi costurile aferente suportate.</w:t>
            </w:r>
          </w:p>
        </w:tc>
        <w:tc>
          <w:tcPr>
            <w:tcW w:w="1275" w:type="dxa"/>
            <w:shd w:val="clear" w:color="auto" w:fill="auto"/>
          </w:tcPr>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4D04C6"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9A5A9C" w:rsidRDefault="009A5A9C" w:rsidP="00DA725A">
            <w:pPr>
              <w:jc w:val="both"/>
              <w:rPr>
                <w:sz w:val="18"/>
                <w:szCs w:val="18"/>
                <w:lang w:val="it-IT"/>
              </w:rPr>
            </w:pPr>
          </w:p>
          <w:p w:rsidR="009A5A9C" w:rsidRDefault="009A5A9C" w:rsidP="00DA725A">
            <w:pPr>
              <w:jc w:val="both"/>
              <w:rPr>
                <w:sz w:val="18"/>
                <w:szCs w:val="18"/>
                <w:lang w:val="it-IT"/>
              </w:rPr>
            </w:pPr>
          </w:p>
          <w:p w:rsidR="00D3356A" w:rsidRPr="00981BD4" w:rsidRDefault="00D3356A"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lastRenderedPageBreak/>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C4B4E" w:rsidRDefault="002C4B4E" w:rsidP="00DA725A">
            <w:pPr>
              <w:jc w:val="both"/>
              <w:rPr>
                <w:sz w:val="18"/>
                <w:szCs w:val="18"/>
                <w:lang w:val="it-IT"/>
              </w:rPr>
            </w:pPr>
          </w:p>
          <w:p w:rsidR="002C4B4E" w:rsidRDefault="002C4B4E" w:rsidP="00DA725A">
            <w:pPr>
              <w:jc w:val="both"/>
              <w:rPr>
                <w:sz w:val="18"/>
                <w:szCs w:val="18"/>
                <w:lang w:val="it-IT"/>
              </w:rPr>
            </w:pPr>
          </w:p>
          <w:p w:rsidR="002C4B4E" w:rsidRDefault="002C4B4E" w:rsidP="00DA725A">
            <w:pPr>
              <w:jc w:val="both"/>
              <w:rPr>
                <w:sz w:val="18"/>
                <w:szCs w:val="18"/>
                <w:lang w:val="it-IT"/>
              </w:rPr>
            </w:pPr>
          </w:p>
          <w:p w:rsidR="00BA1B76" w:rsidRDefault="00BA1B76"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r w:rsidRPr="00981BD4">
              <w:rPr>
                <w:sz w:val="18"/>
                <w:szCs w:val="18"/>
                <w:lang w:val="it-IT"/>
              </w:rPr>
              <w:t>Compatibil</w:t>
            </w: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p>
          <w:p w:rsidR="00A25831" w:rsidRDefault="00A25831" w:rsidP="00DA725A">
            <w:pPr>
              <w:jc w:val="both"/>
              <w:rPr>
                <w:sz w:val="18"/>
                <w:szCs w:val="18"/>
                <w:lang w:val="it-IT"/>
              </w:rPr>
            </w:pPr>
          </w:p>
          <w:p w:rsidR="00D3356A" w:rsidRDefault="00D3356A" w:rsidP="00DA725A">
            <w:pPr>
              <w:jc w:val="both"/>
              <w:rPr>
                <w:sz w:val="18"/>
                <w:szCs w:val="18"/>
                <w:lang w:val="it-IT"/>
              </w:rPr>
            </w:pPr>
          </w:p>
          <w:p w:rsidR="00A25831" w:rsidRDefault="00A25831" w:rsidP="00DA725A">
            <w:pPr>
              <w:jc w:val="both"/>
              <w:rPr>
                <w:sz w:val="18"/>
                <w:szCs w:val="18"/>
                <w:lang w:val="it-IT"/>
              </w:rPr>
            </w:pPr>
            <w:r w:rsidRPr="00981BD4">
              <w:rPr>
                <w:sz w:val="18"/>
                <w:szCs w:val="18"/>
                <w:lang w:val="it-IT"/>
              </w:rPr>
              <w:t>Compatibil</w:t>
            </w: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Pr="00D82EE4" w:rsidRDefault="00D3356A" w:rsidP="00DA725A">
            <w:pPr>
              <w:jc w:val="both"/>
              <w:rPr>
                <w:b/>
                <w:sz w:val="18"/>
                <w:szCs w:val="18"/>
                <w:lang w:val="it-IT"/>
              </w:rPr>
            </w:pPr>
            <w:r w:rsidRPr="00981BD4">
              <w:rPr>
                <w:sz w:val="18"/>
                <w:szCs w:val="18"/>
                <w:lang w:val="it-IT"/>
              </w:rPr>
              <w:t>Compatibil</w:t>
            </w:r>
          </w:p>
        </w:tc>
        <w:tc>
          <w:tcPr>
            <w:tcW w:w="4253" w:type="dxa"/>
            <w:shd w:val="clear" w:color="auto" w:fill="auto"/>
          </w:tcPr>
          <w:p w:rsidR="00EF0BF8" w:rsidRPr="00E84D74" w:rsidRDefault="00EF0BF8" w:rsidP="00DA725A">
            <w:pPr>
              <w:autoSpaceDE w:val="0"/>
              <w:autoSpaceDN w:val="0"/>
              <w:adjustRightInd w:val="0"/>
              <w:jc w:val="center"/>
              <w:rPr>
                <w:b/>
                <w:bCs/>
                <w:i/>
                <w:iCs/>
                <w:sz w:val="18"/>
                <w:szCs w:val="18"/>
              </w:rPr>
            </w:pPr>
            <w:r w:rsidRPr="00E84D74">
              <w:rPr>
                <w:b/>
                <w:bCs/>
                <w:i/>
                <w:iCs/>
                <w:sz w:val="18"/>
                <w:szCs w:val="18"/>
              </w:rPr>
              <w:lastRenderedPageBreak/>
              <w:t>Article 8</w:t>
            </w:r>
          </w:p>
          <w:p w:rsidR="00EF0BF8" w:rsidRPr="00E84D74" w:rsidRDefault="00EF0BF8" w:rsidP="00DA725A">
            <w:pPr>
              <w:autoSpaceDE w:val="0"/>
              <w:autoSpaceDN w:val="0"/>
              <w:adjustRightInd w:val="0"/>
              <w:jc w:val="center"/>
              <w:rPr>
                <w:b/>
                <w:bCs/>
                <w:sz w:val="18"/>
                <w:szCs w:val="18"/>
              </w:rPr>
            </w:pPr>
            <w:r w:rsidRPr="00E84D74">
              <w:rPr>
                <w:b/>
                <w:bCs/>
                <w:sz w:val="18"/>
                <w:szCs w:val="18"/>
              </w:rPr>
              <w:t>Balancing services</w:t>
            </w:r>
          </w:p>
          <w:p w:rsidR="00EF0BF8" w:rsidRPr="00E84D74" w:rsidRDefault="00EF0BF8" w:rsidP="00DA725A">
            <w:pPr>
              <w:autoSpaceDE w:val="0"/>
              <w:autoSpaceDN w:val="0"/>
              <w:adjustRightInd w:val="0"/>
              <w:rPr>
                <w:sz w:val="18"/>
                <w:szCs w:val="18"/>
              </w:rPr>
            </w:pPr>
            <w:r w:rsidRPr="00E84D74">
              <w:rPr>
                <w:sz w:val="18"/>
                <w:szCs w:val="18"/>
              </w:rPr>
              <w:t>1. The transmission system operator is entitled to procure balancing services for those situations in which short- term standardised products will not or are not likely to provide the response necessary to keep the transmission network within its operational limits or in the absence of liquidity of trade in short term standardised products.</w:t>
            </w:r>
          </w:p>
          <w:p w:rsidR="00EF0BF8" w:rsidRPr="00E84D74" w:rsidRDefault="00EF0BF8" w:rsidP="00DA725A">
            <w:pPr>
              <w:autoSpaceDE w:val="0"/>
              <w:autoSpaceDN w:val="0"/>
              <w:adjustRightInd w:val="0"/>
              <w:rPr>
                <w:sz w:val="18"/>
                <w:szCs w:val="18"/>
              </w:rPr>
            </w:pPr>
            <w:r w:rsidRPr="00E84D74">
              <w:rPr>
                <w:sz w:val="18"/>
                <w:szCs w:val="18"/>
              </w:rPr>
              <w:t>2. For the purpose of undertaking balancing actions through the use of balancing services, the transmission</w:t>
            </w:r>
            <w:r w:rsidR="003A0A96" w:rsidRPr="00E84D74">
              <w:rPr>
                <w:sz w:val="18"/>
                <w:szCs w:val="18"/>
              </w:rPr>
              <w:t xml:space="preserve"> </w:t>
            </w:r>
            <w:r w:rsidRPr="00E84D74">
              <w:rPr>
                <w:sz w:val="18"/>
                <w:szCs w:val="18"/>
              </w:rPr>
              <w:t>system operator when procuring these balancing services shall consider at least the following:</w:t>
            </w:r>
          </w:p>
          <w:p w:rsidR="00EF0BF8" w:rsidRPr="00E84D74" w:rsidRDefault="00EF0BF8" w:rsidP="00DA725A">
            <w:pPr>
              <w:autoSpaceDE w:val="0"/>
              <w:autoSpaceDN w:val="0"/>
              <w:adjustRightInd w:val="0"/>
              <w:rPr>
                <w:sz w:val="18"/>
                <w:szCs w:val="18"/>
              </w:rPr>
            </w:pPr>
            <w:r w:rsidRPr="00E84D74">
              <w:rPr>
                <w:sz w:val="18"/>
                <w:szCs w:val="18"/>
              </w:rPr>
              <w:t>(a) how balancing services will keep the transmission network within its operational limits;</w:t>
            </w:r>
          </w:p>
          <w:p w:rsidR="00EF0BF8" w:rsidRPr="00E84D74" w:rsidRDefault="00EF0BF8" w:rsidP="00DA725A">
            <w:pPr>
              <w:autoSpaceDE w:val="0"/>
              <w:autoSpaceDN w:val="0"/>
              <w:adjustRightInd w:val="0"/>
              <w:rPr>
                <w:sz w:val="18"/>
                <w:szCs w:val="18"/>
              </w:rPr>
            </w:pPr>
            <w:r w:rsidRPr="00E84D74">
              <w:rPr>
                <w:sz w:val="18"/>
                <w:szCs w:val="18"/>
              </w:rPr>
              <w:t>(b) the response time of the balancing services compared to the response times of any available short</w:t>
            </w:r>
            <w:r w:rsidR="003A0A96" w:rsidRPr="00E84D74">
              <w:rPr>
                <w:sz w:val="18"/>
                <w:szCs w:val="18"/>
              </w:rPr>
              <w:t xml:space="preserve"> </w:t>
            </w:r>
            <w:r w:rsidRPr="00E84D74">
              <w:rPr>
                <w:sz w:val="18"/>
                <w:szCs w:val="18"/>
              </w:rPr>
              <w:t>term standardised products;</w:t>
            </w:r>
          </w:p>
          <w:p w:rsidR="00EF0BF8" w:rsidRPr="00E84D74" w:rsidRDefault="00EF0BF8" w:rsidP="00DA725A">
            <w:pPr>
              <w:autoSpaceDE w:val="0"/>
              <w:autoSpaceDN w:val="0"/>
              <w:adjustRightInd w:val="0"/>
              <w:rPr>
                <w:sz w:val="18"/>
                <w:szCs w:val="18"/>
              </w:rPr>
            </w:pPr>
            <w:r w:rsidRPr="00E84D74">
              <w:rPr>
                <w:sz w:val="18"/>
                <w:szCs w:val="18"/>
              </w:rPr>
              <w:t>(c) the estimated cost of the procurement and use of balancing services compared to the estimated cost of use of any available short term standardised products;</w:t>
            </w:r>
          </w:p>
          <w:p w:rsidR="00EF0BF8" w:rsidRPr="00E84D74" w:rsidRDefault="00EF0BF8" w:rsidP="00DA725A">
            <w:pPr>
              <w:autoSpaceDE w:val="0"/>
              <w:autoSpaceDN w:val="0"/>
              <w:adjustRightInd w:val="0"/>
              <w:rPr>
                <w:sz w:val="18"/>
                <w:szCs w:val="18"/>
              </w:rPr>
            </w:pPr>
            <w:r w:rsidRPr="00E84D74">
              <w:rPr>
                <w:sz w:val="18"/>
                <w:szCs w:val="18"/>
              </w:rPr>
              <w:t>(d) the area at which the gas needs to be delivered;</w:t>
            </w:r>
          </w:p>
          <w:p w:rsidR="00EF0BF8" w:rsidRPr="00E84D74" w:rsidRDefault="00EF0BF8" w:rsidP="00DA725A">
            <w:pPr>
              <w:autoSpaceDE w:val="0"/>
              <w:autoSpaceDN w:val="0"/>
              <w:adjustRightInd w:val="0"/>
              <w:rPr>
                <w:sz w:val="18"/>
                <w:szCs w:val="18"/>
              </w:rPr>
            </w:pPr>
            <w:r w:rsidRPr="00E84D74">
              <w:rPr>
                <w:sz w:val="18"/>
                <w:szCs w:val="18"/>
              </w:rPr>
              <w:t>(e) the transmission system operator’s gas quality</w:t>
            </w:r>
            <w:r w:rsidR="003A0A96" w:rsidRPr="00E84D74">
              <w:rPr>
                <w:sz w:val="18"/>
                <w:szCs w:val="18"/>
              </w:rPr>
              <w:t xml:space="preserve"> </w:t>
            </w:r>
            <w:r w:rsidRPr="00E84D74">
              <w:rPr>
                <w:sz w:val="18"/>
                <w:szCs w:val="18"/>
              </w:rPr>
              <w:t>requirements;</w:t>
            </w:r>
          </w:p>
          <w:p w:rsidR="00EF0BF8" w:rsidRPr="00E84D74" w:rsidRDefault="00EF0BF8" w:rsidP="00D3356A">
            <w:pPr>
              <w:autoSpaceDE w:val="0"/>
              <w:autoSpaceDN w:val="0"/>
              <w:adjustRightInd w:val="0"/>
              <w:rPr>
                <w:sz w:val="18"/>
                <w:szCs w:val="18"/>
              </w:rPr>
            </w:pPr>
            <w:r w:rsidRPr="00E84D74">
              <w:rPr>
                <w:sz w:val="18"/>
                <w:szCs w:val="18"/>
              </w:rPr>
              <w:lastRenderedPageBreak/>
              <w:t>(f) to what extent the procurement and use of balancing services may affect the liquidity of the short term holesale gas market.</w:t>
            </w:r>
          </w:p>
          <w:p w:rsidR="00EF0BF8" w:rsidRPr="00E84D74" w:rsidRDefault="00EF0BF8" w:rsidP="00DA725A">
            <w:pPr>
              <w:autoSpaceDE w:val="0"/>
              <w:autoSpaceDN w:val="0"/>
              <w:adjustRightInd w:val="0"/>
              <w:rPr>
                <w:sz w:val="18"/>
                <w:szCs w:val="18"/>
              </w:rPr>
            </w:pPr>
            <w:r w:rsidRPr="00E84D74">
              <w:rPr>
                <w:sz w:val="18"/>
                <w:szCs w:val="18"/>
              </w:rPr>
              <w:t>3. Balancing services shall be procured in a market-based manner, through a transparent and non-discriminatory</w:t>
            </w:r>
          </w:p>
          <w:p w:rsidR="00EF0BF8" w:rsidRPr="00E84D74" w:rsidRDefault="00EF0BF8" w:rsidP="00DA725A">
            <w:pPr>
              <w:autoSpaceDE w:val="0"/>
              <w:autoSpaceDN w:val="0"/>
              <w:adjustRightInd w:val="0"/>
              <w:rPr>
                <w:sz w:val="18"/>
                <w:szCs w:val="18"/>
              </w:rPr>
            </w:pPr>
            <w:r w:rsidRPr="00E84D74">
              <w:rPr>
                <w:sz w:val="18"/>
                <w:szCs w:val="18"/>
              </w:rPr>
              <w:t>public tender procedure in accordance with the applicable national rules, in particular:</w:t>
            </w:r>
          </w:p>
          <w:p w:rsidR="00EF0BF8" w:rsidRPr="00E84D74" w:rsidRDefault="00EF0BF8" w:rsidP="00DA725A">
            <w:pPr>
              <w:autoSpaceDE w:val="0"/>
              <w:autoSpaceDN w:val="0"/>
              <w:adjustRightInd w:val="0"/>
              <w:rPr>
                <w:sz w:val="18"/>
                <w:szCs w:val="18"/>
              </w:rPr>
            </w:pPr>
            <w:r w:rsidRPr="00E84D74">
              <w:rPr>
                <w:sz w:val="18"/>
                <w:szCs w:val="18"/>
              </w:rPr>
              <w:t>(a) prior to any commitment to contract for a balancing service, the transmission system operator shall publish a non-restrictive call for tender indicating the purpose, scope and related instructions to tenderers, to enable them to participate in the tender process;</w:t>
            </w:r>
          </w:p>
          <w:p w:rsidR="00EF0BF8" w:rsidRPr="00E84D74" w:rsidRDefault="00EF0BF8" w:rsidP="00DA725A">
            <w:pPr>
              <w:autoSpaceDE w:val="0"/>
              <w:autoSpaceDN w:val="0"/>
              <w:adjustRightInd w:val="0"/>
              <w:rPr>
                <w:sz w:val="18"/>
                <w:szCs w:val="18"/>
              </w:rPr>
            </w:pPr>
            <w:r w:rsidRPr="00E84D74">
              <w:rPr>
                <w:sz w:val="18"/>
                <w:szCs w:val="18"/>
              </w:rPr>
              <w:t>(b) the results shall be published without prejudice to the protection of commercially sensitive information and individual results shall be disclosed to each tenderer.</w:t>
            </w:r>
          </w:p>
          <w:p w:rsidR="00EF0BF8" w:rsidRPr="00E84D74" w:rsidRDefault="00EF0BF8" w:rsidP="00DA725A">
            <w:pPr>
              <w:autoSpaceDE w:val="0"/>
              <w:autoSpaceDN w:val="0"/>
              <w:adjustRightInd w:val="0"/>
              <w:rPr>
                <w:sz w:val="18"/>
                <w:szCs w:val="18"/>
              </w:rPr>
            </w:pPr>
            <w:r w:rsidRPr="00E84D74">
              <w:rPr>
                <w:sz w:val="18"/>
                <w:szCs w:val="18"/>
              </w:rPr>
              <w:t>4. Under specific circumstances a transparent and non-discriminatory procedure other than a public tender may be approved by the national regulatory authority.</w:t>
            </w:r>
          </w:p>
          <w:p w:rsidR="00EF0BF8" w:rsidRPr="00E84D74" w:rsidRDefault="00EF0BF8" w:rsidP="00DA725A">
            <w:pPr>
              <w:autoSpaceDE w:val="0"/>
              <w:autoSpaceDN w:val="0"/>
              <w:adjustRightInd w:val="0"/>
              <w:rPr>
                <w:sz w:val="18"/>
                <w:szCs w:val="18"/>
              </w:rPr>
            </w:pPr>
            <w:r w:rsidRPr="00E84D74">
              <w:rPr>
                <w:sz w:val="18"/>
                <w:szCs w:val="18"/>
              </w:rPr>
              <w:t>5. Unless a decision by the national regulatory authority allows for a longer duration of a balancing service, the duration of a balancing service shall not exceed one year and the starting date shall occur within a twelve month period from the related binding commitment of the contracting parties.</w:t>
            </w:r>
          </w:p>
          <w:p w:rsidR="00EF0BF8" w:rsidRPr="00E84D74" w:rsidRDefault="00EF0BF8" w:rsidP="00DA725A">
            <w:pPr>
              <w:autoSpaceDE w:val="0"/>
              <w:autoSpaceDN w:val="0"/>
              <w:adjustRightInd w:val="0"/>
              <w:rPr>
                <w:sz w:val="18"/>
                <w:szCs w:val="18"/>
              </w:rPr>
            </w:pPr>
            <w:r w:rsidRPr="00E84D74">
              <w:rPr>
                <w:sz w:val="18"/>
                <w:szCs w:val="18"/>
              </w:rPr>
              <w:t>6. The transmission system operator shall review the use of its balancing services annually in order to assess whether available short term standardised products would better meet the transmission system operator’s operational requirements and whether the use of balancing services could be reduced for the next year.</w:t>
            </w:r>
          </w:p>
          <w:p w:rsidR="00EF0BF8" w:rsidRPr="00E84D74" w:rsidRDefault="00EF0BF8" w:rsidP="00DA725A">
            <w:pPr>
              <w:autoSpaceDE w:val="0"/>
              <w:autoSpaceDN w:val="0"/>
              <w:adjustRightInd w:val="0"/>
              <w:rPr>
                <w:sz w:val="18"/>
                <w:szCs w:val="18"/>
              </w:rPr>
            </w:pPr>
            <w:r w:rsidRPr="00E84D74">
              <w:rPr>
                <w:sz w:val="18"/>
                <w:szCs w:val="18"/>
              </w:rPr>
              <w:t>7. The transmission system operator shall publish annually the information with regard to the balancing</w:t>
            </w:r>
          </w:p>
          <w:p w:rsidR="004D04C6" w:rsidRPr="00E84D74" w:rsidRDefault="00EF0BF8" w:rsidP="002C4B4E">
            <w:pPr>
              <w:autoSpaceDE w:val="0"/>
              <w:autoSpaceDN w:val="0"/>
              <w:adjustRightInd w:val="0"/>
              <w:rPr>
                <w:b/>
                <w:bCs/>
                <w:sz w:val="18"/>
                <w:szCs w:val="18"/>
              </w:rPr>
            </w:pPr>
            <w:r w:rsidRPr="00E84D74">
              <w:rPr>
                <w:sz w:val="18"/>
                <w:szCs w:val="18"/>
              </w:rPr>
              <w:t>services procured and the related costs incurred.</w:t>
            </w:r>
          </w:p>
        </w:tc>
      </w:tr>
      <w:tr w:rsidR="008518A2" w:rsidRPr="00043955" w:rsidTr="00FC3840">
        <w:trPr>
          <w:trHeight w:val="1240"/>
        </w:trPr>
        <w:tc>
          <w:tcPr>
            <w:tcW w:w="5245" w:type="dxa"/>
            <w:shd w:val="clear" w:color="auto" w:fill="auto"/>
          </w:tcPr>
          <w:p w:rsidR="005D4B4F" w:rsidRPr="00981BD4" w:rsidRDefault="005D4B4F"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9</w:t>
            </w:r>
          </w:p>
          <w:p w:rsidR="005D4B4F" w:rsidRPr="00981BD4" w:rsidRDefault="005D4B4F" w:rsidP="00DA725A">
            <w:pPr>
              <w:jc w:val="center"/>
              <w:textAlignment w:val="baseline"/>
              <w:rPr>
                <w:rFonts w:ascii="Segoe UI" w:hAnsi="Segoe UI" w:cs="Segoe UI"/>
                <w:sz w:val="18"/>
                <w:szCs w:val="18"/>
                <w:lang w:val="it-IT" w:eastAsia="en-US"/>
              </w:rPr>
            </w:pPr>
            <w:r w:rsidRPr="00981BD4">
              <w:rPr>
                <w:b/>
                <w:bCs/>
                <w:sz w:val="18"/>
                <w:szCs w:val="18"/>
                <w:lang w:val="it-IT" w:eastAsia="en-US"/>
              </w:rPr>
              <w:t>Ordine de merit</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(1)   Sub rezerva principiilor stabilite la articolul 6 alineatul (4), atunci când decide acțiunile de echilibrare adecvate, operatorul de sistem de transport ia următoarele măsuri: </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acordă prioritate utilizării de produse titlu, atunci când și în măsura în care acest lucru este adecvat, în raport cu oricare alte produse standardizate pe termen scurt disponibile; </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utilizează celelalte produse standardizate pe termen scurt atunci când sunt îndeplinite următoarele condiții: </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D4B4F" w:rsidRDefault="005D4B4F" w:rsidP="00DA725A">
            <w:pPr>
              <w:jc w:val="both"/>
              <w:textAlignment w:val="baseline"/>
              <w:rPr>
                <w:sz w:val="18"/>
                <w:szCs w:val="18"/>
                <w:lang w:val="it-IT" w:eastAsia="en-US"/>
              </w:rPr>
            </w:pPr>
            <w:r w:rsidRPr="00981BD4">
              <w:rPr>
                <w:sz w:val="18"/>
                <w:szCs w:val="18"/>
                <w:lang w:val="it-IT" w:eastAsia="en-US"/>
              </w:rPr>
              <w:lastRenderedPageBreak/>
              <w:t>1.</w:t>
            </w:r>
            <w:r w:rsidRPr="00981BD4">
              <w:rPr>
                <w:rFonts w:ascii="Calibri" w:hAnsi="Calibri" w:cs="Calibri"/>
                <w:sz w:val="18"/>
                <w:szCs w:val="18"/>
                <w:lang w:val="it-IT" w:eastAsia="en-US"/>
              </w:rPr>
              <w:t xml:space="preserve"> </w:t>
            </w:r>
            <w:r w:rsidRPr="00981BD4">
              <w:rPr>
                <w:sz w:val="18"/>
                <w:szCs w:val="18"/>
                <w:lang w:val="it-IT" w:eastAsia="en-US"/>
              </w:rPr>
              <w:t>produse localizate, atunci când, pentru a menține rețeaua de transport în limite operaționale, sunt necesare modificări ale fluxului de gaze la anumite puncte de intrare și/sau de ieșire și/sau pentru a începe la un moment dat în cursul zilei gaziere; </w:t>
            </w:r>
          </w:p>
          <w:p w:rsidR="00D3356A" w:rsidRPr="00981BD4" w:rsidRDefault="00D3356A" w:rsidP="00DA725A">
            <w:pPr>
              <w:jc w:val="both"/>
              <w:textAlignment w:val="baseline"/>
              <w:rPr>
                <w:rFonts w:ascii="Segoe UI" w:hAnsi="Segoe UI" w:cs="Segoe UI"/>
                <w:sz w:val="18"/>
                <w:szCs w:val="18"/>
                <w:lang w:val="it-IT" w:eastAsia="en-US"/>
              </w:rPr>
            </w:pPr>
          </w:p>
          <w:p w:rsidR="005D4B4F" w:rsidRDefault="005D4B4F" w:rsidP="00DA725A">
            <w:pPr>
              <w:jc w:val="both"/>
              <w:textAlignment w:val="baseline"/>
              <w:rPr>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produse temporale, atunci când, pentru a menține rețeaua de transport în limite operaționale, sunt necesare modificări ale fluxului de gaze pe parcursul unei anumite perioade de timp în cursul zilei gaziere. Operatorul de sistem de transport utilizează un produs temporal numai atunci când acest lucru ar fi mai economic și mai eficient decât achiziționarea și vânzarea unei combinații de produse titlu sau de produse localizate; </w:t>
            </w:r>
          </w:p>
          <w:p w:rsidR="00D3356A" w:rsidRPr="00981BD4" w:rsidRDefault="00D3356A" w:rsidP="00DA725A">
            <w:pPr>
              <w:jc w:val="both"/>
              <w:textAlignment w:val="baseline"/>
              <w:rPr>
                <w:rFonts w:ascii="Segoe UI" w:hAnsi="Segoe UI" w:cs="Segoe UI"/>
                <w:sz w:val="18"/>
                <w:szCs w:val="18"/>
                <w:lang w:val="it-IT" w:eastAsia="en-US"/>
              </w:rPr>
            </w:pP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3.</w:t>
            </w:r>
            <w:r w:rsidRPr="00981BD4">
              <w:rPr>
                <w:rFonts w:ascii="Calibri" w:hAnsi="Calibri" w:cs="Calibri"/>
                <w:sz w:val="18"/>
                <w:szCs w:val="18"/>
                <w:lang w:val="it-IT" w:eastAsia="en-US"/>
              </w:rPr>
              <w:t xml:space="preserve"> </w:t>
            </w:r>
            <w:r w:rsidRPr="00981BD4">
              <w:rPr>
                <w:sz w:val="18"/>
                <w:szCs w:val="18"/>
                <w:lang w:val="it-IT" w:eastAsia="en-US"/>
              </w:rPr>
              <w:t>produse localizate temporale, atunci când, pentru a menține rețeaua de transport în limitele sale operaționale, sunt necesare modificări ale fluxului de gaze la anumite puncte de intrare și/sau de ieșire și pe parcursul unei anumite perioade de timp în cursul zilei gaziere. Operatorul de sistem de transport utilizează un produs temporal numai atunci când acest lucru ar fi mai economic și mai eficient decât achiziționarea și vânzarea unei combinații de produse localizate; </w:t>
            </w:r>
          </w:p>
          <w:p w:rsidR="005D4B4F" w:rsidRDefault="005D4B4F"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utilizează servicii de echilibrare numai atunci când produsele standardizate pe termen scurt nu oferă sau este posibil să nu ofere, în urma evaluării operatorului de sistem de transport în cauză, soluția necesară pentru a menține rețeaua de transport în limitele sale operaționale. </w:t>
            </w:r>
          </w:p>
          <w:p w:rsidR="00D3356A" w:rsidRPr="00981BD4" w:rsidRDefault="00D3356A" w:rsidP="00DA725A">
            <w:pPr>
              <w:jc w:val="both"/>
              <w:textAlignment w:val="baseline"/>
              <w:rPr>
                <w:rFonts w:ascii="Segoe UI" w:hAnsi="Segoe UI" w:cs="Segoe UI"/>
                <w:sz w:val="18"/>
                <w:szCs w:val="18"/>
                <w:lang w:val="it-IT" w:eastAsia="en-US"/>
              </w:rPr>
            </w:pPr>
          </w:p>
          <w:p w:rsidR="005D4B4F" w:rsidRDefault="005D4B4F" w:rsidP="00DA725A">
            <w:pPr>
              <w:jc w:val="both"/>
              <w:textAlignment w:val="baseline"/>
              <w:rPr>
                <w:sz w:val="18"/>
                <w:szCs w:val="18"/>
                <w:lang w:val="it-IT" w:eastAsia="en-US"/>
              </w:rPr>
            </w:pPr>
            <w:r w:rsidRPr="00981BD4">
              <w:rPr>
                <w:sz w:val="18"/>
                <w:szCs w:val="18"/>
                <w:lang w:val="it-IT" w:eastAsia="en-US"/>
              </w:rPr>
              <w:t>Operatorul de sistem de transport ține seama de eficiența din punctul de vedere al costurilor în cadrul nivelurilor corespunzătoare ale ordinii de merit menționate la literele (a)-(c). </w:t>
            </w:r>
          </w:p>
          <w:p w:rsidR="00D3356A" w:rsidRDefault="00D3356A" w:rsidP="00DA725A">
            <w:pPr>
              <w:jc w:val="both"/>
              <w:textAlignment w:val="baseline"/>
              <w:rPr>
                <w:rFonts w:ascii="Segoe UI" w:hAnsi="Segoe UI" w:cs="Segoe UI"/>
                <w:sz w:val="18"/>
                <w:szCs w:val="18"/>
                <w:lang w:val="it-IT" w:eastAsia="en-US"/>
              </w:rPr>
            </w:pPr>
          </w:p>
          <w:p w:rsidR="00D3356A" w:rsidRDefault="005D4B4F" w:rsidP="00E87034">
            <w:pPr>
              <w:jc w:val="both"/>
              <w:textAlignment w:val="baseline"/>
              <w:rPr>
                <w:rFonts w:ascii="Segoe UI" w:hAnsi="Segoe UI" w:cs="Segoe UI"/>
                <w:sz w:val="18"/>
                <w:szCs w:val="18"/>
                <w:lang w:val="it-IT" w:eastAsia="en-US"/>
              </w:rPr>
            </w:pPr>
            <w:r w:rsidRPr="00981BD4">
              <w:rPr>
                <w:sz w:val="18"/>
                <w:szCs w:val="18"/>
                <w:lang w:val="it-IT" w:eastAsia="en-US"/>
              </w:rPr>
              <w:t>(2)   Atunci când tranzacționează produse standardizate pe termen scurt, operatorul de sistem de transport acordă prioritate utilizării produselor în cursul zilei în detrimentul produselor pentru ziua următoare, după caz și în măsura adecvată. </w:t>
            </w:r>
          </w:p>
          <w:p w:rsidR="005D4B4F" w:rsidRDefault="005D4B4F" w:rsidP="00DA725A">
            <w:pPr>
              <w:jc w:val="both"/>
              <w:textAlignment w:val="baseline"/>
              <w:rPr>
                <w:sz w:val="18"/>
                <w:szCs w:val="18"/>
                <w:lang w:val="it-IT" w:eastAsia="en-US"/>
              </w:rPr>
            </w:pPr>
            <w:r w:rsidRPr="00981BD4">
              <w:rPr>
                <w:sz w:val="18"/>
                <w:szCs w:val="18"/>
                <w:lang w:val="it-IT" w:eastAsia="en-US"/>
              </w:rPr>
              <w:t xml:space="preserve">3)   Operatorul de sistem de transport poate solicita aprobarea autorității naționale de reglementare pentru a tranzacționa în cadrul unei zone de echilibrare adiacente și a i se transporta gazul către și dinspre respectiva zonă de echilibrare ca alternativă la tranzacționarea de produse titlu și/sau de produse localizate în propria (propriile) zonă (zone) de echilibrare. În momentul în care se ia decizia de acordare a aprobării, autoritatea națională de reglementare poate examina soluții alternative pentru îmbunătățirea funcționării pieței interne. Termenii și condițiile aplicabile sunt reexaminate anual de către operatorul de sistem de transport și de către autoritatea națională de reglementare. Recurgerea la această acțiune de echilibrare nu limitează accesul la </w:t>
            </w:r>
            <w:r w:rsidRPr="00981BD4">
              <w:rPr>
                <w:sz w:val="18"/>
                <w:szCs w:val="18"/>
                <w:lang w:val="it-IT" w:eastAsia="en-US"/>
              </w:rPr>
              <w:lastRenderedPageBreak/>
              <w:t>capacitatea din punctul de interconectare respectiv și nici utilizarea acestei capacități de către utilizatorii rețelei. </w:t>
            </w:r>
          </w:p>
          <w:p w:rsidR="00E87034" w:rsidRPr="00981BD4" w:rsidRDefault="00E87034" w:rsidP="00DA725A">
            <w:pPr>
              <w:jc w:val="both"/>
              <w:textAlignment w:val="baseline"/>
              <w:rPr>
                <w:rFonts w:ascii="Segoe UI" w:hAnsi="Segoe UI" w:cs="Segoe UI"/>
                <w:sz w:val="18"/>
                <w:szCs w:val="18"/>
                <w:lang w:val="it-IT" w:eastAsia="en-US"/>
              </w:rPr>
            </w:pPr>
          </w:p>
          <w:p w:rsidR="008518A2" w:rsidRPr="00981BD4" w:rsidRDefault="005D4B4F" w:rsidP="00DA725A">
            <w:pPr>
              <w:textAlignment w:val="baseline"/>
              <w:rPr>
                <w:b/>
                <w:bCs/>
                <w:sz w:val="18"/>
                <w:szCs w:val="18"/>
                <w:lang w:val="it-IT" w:eastAsia="en-US"/>
              </w:rPr>
            </w:pPr>
            <w:r w:rsidRPr="00981BD4">
              <w:rPr>
                <w:sz w:val="18"/>
                <w:szCs w:val="18"/>
                <w:lang w:val="it-IT" w:eastAsia="en-US"/>
              </w:rPr>
              <w:t>(4)   Operatorul de sistem de transport publică anual informații privind costurile, frecvența și numărul acțiunilor de echilibrare întreprinse în conformitate cu fiecare dintre cerințele prevăzute la alineatul (1), precum și costurile, frecvența și numărul acțiunilor de echilibrare întreprinse în conformitate cu alineatul (3). </w:t>
            </w:r>
          </w:p>
        </w:tc>
        <w:tc>
          <w:tcPr>
            <w:tcW w:w="4962" w:type="dxa"/>
            <w:shd w:val="clear" w:color="auto" w:fill="auto"/>
          </w:tcPr>
          <w:p w:rsidR="009A3C19" w:rsidRPr="009A3C19" w:rsidRDefault="009A3C19" w:rsidP="009A3C19">
            <w:pPr>
              <w:jc w:val="center"/>
              <w:textAlignment w:val="baseline"/>
              <w:rPr>
                <w:b/>
                <w:bCs/>
                <w:sz w:val="18"/>
                <w:szCs w:val="18"/>
                <w:lang w:val="ro-RO" w:eastAsia="en-US"/>
              </w:rPr>
            </w:pPr>
            <w:r w:rsidRPr="009A3C19">
              <w:rPr>
                <w:b/>
                <w:bCs/>
                <w:sz w:val="18"/>
                <w:szCs w:val="18"/>
                <w:lang w:val="ro-RO" w:eastAsia="en-US"/>
              </w:rPr>
              <w:lastRenderedPageBreak/>
              <w:t>Secțiunea 4</w:t>
            </w:r>
          </w:p>
          <w:p w:rsidR="009A3C19" w:rsidRPr="009A3C19" w:rsidRDefault="009A3C19" w:rsidP="009A3C19">
            <w:pPr>
              <w:jc w:val="center"/>
              <w:textAlignment w:val="baseline"/>
              <w:rPr>
                <w:b/>
                <w:bCs/>
                <w:sz w:val="18"/>
                <w:szCs w:val="18"/>
                <w:lang w:val="ro-RO" w:eastAsia="en-US"/>
              </w:rPr>
            </w:pPr>
            <w:r w:rsidRPr="009A3C19">
              <w:rPr>
                <w:b/>
                <w:bCs/>
                <w:sz w:val="18"/>
                <w:szCs w:val="18"/>
                <w:lang w:val="ro-RO" w:eastAsia="en-US"/>
              </w:rPr>
              <w:t>Ordinea de merit</w:t>
            </w:r>
          </w:p>
          <w:p w:rsidR="009A3C19" w:rsidRPr="009A3C19" w:rsidRDefault="009A3C19" w:rsidP="009A3C19">
            <w:pPr>
              <w:textAlignment w:val="baseline"/>
              <w:rPr>
                <w:sz w:val="18"/>
                <w:szCs w:val="18"/>
                <w:lang w:val="ro-RO" w:eastAsia="en-US"/>
              </w:rPr>
            </w:pPr>
            <w:r w:rsidRPr="009A3C19">
              <w:rPr>
                <w:b/>
                <w:bCs/>
                <w:sz w:val="18"/>
                <w:szCs w:val="18"/>
                <w:lang w:val="ro-RO" w:eastAsia="en-US"/>
              </w:rPr>
              <w:t>469.</w:t>
            </w:r>
            <w:r w:rsidRPr="009A3C19">
              <w:rPr>
                <w:sz w:val="18"/>
                <w:szCs w:val="18"/>
                <w:lang w:val="ro-RO" w:eastAsia="en-US"/>
              </w:rPr>
              <w:t xml:space="preserve"> Sub rezerva principiilor stabilite la pct.454 atunci când decide în privința acțiunilor de echilibrare adecvate, OST ia următoarele măsuri:</w:t>
            </w:r>
          </w:p>
          <w:p w:rsidR="009A3C19" w:rsidRPr="009A3C19" w:rsidRDefault="009A3C19" w:rsidP="009A3C19">
            <w:pPr>
              <w:textAlignment w:val="baseline"/>
              <w:rPr>
                <w:sz w:val="18"/>
                <w:szCs w:val="18"/>
                <w:lang w:val="ro-RO" w:eastAsia="en-US"/>
              </w:rPr>
            </w:pPr>
            <w:r w:rsidRPr="009A3C19">
              <w:rPr>
                <w:sz w:val="18"/>
                <w:szCs w:val="18"/>
                <w:lang w:val="ro-RO" w:eastAsia="en-US"/>
              </w:rPr>
              <w:t>1) acordă prioritate utilizării de produse titlu, atunci când şi în măsura în care acest lucru este adecvat, în raport cu oricare alte PSTS disponibile;</w:t>
            </w:r>
          </w:p>
          <w:p w:rsidR="009A3C19" w:rsidRPr="009A3C19" w:rsidRDefault="009A3C19" w:rsidP="009A3C19">
            <w:pPr>
              <w:textAlignment w:val="baseline"/>
              <w:rPr>
                <w:sz w:val="18"/>
                <w:szCs w:val="18"/>
                <w:lang w:val="ro-RO" w:eastAsia="en-US"/>
              </w:rPr>
            </w:pPr>
            <w:r w:rsidRPr="009A3C19">
              <w:rPr>
                <w:sz w:val="18"/>
                <w:szCs w:val="18"/>
                <w:lang w:val="ro-RO" w:eastAsia="en-US"/>
              </w:rPr>
              <w:t>2) utilizează celelalte PSTS atunci când sunt îndeplinite următoarele condiţii:</w:t>
            </w:r>
          </w:p>
          <w:p w:rsidR="002C4B4E" w:rsidRDefault="002C4B4E" w:rsidP="009A3C19">
            <w:pPr>
              <w:textAlignment w:val="baseline"/>
              <w:rPr>
                <w:sz w:val="18"/>
                <w:szCs w:val="18"/>
                <w:lang w:val="ro-RO" w:eastAsia="en-US"/>
              </w:rPr>
            </w:pPr>
          </w:p>
          <w:p w:rsidR="009A3C19" w:rsidRPr="009A3C19" w:rsidRDefault="009A3C19" w:rsidP="009A3C19">
            <w:pPr>
              <w:textAlignment w:val="baseline"/>
              <w:rPr>
                <w:sz w:val="18"/>
                <w:szCs w:val="18"/>
                <w:lang w:val="ro-RO" w:eastAsia="en-US"/>
              </w:rPr>
            </w:pPr>
            <w:r w:rsidRPr="009A3C19">
              <w:rPr>
                <w:sz w:val="18"/>
                <w:szCs w:val="18"/>
                <w:lang w:val="ro-RO" w:eastAsia="en-US"/>
              </w:rPr>
              <w:lastRenderedPageBreak/>
              <w:t>a) produse de localizare, atunci când, pentru a menţine parametrii de funcţionare a reţelei de transport al gazelor naturale în limite operaţionale, sunt necesare modificări ale fluxului de gaze naturale la anumite puncte de intrare şi/sau de ieşire şi/sau pentru a începe la un moment dat în cursul unei zile gaziere;</w:t>
            </w:r>
          </w:p>
          <w:p w:rsidR="009A3C19" w:rsidRPr="009A3C19" w:rsidRDefault="009A3C19" w:rsidP="009A3C19">
            <w:pPr>
              <w:textAlignment w:val="baseline"/>
              <w:rPr>
                <w:sz w:val="18"/>
                <w:szCs w:val="18"/>
                <w:lang w:val="ro-RO" w:eastAsia="en-US"/>
              </w:rPr>
            </w:pPr>
            <w:r w:rsidRPr="009A3C19">
              <w:rPr>
                <w:sz w:val="18"/>
                <w:szCs w:val="18"/>
                <w:lang w:val="ro-RO" w:eastAsia="en-US"/>
              </w:rPr>
              <w:t>b) produse temporare, atunci când, pentru a menţine parametrii de funcţionare a reţelei de transport al gazelor naturale în limite operaţionale, sunt necesare modificări ale fluxului de gaze pe parcursul unei anumite perioade de timp în cursul unei zile gaziere. OST utilizează un produs temporar numai atunci când acest lucru ar fi mai economic şi mai eficient decât achiziţionarea şi vânzarea unei combinaţii de produse titlu sau de produse de localizare;</w:t>
            </w:r>
          </w:p>
          <w:p w:rsidR="009A3C19" w:rsidRPr="009A3C19" w:rsidRDefault="009A3C19" w:rsidP="009A3C19">
            <w:pPr>
              <w:textAlignment w:val="baseline"/>
              <w:rPr>
                <w:sz w:val="18"/>
                <w:szCs w:val="18"/>
                <w:lang w:val="ro-RO" w:eastAsia="en-US"/>
              </w:rPr>
            </w:pPr>
            <w:r w:rsidRPr="009A3C19">
              <w:rPr>
                <w:sz w:val="18"/>
                <w:szCs w:val="18"/>
                <w:lang w:val="ro-RO" w:eastAsia="en-US"/>
              </w:rPr>
              <w:t>c) produse localizate temporare, atunci când, pentru a menţine parametrii de funcţionare a reţelei de transport al gazelor naturale în limitele sale operaţionale, sunt necesare modificări ale fluxului de gaze naturale la anumite puncte de intrare şi/sau de ieşire şi pe parcursul unei anumite perioade de timp, în decursul unei zile gaziere. OST utilizează un produs temporar numai atunci când acest lucru ar fi mai economic şi mai eficient decât achiziţionarea şi vânzarea unei combinaţii de produse de localizare;</w:t>
            </w:r>
          </w:p>
          <w:p w:rsidR="009A3C19" w:rsidRDefault="009A3C19" w:rsidP="009A3C19">
            <w:pPr>
              <w:textAlignment w:val="baseline"/>
              <w:rPr>
                <w:sz w:val="18"/>
                <w:szCs w:val="18"/>
                <w:lang w:val="ro-RO" w:eastAsia="en-US"/>
              </w:rPr>
            </w:pPr>
            <w:r w:rsidRPr="009A3C19">
              <w:rPr>
                <w:sz w:val="18"/>
                <w:szCs w:val="18"/>
                <w:lang w:val="ro-RO" w:eastAsia="en-US"/>
              </w:rPr>
              <w:t>3) utilizează servicii de echilibrare numai atunci când PSTS nu oferă sau este posibil să nu ofere, în urma evaluării OST în cauză, soluţia necesară pentru a menţine parametrii de funcţionare a reţelei de transport al gazelor naturale în limitele sale operaţionale.</w:t>
            </w:r>
          </w:p>
          <w:p w:rsidR="00D3356A" w:rsidRPr="009A3C19" w:rsidRDefault="00D3356A" w:rsidP="009A3C19">
            <w:pPr>
              <w:textAlignment w:val="baseline"/>
              <w:rPr>
                <w:sz w:val="18"/>
                <w:szCs w:val="18"/>
                <w:lang w:val="ro-RO" w:eastAsia="en-US"/>
              </w:rPr>
            </w:pPr>
          </w:p>
          <w:p w:rsidR="009A3C19" w:rsidRPr="009A3C19" w:rsidRDefault="009A3C19" w:rsidP="009A3C19">
            <w:pPr>
              <w:textAlignment w:val="baseline"/>
              <w:rPr>
                <w:sz w:val="18"/>
                <w:szCs w:val="18"/>
                <w:lang w:val="ro-RO" w:eastAsia="en-US"/>
              </w:rPr>
            </w:pPr>
            <w:r w:rsidRPr="009A3C19">
              <w:rPr>
                <w:sz w:val="18"/>
                <w:szCs w:val="18"/>
                <w:lang w:val="ro-RO" w:eastAsia="en-US"/>
              </w:rPr>
              <w:t>OST ţine seama de eficienţa din punctul de vedere al costurilor în cadrul nivelurilor corespunzătoare ale ordinii de merit menţionate la subpunctele 1)-3).</w:t>
            </w:r>
          </w:p>
          <w:p w:rsidR="002C4B4E" w:rsidRDefault="002C4B4E" w:rsidP="009A3C19">
            <w:pPr>
              <w:textAlignment w:val="baseline"/>
              <w:rPr>
                <w:b/>
                <w:bCs/>
                <w:sz w:val="18"/>
                <w:szCs w:val="18"/>
                <w:lang w:val="ro-RO" w:eastAsia="en-US"/>
              </w:rPr>
            </w:pPr>
          </w:p>
          <w:p w:rsidR="009A3C19" w:rsidRPr="009A3C19" w:rsidRDefault="009A3C19" w:rsidP="009A3C19">
            <w:pPr>
              <w:textAlignment w:val="baseline"/>
              <w:rPr>
                <w:sz w:val="18"/>
                <w:szCs w:val="18"/>
                <w:lang w:val="ro-RO" w:eastAsia="en-US"/>
              </w:rPr>
            </w:pPr>
            <w:r w:rsidRPr="009A3C19">
              <w:rPr>
                <w:b/>
                <w:bCs/>
                <w:sz w:val="18"/>
                <w:szCs w:val="18"/>
                <w:lang w:val="ro-RO" w:eastAsia="en-US"/>
              </w:rPr>
              <w:t>470.</w:t>
            </w:r>
            <w:r w:rsidRPr="009A3C19">
              <w:rPr>
                <w:sz w:val="18"/>
                <w:szCs w:val="18"/>
                <w:lang w:val="ro-RO" w:eastAsia="en-US"/>
              </w:rPr>
              <w:t xml:space="preserve"> Atunci când tranzacţionează PSTS, OST acordă prioritate utilizării produselor intrazilnice în detrimentul produselor pentru ziua următoare, după caz şi în măsura adecvată.</w:t>
            </w:r>
          </w:p>
          <w:p w:rsidR="002C4B4E" w:rsidRDefault="002C4B4E" w:rsidP="009A3C19">
            <w:pPr>
              <w:textAlignment w:val="baseline"/>
              <w:rPr>
                <w:b/>
                <w:bCs/>
                <w:sz w:val="18"/>
                <w:szCs w:val="18"/>
                <w:lang w:val="ro-RO" w:eastAsia="en-US"/>
              </w:rPr>
            </w:pPr>
          </w:p>
          <w:p w:rsidR="009A3C19" w:rsidRPr="009A3C19" w:rsidRDefault="009A3C19" w:rsidP="009A3C19">
            <w:pPr>
              <w:textAlignment w:val="baseline"/>
              <w:rPr>
                <w:sz w:val="18"/>
                <w:szCs w:val="18"/>
                <w:lang w:val="ro-RO" w:eastAsia="en-US"/>
              </w:rPr>
            </w:pPr>
            <w:r w:rsidRPr="009A3C19">
              <w:rPr>
                <w:b/>
                <w:bCs/>
                <w:sz w:val="18"/>
                <w:szCs w:val="18"/>
                <w:lang w:val="ro-RO" w:eastAsia="en-US"/>
              </w:rPr>
              <w:t>471.</w:t>
            </w:r>
            <w:r w:rsidRPr="009A3C19">
              <w:rPr>
                <w:sz w:val="18"/>
                <w:szCs w:val="18"/>
                <w:lang w:val="ro-RO" w:eastAsia="en-US"/>
              </w:rPr>
              <w:t xml:space="preserve"> OST poate solicita acordul Agenţiei pentru a tranzacţiona în cadrul unei zone de echilibrare adiacente şi a transporta gazele naturale către şi din respectiva zonă de echilibrare ca alternativă la tranzacţionarea de produse titlu şi/sau de produse de localizare în propria (propriile) zonă (zone) de echilibrare. Atunci cînd decide în privinţa acordului, Agenţia poate examina soluţii alternative pentru îmbunătăţirea funcţionării pieţei interne. Termenii şi condiţiile aplicabile sunt reexaminate anual de către OST şi de către Agenţie. Recurgerea la această acţiune de echilibrare nu limitează accesul la capacitatea din punctul de interconectare respectiv şi nici utilizarea acestei capacităţi de către utilizatorii de sistem.</w:t>
            </w:r>
          </w:p>
          <w:p w:rsidR="002C4B4E" w:rsidRDefault="002C4B4E" w:rsidP="009A3C19">
            <w:pPr>
              <w:textAlignment w:val="baseline"/>
              <w:rPr>
                <w:b/>
                <w:bCs/>
                <w:sz w:val="18"/>
                <w:szCs w:val="18"/>
                <w:lang w:val="ro-RO" w:eastAsia="en-US"/>
              </w:rPr>
            </w:pPr>
          </w:p>
          <w:p w:rsidR="00D3356A" w:rsidRDefault="00D3356A" w:rsidP="009A3C19">
            <w:pPr>
              <w:textAlignment w:val="baseline"/>
              <w:rPr>
                <w:b/>
                <w:bCs/>
                <w:sz w:val="18"/>
                <w:szCs w:val="18"/>
                <w:lang w:val="ro-RO" w:eastAsia="en-US"/>
              </w:rPr>
            </w:pPr>
          </w:p>
          <w:p w:rsidR="00E87034" w:rsidRDefault="00E87034" w:rsidP="009A3C19">
            <w:pPr>
              <w:textAlignment w:val="baseline"/>
              <w:rPr>
                <w:b/>
                <w:bCs/>
                <w:sz w:val="18"/>
                <w:szCs w:val="18"/>
                <w:lang w:val="ro-RO" w:eastAsia="en-US"/>
              </w:rPr>
            </w:pPr>
          </w:p>
          <w:p w:rsidR="009A3C19" w:rsidRPr="009A3C19" w:rsidRDefault="009A3C19" w:rsidP="009A3C19">
            <w:pPr>
              <w:textAlignment w:val="baseline"/>
              <w:rPr>
                <w:sz w:val="18"/>
                <w:szCs w:val="18"/>
                <w:lang w:val="ro-RO" w:eastAsia="en-US"/>
              </w:rPr>
            </w:pPr>
            <w:r w:rsidRPr="009A3C19">
              <w:rPr>
                <w:b/>
                <w:bCs/>
                <w:sz w:val="18"/>
                <w:szCs w:val="18"/>
                <w:lang w:val="ro-RO" w:eastAsia="en-US"/>
              </w:rPr>
              <w:t>472.</w:t>
            </w:r>
            <w:r w:rsidRPr="009A3C19">
              <w:rPr>
                <w:sz w:val="18"/>
                <w:szCs w:val="18"/>
                <w:lang w:val="ro-RO" w:eastAsia="en-US"/>
              </w:rPr>
              <w:t xml:space="preserve"> OST publică anual informaţii privind costurile, frecvenţa şi numărul acţiunilor de echilibrare întreprinse în conformitate cu fiecare dintre cerinţele prevăzute la pct.469, precum şi costurile, frecvenţa şi numărul acţiunilor de echilibrare întreprinse în conformitate cu pct.471.</w:t>
            </w:r>
          </w:p>
          <w:p w:rsidR="008518A2" w:rsidRPr="009A3C19" w:rsidRDefault="008518A2" w:rsidP="009A3C19">
            <w:pPr>
              <w:textAlignment w:val="baseline"/>
              <w:rPr>
                <w:b/>
                <w:bCs/>
                <w:sz w:val="18"/>
                <w:szCs w:val="18"/>
                <w:lang w:val="ro-RO" w:eastAsia="en-US"/>
              </w:rPr>
            </w:pPr>
          </w:p>
        </w:tc>
        <w:tc>
          <w:tcPr>
            <w:tcW w:w="1275" w:type="dxa"/>
            <w:shd w:val="clear" w:color="auto" w:fill="auto"/>
          </w:tcPr>
          <w:p w:rsidR="008518A2" w:rsidRPr="00380C00" w:rsidRDefault="008518A2" w:rsidP="00DA725A">
            <w:pPr>
              <w:jc w:val="both"/>
              <w:rPr>
                <w:b/>
                <w:sz w:val="18"/>
                <w:szCs w:val="18"/>
                <w:lang w:val="ro-RO"/>
              </w:rPr>
            </w:pPr>
          </w:p>
          <w:p w:rsidR="00F7585F" w:rsidRPr="00380C00" w:rsidRDefault="00F7585F" w:rsidP="00DA725A">
            <w:pPr>
              <w:jc w:val="both"/>
              <w:rPr>
                <w:b/>
                <w:sz w:val="18"/>
                <w:szCs w:val="18"/>
                <w:lang w:val="ro-RO"/>
              </w:rPr>
            </w:pPr>
          </w:p>
          <w:p w:rsidR="00F7585F" w:rsidRPr="00485F66" w:rsidRDefault="00F7585F" w:rsidP="00DA725A">
            <w:pPr>
              <w:jc w:val="both"/>
              <w:rPr>
                <w:sz w:val="18"/>
                <w:szCs w:val="18"/>
                <w:lang w:val="it-IT"/>
              </w:rPr>
            </w:pPr>
            <w:r w:rsidRPr="00485F66">
              <w:rPr>
                <w:sz w:val="18"/>
                <w:szCs w:val="18"/>
                <w:lang w:val="it-IT"/>
              </w:rPr>
              <w:t>Compatibil</w:t>
            </w: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782AA7" w:rsidRPr="00485F66" w:rsidRDefault="00782AA7" w:rsidP="00DA725A">
            <w:pPr>
              <w:jc w:val="both"/>
              <w:rPr>
                <w:sz w:val="18"/>
                <w:szCs w:val="18"/>
                <w:lang w:val="it-IT"/>
              </w:rPr>
            </w:pPr>
          </w:p>
          <w:p w:rsidR="002C4B4E" w:rsidRPr="00485F66" w:rsidRDefault="002C4B4E" w:rsidP="00DA725A">
            <w:pPr>
              <w:jc w:val="both"/>
              <w:rPr>
                <w:sz w:val="18"/>
                <w:szCs w:val="18"/>
                <w:lang w:val="it-IT"/>
              </w:rPr>
            </w:pPr>
          </w:p>
          <w:p w:rsidR="002C4B4E" w:rsidRPr="00485F66" w:rsidRDefault="002C4B4E" w:rsidP="00DA725A">
            <w:pPr>
              <w:jc w:val="both"/>
              <w:rPr>
                <w:sz w:val="18"/>
                <w:szCs w:val="18"/>
                <w:lang w:val="it-IT"/>
              </w:rPr>
            </w:pPr>
          </w:p>
          <w:p w:rsidR="002C4B4E" w:rsidRPr="00485F66" w:rsidRDefault="002C4B4E" w:rsidP="00DA725A">
            <w:pPr>
              <w:jc w:val="both"/>
              <w:rPr>
                <w:sz w:val="18"/>
                <w:szCs w:val="18"/>
                <w:lang w:val="it-IT"/>
              </w:rPr>
            </w:pPr>
          </w:p>
          <w:p w:rsidR="002C4B4E" w:rsidRPr="00485F66" w:rsidRDefault="002C4B4E" w:rsidP="00DA725A">
            <w:pPr>
              <w:jc w:val="both"/>
              <w:rPr>
                <w:sz w:val="18"/>
                <w:szCs w:val="18"/>
                <w:lang w:val="it-IT"/>
              </w:rPr>
            </w:pPr>
          </w:p>
          <w:p w:rsidR="008558D1" w:rsidRPr="00485F66" w:rsidRDefault="008558D1" w:rsidP="00DA725A">
            <w:pPr>
              <w:jc w:val="both"/>
              <w:rPr>
                <w:sz w:val="18"/>
                <w:szCs w:val="18"/>
                <w:lang w:val="it-IT"/>
              </w:rPr>
            </w:pPr>
          </w:p>
          <w:p w:rsidR="004C3779" w:rsidRPr="00485F66" w:rsidRDefault="004C3779" w:rsidP="00DA725A">
            <w:pPr>
              <w:jc w:val="both"/>
              <w:rPr>
                <w:sz w:val="18"/>
                <w:szCs w:val="18"/>
                <w:lang w:val="it-IT"/>
              </w:rPr>
            </w:pPr>
          </w:p>
          <w:p w:rsidR="004C3779" w:rsidRPr="00485F66" w:rsidRDefault="004C3779" w:rsidP="00DA725A">
            <w:pPr>
              <w:jc w:val="both"/>
              <w:rPr>
                <w:sz w:val="18"/>
                <w:szCs w:val="18"/>
                <w:lang w:val="it-IT"/>
              </w:rPr>
            </w:pPr>
          </w:p>
          <w:p w:rsidR="002C4B4E" w:rsidRPr="00485F66" w:rsidRDefault="002C4B4E" w:rsidP="00DA725A">
            <w:pPr>
              <w:jc w:val="both"/>
              <w:rPr>
                <w:sz w:val="18"/>
                <w:szCs w:val="18"/>
                <w:lang w:val="it-IT"/>
              </w:rPr>
            </w:pPr>
          </w:p>
          <w:p w:rsidR="00782AA7" w:rsidRPr="00485F66" w:rsidRDefault="00782AA7" w:rsidP="00DA725A">
            <w:pPr>
              <w:jc w:val="both"/>
              <w:rPr>
                <w:sz w:val="18"/>
                <w:szCs w:val="18"/>
                <w:lang w:val="it-IT"/>
              </w:rPr>
            </w:pPr>
            <w:r w:rsidRPr="00485F66">
              <w:rPr>
                <w:sz w:val="18"/>
                <w:szCs w:val="18"/>
                <w:lang w:val="it-IT"/>
              </w:rPr>
              <w:t>Compatibil</w:t>
            </w: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BA1B76" w:rsidRPr="00485F66" w:rsidRDefault="00BA1B76" w:rsidP="00DA725A">
            <w:pPr>
              <w:jc w:val="both"/>
              <w:rPr>
                <w:sz w:val="18"/>
                <w:szCs w:val="18"/>
                <w:lang w:val="it-IT"/>
              </w:rPr>
            </w:pPr>
          </w:p>
          <w:p w:rsidR="00782AA7" w:rsidRPr="00485F66" w:rsidRDefault="00782AA7" w:rsidP="00DA725A">
            <w:pPr>
              <w:jc w:val="both"/>
              <w:rPr>
                <w:sz w:val="18"/>
                <w:szCs w:val="18"/>
                <w:lang w:val="it-IT"/>
              </w:rPr>
            </w:pPr>
            <w:r w:rsidRPr="00485F66">
              <w:rPr>
                <w:sz w:val="18"/>
                <w:szCs w:val="18"/>
                <w:lang w:val="it-IT"/>
              </w:rPr>
              <w:t>Compatibil</w:t>
            </w: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561B53" w:rsidRPr="00485F66" w:rsidRDefault="00561B53" w:rsidP="00DA725A">
            <w:pPr>
              <w:jc w:val="both"/>
              <w:rPr>
                <w:sz w:val="18"/>
                <w:szCs w:val="18"/>
                <w:lang w:val="it-IT"/>
              </w:rPr>
            </w:pPr>
          </w:p>
          <w:p w:rsidR="00561B53" w:rsidRPr="00485F66" w:rsidRDefault="00561B53" w:rsidP="00DA725A">
            <w:pPr>
              <w:jc w:val="both"/>
              <w:rPr>
                <w:sz w:val="18"/>
                <w:szCs w:val="18"/>
                <w:lang w:val="it-IT"/>
              </w:rPr>
            </w:pPr>
          </w:p>
          <w:p w:rsidR="00561B53" w:rsidRPr="00485F66" w:rsidRDefault="00561B53" w:rsidP="00DA725A">
            <w:pPr>
              <w:jc w:val="both"/>
              <w:rPr>
                <w:sz w:val="18"/>
                <w:szCs w:val="18"/>
                <w:lang w:val="it-IT"/>
              </w:rPr>
            </w:pPr>
          </w:p>
          <w:p w:rsidR="00561B53" w:rsidRPr="00485F66" w:rsidRDefault="00561B53" w:rsidP="00DA725A">
            <w:pPr>
              <w:jc w:val="both"/>
              <w:rPr>
                <w:sz w:val="18"/>
                <w:szCs w:val="18"/>
                <w:lang w:val="it-IT"/>
              </w:rPr>
            </w:pPr>
          </w:p>
          <w:p w:rsidR="00D3356A" w:rsidRPr="00485F66" w:rsidRDefault="00D3356A" w:rsidP="00DA725A">
            <w:pPr>
              <w:jc w:val="both"/>
              <w:rPr>
                <w:sz w:val="18"/>
                <w:szCs w:val="18"/>
                <w:lang w:val="it-IT"/>
              </w:rPr>
            </w:pPr>
          </w:p>
          <w:p w:rsidR="00D3356A" w:rsidRDefault="00D3356A" w:rsidP="00DA725A">
            <w:pPr>
              <w:jc w:val="both"/>
              <w:rPr>
                <w:sz w:val="18"/>
                <w:szCs w:val="18"/>
                <w:lang w:val="it-IT"/>
              </w:rPr>
            </w:pPr>
          </w:p>
          <w:p w:rsidR="00E87034" w:rsidRPr="00485F66" w:rsidRDefault="00E87034" w:rsidP="00DA725A">
            <w:pPr>
              <w:jc w:val="both"/>
              <w:rPr>
                <w:sz w:val="18"/>
                <w:szCs w:val="18"/>
                <w:lang w:val="it-IT"/>
              </w:rPr>
            </w:pPr>
          </w:p>
          <w:p w:rsidR="00F7585F" w:rsidRPr="00D82EE4" w:rsidRDefault="00D3356A" w:rsidP="00DA725A">
            <w:pPr>
              <w:jc w:val="both"/>
              <w:rPr>
                <w:b/>
                <w:sz w:val="18"/>
                <w:szCs w:val="18"/>
                <w:lang w:val="it-IT"/>
              </w:rPr>
            </w:pPr>
            <w:r w:rsidRPr="00981BD4">
              <w:rPr>
                <w:sz w:val="18"/>
                <w:szCs w:val="18"/>
                <w:lang w:val="it-IT"/>
              </w:rPr>
              <w:t>Compatibil</w:t>
            </w:r>
          </w:p>
        </w:tc>
        <w:tc>
          <w:tcPr>
            <w:tcW w:w="4253" w:type="dxa"/>
            <w:shd w:val="clear" w:color="auto" w:fill="auto"/>
          </w:tcPr>
          <w:p w:rsidR="0074181B" w:rsidRPr="00E84D74" w:rsidRDefault="0074181B" w:rsidP="00DA725A">
            <w:pPr>
              <w:autoSpaceDE w:val="0"/>
              <w:autoSpaceDN w:val="0"/>
              <w:adjustRightInd w:val="0"/>
              <w:jc w:val="center"/>
              <w:rPr>
                <w:b/>
                <w:bCs/>
                <w:i/>
                <w:iCs/>
                <w:sz w:val="18"/>
                <w:szCs w:val="18"/>
              </w:rPr>
            </w:pPr>
            <w:r w:rsidRPr="00E84D74">
              <w:rPr>
                <w:b/>
                <w:bCs/>
                <w:i/>
                <w:iCs/>
                <w:sz w:val="18"/>
                <w:szCs w:val="18"/>
              </w:rPr>
              <w:lastRenderedPageBreak/>
              <w:t>Article 9</w:t>
            </w:r>
          </w:p>
          <w:p w:rsidR="0074181B" w:rsidRPr="00E84D74" w:rsidRDefault="0074181B" w:rsidP="00DA725A">
            <w:pPr>
              <w:autoSpaceDE w:val="0"/>
              <w:autoSpaceDN w:val="0"/>
              <w:adjustRightInd w:val="0"/>
              <w:jc w:val="center"/>
              <w:rPr>
                <w:b/>
                <w:bCs/>
                <w:sz w:val="18"/>
                <w:szCs w:val="18"/>
              </w:rPr>
            </w:pPr>
            <w:r w:rsidRPr="00E84D74">
              <w:rPr>
                <w:b/>
                <w:bCs/>
                <w:sz w:val="18"/>
                <w:szCs w:val="18"/>
              </w:rPr>
              <w:t>Merit order</w:t>
            </w:r>
          </w:p>
          <w:p w:rsidR="0074181B" w:rsidRPr="00E84D74" w:rsidRDefault="0074181B" w:rsidP="00DA725A">
            <w:pPr>
              <w:autoSpaceDE w:val="0"/>
              <w:autoSpaceDN w:val="0"/>
              <w:adjustRightInd w:val="0"/>
              <w:rPr>
                <w:sz w:val="18"/>
                <w:szCs w:val="18"/>
              </w:rPr>
            </w:pPr>
            <w:r w:rsidRPr="00E84D74">
              <w:rPr>
                <w:sz w:val="18"/>
                <w:szCs w:val="18"/>
              </w:rPr>
              <w:t>1. Subject to the principles set out in Article 6(4), when deciding upon the appropriate balancing</w:t>
            </w:r>
          </w:p>
          <w:p w:rsidR="0074181B" w:rsidRPr="00E84D74" w:rsidRDefault="0074181B" w:rsidP="00DA725A">
            <w:pPr>
              <w:autoSpaceDE w:val="0"/>
              <w:autoSpaceDN w:val="0"/>
              <w:adjustRightInd w:val="0"/>
              <w:rPr>
                <w:sz w:val="18"/>
                <w:szCs w:val="18"/>
              </w:rPr>
            </w:pPr>
            <w:r w:rsidRPr="00E84D74">
              <w:rPr>
                <w:sz w:val="18"/>
                <w:szCs w:val="18"/>
              </w:rPr>
              <w:t>actions, the transmission system operator, shall:</w:t>
            </w:r>
          </w:p>
          <w:p w:rsidR="0074181B" w:rsidRPr="00E84D74" w:rsidRDefault="0074181B" w:rsidP="00DA725A">
            <w:pPr>
              <w:autoSpaceDE w:val="0"/>
              <w:autoSpaceDN w:val="0"/>
              <w:adjustRightInd w:val="0"/>
              <w:rPr>
                <w:sz w:val="18"/>
                <w:szCs w:val="18"/>
              </w:rPr>
            </w:pPr>
          </w:p>
          <w:p w:rsidR="0074181B" w:rsidRPr="00E84D74" w:rsidRDefault="0074181B" w:rsidP="00DA725A">
            <w:pPr>
              <w:autoSpaceDE w:val="0"/>
              <w:autoSpaceDN w:val="0"/>
              <w:adjustRightInd w:val="0"/>
              <w:rPr>
                <w:sz w:val="18"/>
                <w:szCs w:val="18"/>
              </w:rPr>
            </w:pPr>
            <w:r w:rsidRPr="00E84D74">
              <w:rPr>
                <w:sz w:val="18"/>
                <w:szCs w:val="18"/>
              </w:rPr>
              <w:t>(a) prioritise the use of title products where and to the extent appropriate over any other available short term standardised products.</w:t>
            </w:r>
          </w:p>
          <w:p w:rsidR="0074181B" w:rsidRPr="00E84D74" w:rsidRDefault="0074181B" w:rsidP="00DA725A">
            <w:pPr>
              <w:autoSpaceDE w:val="0"/>
              <w:autoSpaceDN w:val="0"/>
              <w:adjustRightInd w:val="0"/>
              <w:rPr>
                <w:sz w:val="18"/>
                <w:szCs w:val="18"/>
              </w:rPr>
            </w:pPr>
            <w:r w:rsidRPr="00E84D74">
              <w:rPr>
                <w:sz w:val="18"/>
                <w:szCs w:val="18"/>
              </w:rPr>
              <w:t>(b) use the other short term standardised products when the following circumstances are met:</w:t>
            </w:r>
          </w:p>
          <w:p w:rsidR="0074181B" w:rsidRPr="00E84D74" w:rsidRDefault="0074181B" w:rsidP="00DA725A">
            <w:pPr>
              <w:autoSpaceDE w:val="0"/>
              <w:autoSpaceDN w:val="0"/>
              <w:adjustRightInd w:val="0"/>
              <w:rPr>
                <w:sz w:val="18"/>
                <w:szCs w:val="18"/>
              </w:rPr>
            </w:pPr>
            <w:r w:rsidRPr="00E84D74">
              <w:rPr>
                <w:sz w:val="18"/>
                <w:szCs w:val="18"/>
              </w:rPr>
              <w:lastRenderedPageBreak/>
              <w:t>(1) locational products when, in order to keep the transmission network within its operational limits, gas flow changes are needed at specific entry and/or exit points and/or to start from a specific period of time within the gas day.</w:t>
            </w:r>
          </w:p>
          <w:p w:rsidR="0074181B" w:rsidRPr="00E84D74" w:rsidRDefault="0074181B" w:rsidP="00DA725A">
            <w:pPr>
              <w:autoSpaceDE w:val="0"/>
              <w:autoSpaceDN w:val="0"/>
              <w:adjustRightInd w:val="0"/>
              <w:rPr>
                <w:sz w:val="18"/>
                <w:szCs w:val="18"/>
              </w:rPr>
            </w:pPr>
            <w:r w:rsidRPr="00E84D74">
              <w:rPr>
                <w:sz w:val="18"/>
                <w:szCs w:val="18"/>
              </w:rPr>
              <w:t>(2) temporal products when, in order to keep the transmission network within its operational limits,</w:t>
            </w:r>
          </w:p>
          <w:p w:rsidR="0074181B" w:rsidRPr="00E84D74" w:rsidRDefault="0074181B" w:rsidP="00DA725A">
            <w:pPr>
              <w:autoSpaceDE w:val="0"/>
              <w:autoSpaceDN w:val="0"/>
              <w:adjustRightInd w:val="0"/>
              <w:rPr>
                <w:sz w:val="18"/>
                <w:szCs w:val="18"/>
              </w:rPr>
            </w:pPr>
            <w:r w:rsidRPr="00E84D74">
              <w:rPr>
                <w:sz w:val="18"/>
                <w:szCs w:val="18"/>
              </w:rPr>
              <w:t>gas flow changes are needed within a specific period of time within the gas day. The transmission</w:t>
            </w:r>
          </w:p>
          <w:p w:rsidR="0074181B" w:rsidRPr="00E84D74" w:rsidRDefault="0074181B" w:rsidP="00DA725A">
            <w:pPr>
              <w:autoSpaceDE w:val="0"/>
              <w:autoSpaceDN w:val="0"/>
              <w:adjustRightInd w:val="0"/>
              <w:rPr>
                <w:sz w:val="18"/>
                <w:szCs w:val="18"/>
              </w:rPr>
            </w:pPr>
            <w:r w:rsidRPr="00E84D74">
              <w:rPr>
                <w:sz w:val="18"/>
                <w:szCs w:val="18"/>
              </w:rPr>
              <w:t>system operator shall only use a temporal product when it would be more economic and efficient than the purchase and sale of a combination of title products or locational products.</w:t>
            </w:r>
          </w:p>
          <w:p w:rsidR="0074181B" w:rsidRPr="00E84D74" w:rsidRDefault="0074181B" w:rsidP="00DA725A">
            <w:pPr>
              <w:autoSpaceDE w:val="0"/>
              <w:autoSpaceDN w:val="0"/>
              <w:adjustRightInd w:val="0"/>
              <w:rPr>
                <w:sz w:val="18"/>
                <w:szCs w:val="18"/>
              </w:rPr>
            </w:pPr>
            <w:r w:rsidRPr="00E84D74">
              <w:rPr>
                <w:sz w:val="18"/>
                <w:szCs w:val="18"/>
              </w:rPr>
              <w:t>(3) temporal locational products when, in order to keep the transmission network within its operational limits, gas flow changes are needed at specific entry and/or exit points and within a specific period of time within the gas day. The transmission system operator shall only use a</w:t>
            </w:r>
          </w:p>
          <w:p w:rsidR="0074181B" w:rsidRPr="00E84D74" w:rsidRDefault="0074181B" w:rsidP="00DA725A">
            <w:pPr>
              <w:autoSpaceDE w:val="0"/>
              <w:autoSpaceDN w:val="0"/>
              <w:adjustRightInd w:val="0"/>
              <w:rPr>
                <w:sz w:val="18"/>
                <w:szCs w:val="18"/>
              </w:rPr>
            </w:pPr>
            <w:r w:rsidRPr="00E84D74">
              <w:rPr>
                <w:sz w:val="18"/>
                <w:szCs w:val="18"/>
              </w:rPr>
              <w:t>temporal locational product when it would be more economic and efficient than the purchase and sale of a combination of locational products.</w:t>
            </w:r>
          </w:p>
          <w:p w:rsidR="0074181B" w:rsidRPr="00E84D74" w:rsidRDefault="0074181B" w:rsidP="00DA725A">
            <w:pPr>
              <w:autoSpaceDE w:val="0"/>
              <w:autoSpaceDN w:val="0"/>
              <w:adjustRightInd w:val="0"/>
              <w:rPr>
                <w:sz w:val="18"/>
                <w:szCs w:val="18"/>
              </w:rPr>
            </w:pPr>
            <w:r w:rsidRPr="00E84D74">
              <w:rPr>
                <w:sz w:val="18"/>
                <w:szCs w:val="18"/>
              </w:rPr>
              <w:t>(c) only use balancing services where short term standardised products will not or are not likely to</w:t>
            </w:r>
          </w:p>
          <w:p w:rsidR="0074181B" w:rsidRPr="00E84D74" w:rsidRDefault="0074181B" w:rsidP="00DA725A">
            <w:pPr>
              <w:autoSpaceDE w:val="0"/>
              <w:autoSpaceDN w:val="0"/>
              <w:adjustRightInd w:val="0"/>
              <w:rPr>
                <w:sz w:val="18"/>
                <w:szCs w:val="18"/>
              </w:rPr>
            </w:pPr>
            <w:r w:rsidRPr="00E84D74">
              <w:rPr>
                <w:sz w:val="18"/>
                <w:szCs w:val="18"/>
              </w:rPr>
              <w:t>provide, upon assessment of the transmission system operator concerned, the response necessary to keep the transmission network within its operational limits.</w:t>
            </w:r>
          </w:p>
          <w:p w:rsidR="0074181B" w:rsidRDefault="0074181B" w:rsidP="00DA725A">
            <w:pPr>
              <w:autoSpaceDE w:val="0"/>
              <w:autoSpaceDN w:val="0"/>
              <w:adjustRightInd w:val="0"/>
              <w:rPr>
                <w:sz w:val="18"/>
                <w:szCs w:val="18"/>
              </w:rPr>
            </w:pPr>
            <w:r w:rsidRPr="00E84D74">
              <w:rPr>
                <w:sz w:val="18"/>
                <w:szCs w:val="18"/>
              </w:rPr>
              <w:t>The transmission system operator shall take into account cost-efficiency within the respective levels of the merit order referred to under (a)-(c).</w:t>
            </w:r>
          </w:p>
          <w:p w:rsidR="00D3356A" w:rsidRDefault="00D3356A" w:rsidP="00DA725A">
            <w:pPr>
              <w:autoSpaceDE w:val="0"/>
              <w:autoSpaceDN w:val="0"/>
              <w:adjustRightInd w:val="0"/>
              <w:rPr>
                <w:sz w:val="18"/>
                <w:szCs w:val="18"/>
              </w:rPr>
            </w:pPr>
          </w:p>
          <w:p w:rsidR="0074181B" w:rsidRPr="00E84D74" w:rsidRDefault="0074181B" w:rsidP="00DA725A">
            <w:pPr>
              <w:autoSpaceDE w:val="0"/>
              <w:autoSpaceDN w:val="0"/>
              <w:adjustRightInd w:val="0"/>
              <w:rPr>
                <w:sz w:val="18"/>
                <w:szCs w:val="18"/>
              </w:rPr>
            </w:pPr>
            <w:r w:rsidRPr="00E84D74">
              <w:rPr>
                <w:sz w:val="18"/>
                <w:szCs w:val="18"/>
              </w:rPr>
              <w:t>2. While trading in short- term standardised products, the transmission system operator shall prioritise the use of within day products over day ahead products where and to the extent appropriate.</w:t>
            </w:r>
          </w:p>
          <w:p w:rsidR="0074181B" w:rsidRPr="00E84D74" w:rsidRDefault="0074181B" w:rsidP="00DA725A">
            <w:pPr>
              <w:autoSpaceDE w:val="0"/>
              <w:autoSpaceDN w:val="0"/>
              <w:adjustRightInd w:val="0"/>
              <w:rPr>
                <w:sz w:val="18"/>
                <w:szCs w:val="18"/>
              </w:rPr>
            </w:pPr>
            <w:r w:rsidRPr="00E84D74">
              <w:rPr>
                <w:sz w:val="18"/>
                <w:szCs w:val="18"/>
              </w:rPr>
              <w:t>3. The transmission system operator may seek approval from the national regulatory authority to trade within an adjacent balancing zone, and have the gas transported to and from this balancing zone,</w:t>
            </w:r>
          </w:p>
          <w:p w:rsidR="0074181B" w:rsidRPr="00E84D74" w:rsidRDefault="0074181B" w:rsidP="00DA725A">
            <w:pPr>
              <w:autoSpaceDE w:val="0"/>
              <w:autoSpaceDN w:val="0"/>
              <w:adjustRightInd w:val="0"/>
              <w:rPr>
                <w:sz w:val="18"/>
                <w:szCs w:val="18"/>
              </w:rPr>
            </w:pPr>
            <w:r w:rsidRPr="00E84D74">
              <w:rPr>
                <w:sz w:val="18"/>
                <w:szCs w:val="18"/>
              </w:rPr>
              <w:t>as an alternative to trading title products and/or locational products in its own balancing zone(s).</w:t>
            </w:r>
          </w:p>
          <w:p w:rsidR="0074181B" w:rsidRPr="00E84D74" w:rsidRDefault="0074181B" w:rsidP="00DA725A">
            <w:pPr>
              <w:autoSpaceDE w:val="0"/>
              <w:autoSpaceDN w:val="0"/>
              <w:adjustRightInd w:val="0"/>
              <w:rPr>
                <w:sz w:val="18"/>
                <w:szCs w:val="18"/>
              </w:rPr>
            </w:pPr>
            <w:r w:rsidRPr="00E84D74">
              <w:rPr>
                <w:sz w:val="18"/>
                <w:szCs w:val="18"/>
              </w:rPr>
              <w:t xml:space="preserve">When deciding on granting the approval, the national regulatory authority may consider alternative solutions to improve the functioning of the domestic market. The applicable terms and conditions shall be reconsidered on an annual basis by the transmission system operator and the national regulatory authority. The use of this </w:t>
            </w:r>
            <w:r w:rsidRPr="00E84D74">
              <w:rPr>
                <w:sz w:val="18"/>
                <w:szCs w:val="18"/>
              </w:rPr>
              <w:lastRenderedPageBreak/>
              <w:t>balancing action shall not limit the access to and use by the network users of capacity at the interconnection point concerned.</w:t>
            </w:r>
          </w:p>
          <w:p w:rsidR="008518A2" w:rsidRPr="00E84D74" w:rsidRDefault="0074181B" w:rsidP="00DA725A">
            <w:pPr>
              <w:autoSpaceDE w:val="0"/>
              <w:autoSpaceDN w:val="0"/>
              <w:adjustRightInd w:val="0"/>
              <w:rPr>
                <w:b/>
                <w:bCs/>
                <w:sz w:val="18"/>
                <w:szCs w:val="18"/>
              </w:rPr>
            </w:pPr>
            <w:r w:rsidRPr="00E84D74">
              <w:rPr>
                <w:sz w:val="18"/>
                <w:szCs w:val="18"/>
              </w:rPr>
              <w:t>4. The transmission system operator shall publish on a yearly basis the information with regard to the costs, frequency and quantity of the balancing actions undertaken in accordance with each of the requirements set out in paragraph 1 and of the balancing actions undertaken in accordance with paragraph 3.</w:t>
            </w:r>
          </w:p>
        </w:tc>
      </w:tr>
      <w:tr w:rsidR="005D4B4F" w:rsidRPr="00043955" w:rsidTr="00FC3840">
        <w:trPr>
          <w:trHeight w:val="1240"/>
        </w:trPr>
        <w:tc>
          <w:tcPr>
            <w:tcW w:w="5245" w:type="dxa"/>
            <w:shd w:val="clear" w:color="auto" w:fill="auto"/>
          </w:tcPr>
          <w:p w:rsidR="0052266B" w:rsidRPr="00BE464B" w:rsidRDefault="0052266B" w:rsidP="00DA725A">
            <w:pPr>
              <w:jc w:val="center"/>
              <w:textAlignment w:val="baseline"/>
              <w:rPr>
                <w:rFonts w:ascii="Segoe UI" w:hAnsi="Segoe UI" w:cs="Segoe UI"/>
                <w:sz w:val="18"/>
                <w:szCs w:val="18"/>
                <w:lang w:eastAsia="en-US"/>
              </w:rPr>
            </w:pPr>
            <w:r w:rsidRPr="00BE464B">
              <w:rPr>
                <w:b/>
                <w:bCs/>
                <w:sz w:val="18"/>
                <w:szCs w:val="18"/>
                <w:lang w:val="en-GB" w:eastAsia="en-US"/>
              </w:rPr>
              <w:lastRenderedPageBreak/>
              <w:t>Articolul 10</w:t>
            </w:r>
          </w:p>
          <w:p w:rsidR="0052266B" w:rsidRPr="00BE464B" w:rsidRDefault="0052266B" w:rsidP="00DA725A">
            <w:pPr>
              <w:jc w:val="center"/>
              <w:textAlignment w:val="baseline"/>
              <w:rPr>
                <w:rFonts w:ascii="Segoe UI" w:hAnsi="Segoe UI" w:cs="Segoe UI"/>
                <w:sz w:val="18"/>
                <w:szCs w:val="18"/>
                <w:lang w:eastAsia="en-US"/>
              </w:rPr>
            </w:pPr>
            <w:r w:rsidRPr="00BE464B">
              <w:rPr>
                <w:b/>
                <w:bCs/>
                <w:sz w:val="18"/>
                <w:szCs w:val="18"/>
                <w:lang w:val="en-GB" w:eastAsia="en-US"/>
              </w:rPr>
              <w:t>Platforma de tranzacționare</w:t>
            </w:r>
          </w:p>
          <w:p w:rsidR="0052266B" w:rsidRPr="00BE464B" w:rsidRDefault="0052266B" w:rsidP="00DA725A">
            <w:pPr>
              <w:jc w:val="both"/>
              <w:textAlignment w:val="baseline"/>
              <w:rPr>
                <w:rFonts w:ascii="Segoe UI" w:hAnsi="Segoe UI" w:cs="Segoe UI"/>
                <w:sz w:val="18"/>
                <w:szCs w:val="18"/>
                <w:lang w:eastAsia="en-US"/>
              </w:rPr>
            </w:pPr>
            <w:r w:rsidRPr="00BE464B">
              <w:rPr>
                <w:sz w:val="18"/>
                <w:szCs w:val="18"/>
                <w:lang w:val="en-GB" w:eastAsia="en-US"/>
              </w:rPr>
              <w:t>(1)   În scopul achiziționării de produse standardizate pe termen scurt, operatorul de sistem de transport tranzacționează pe o platformă de tranzacționare care îndeplinește toate criteriile următoare:</w:t>
            </w:r>
            <w:r w:rsidRPr="00BE464B">
              <w:rPr>
                <w:sz w:val="18"/>
                <w:szCs w:val="18"/>
                <w:lang w:eastAsia="en-US"/>
              </w:rPr>
              <w:t>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oferă un sprijin suficient pe parcursul zilei gaziere atât utilizatorilor rețelei, pentru a comercializa, cât și operatorilor de sisteme de transport, pentru a întreprinde acțiuni de echilibrare adecvate prin comerțul cu produse standardizate pe termen scurt relevante;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oferă un acces transparent și nediscriminatoriu;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furnizează servicii în baza principiului egalității de tratament;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asigură anonimatul tranzacționării cel puțin până în momentul încheierii unei tranzacții;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oferă o imagine de ansamblu detaliată a ofertelor curente pentru toți participanții la tranzacționare; </w:t>
            </w:r>
          </w:p>
          <w:p w:rsidR="0052266B" w:rsidRDefault="0052266B" w:rsidP="00DA725A">
            <w:pPr>
              <w:jc w:val="both"/>
              <w:textAlignment w:val="baseline"/>
              <w:rPr>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garantează că toate tranzacțiile sunt notificate în mod corespunzător operatorului de sistem de transport. </w:t>
            </w:r>
          </w:p>
          <w:p w:rsidR="00D3356A" w:rsidRDefault="00D3356A" w:rsidP="00DA725A">
            <w:pPr>
              <w:jc w:val="both"/>
              <w:textAlignment w:val="baseline"/>
              <w:rPr>
                <w:sz w:val="18"/>
                <w:szCs w:val="18"/>
                <w:lang w:val="it-IT" w:eastAsia="en-US"/>
              </w:rPr>
            </w:pPr>
          </w:p>
          <w:p w:rsidR="00D3356A" w:rsidRPr="00981BD4" w:rsidRDefault="00D3356A" w:rsidP="00DA725A">
            <w:pPr>
              <w:jc w:val="both"/>
              <w:textAlignment w:val="baseline"/>
              <w:rPr>
                <w:rFonts w:ascii="Segoe UI" w:hAnsi="Segoe UI" w:cs="Segoe UI"/>
                <w:sz w:val="18"/>
                <w:szCs w:val="18"/>
                <w:lang w:val="it-IT" w:eastAsia="en-US"/>
              </w:rPr>
            </w:pPr>
          </w:p>
          <w:p w:rsidR="0052266B" w:rsidRDefault="0052266B" w:rsidP="00DA725A">
            <w:pPr>
              <w:jc w:val="both"/>
              <w:textAlignment w:val="baseline"/>
              <w:rPr>
                <w:sz w:val="18"/>
                <w:szCs w:val="18"/>
                <w:lang w:val="it-IT" w:eastAsia="en-US"/>
              </w:rPr>
            </w:pPr>
            <w:r w:rsidRPr="00981BD4">
              <w:rPr>
                <w:sz w:val="18"/>
                <w:szCs w:val="18"/>
                <w:lang w:val="it-IT" w:eastAsia="en-US"/>
              </w:rPr>
              <w:t>(2)   Operatorul de sistem de transport face eforturi pentru a garanta respectarea criteriilor prevăzute la alineatul (1), cel puțin în cadrul unei platforme de tranzacționare. Dacă nu reușește să asigure respectarea acestor criterii cel puțin în cadrul unei platforme de tranzacționare, operatorul de sistem de transport ia toate măsurile necesare pentru crearea unei platforme de echilibrare sau a unei platforme de echilibrare comune, astfel cum se prevede la articolul 47. </w:t>
            </w:r>
          </w:p>
          <w:p w:rsidR="005C4545" w:rsidRPr="00981BD4" w:rsidRDefault="005C4545" w:rsidP="00DA725A">
            <w:pPr>
              <w:jc w:val="both"/>
              <w:textAlignment w:val="baseline"/>
              <w:rPr>
                <w:rFonts w:ascii="Segoe UI" w:hAnsi="Segoe UI" w:cs="Segoe UI"/>
                <w:sz w:val="18"/>
                <w:szCs w:val="18"/>
                <w:lang w:val="it-IT" w:eastAsia="en-US"/>
              </w:rPr>
            </w:pP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(3)   După încheierea fiecărei tranzacții, operatorul platformei de tranzacționare pune la dispoziția participanților la tranzacționare suficiente detalii pentru a confirma tranzacția. </w:t>
            </w:r>
          </w:p>
          <w:p w:rsidR="0052266B" w:rsidRDefault="0052266B" w:rsidP="00DA725A">
            <w:pPr>
              <w:jc w:val="both"/>
              <w:textAlignment w:val="baseline"/>
              <w:rPr>
                <w:sz w:val="18"/>
                <w:szCs w:val="18"/>
                <w:lang w:val="it-IT" w:eastAsia="en-US"/>
              </w:rPr>
            </w:pPr>
            <w:r w:rsidRPr="00981BD4">
              <w:rPr>
                <w:sz w:val="18"/>
                <w:szCs w:val="18"/>
                <w:lang w:val="it-IT" w:eastAsia="en-US"/>
              </w:rPr>
              <w:t>(4)   Participantul la tranzacționare are responsabilitatea de a prezenta notificarea comercială operatorului de sistem de transport, în conformitate cu articolul 5, cu excepția cazului în care responsabilitatea este atribuită operatorului platformei de tranzacționare sau unei părți terțe în conformitate cu normele aplicabile ale platformei de tranzacționare.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(5)   Operatorul platformei de tranzacționare: </w:t>
            </w:r>
          </w:p>
          <w:p w:rsidR="0052266B" w:rsidRDefault="0052266B" w:rsidP="00DA725A">
            <w:pPr>
              <w:jc w:val="both"/>
              <w:textAlignment w:val="baseline"/>
              <w:rPr>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publică fără întârziere evoluția prețului de cumpărare marginal și a prețului de vânzare marginal după fiecare tranzacție; sau </w:t>
            </w:r>
          </w:p>
          <w:p w:rsidR="00D3356A" w:rsidRPr="00981BD4" w:rsidRDefault="00D3356A" w:rsidP="00DA725A">
            <w:pPr>
              <w:jc w:val="both"/>
              <w:textAlignment w:val="baseline"/>
              <w:rPr>
                <w:rFonts w:ascii="Segoe UI" w:hAnsi="Segoe UI" w:cs="Segoe UI"/>
                <w:sz w:val="18"/>
                <w:szCs w:val="18"/>
                <w:lang w:val="it-IT" w:eastAsia="en-US"/>
              </w:rPr>
            </w:pPr>
          </w:p>
          <w:p w:rsidR="0052266B" w:rsidRDefault="0052266B"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furnizează operatorului de sistem de transport informațiile referitoare la locul ales de operatorul de sistem de transport pentru publicarea evoluției prețului de cumpărare marginal și a prețului de vânzare marginal. Operatorul de sistem de transport publică fără întârziere informațiile în cauză. </w:t>
            </w:r>
          </w:p>
          <w:p w:rsidR="0052266B" w:rsidRDefault="0052266B" w:rsidP="00DA725A">
            <w:pPr>
              <w:jc w:val="both"/>
              <w:textAlignment w:val="baseline"/>
              <w:rPr>
                <w:sz w:val="18"/>
                <w:szCs w:val="18"/>
                <w:lang w:val="it-IT" w:eastAsia="en-US"/>
              </w:rPr>
            </w:pPr>
            <w:r w:rsidRPr="00981BD4">
              <w:rPr>
                <w:sz w:val="18"/>
                <w:szCs w:val="18"/>
                <w:lang w:val="it-IT" w:eastAsia="en-US"/>
              </w:rPr>
              <w:t>În cazul în care în aceeași zonă de echilibrare există mai mulți operatori de platforme de tranzacționare se aplică litera (b). </w:t>
            </w:r>
          </w:p>
          <w:p w:rsidR="00F230FE" w:rsidRDefault="00F230FE" w:rsidP="00DA725A">
            <w:pPr>
              <w:jc w:val="both"/>
              <w:textAlignment w:val="baseline"/>
              <w:rPr>
                <w:sz w:val="18"/>
                <w:szCs w:val="18"/>
                <w:lang w:val="it-IT" w:eastAsia="en-US"/>
              </w:rPr>
            </w:pP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(6)   Operatorul platformei de tranzacționare permite utilizatorilor rețelei să tranzacționeze pe platforma sa de tranzacționare numai dacă au dreptul să facă notificări comerciale. </w:t>
            </w:r>
          </w:p>
          <w:p w:rsidR="005D4B4F" w:rsidRPr="00981BD4" w:rsidRDefault="0052266B" w:rsidP="008B4DB5">
            <w:pPr>
              <w:textAlignment w:val="baseline"/>
              <w:rPr>
                <w:b/>
                <w:bCs/>
                <w:sz w:val="18"/>
                <w:szCs w:val="18"/>
                <w:lang w:val="it-IT" w:eastAsia="en-US"/>
              </w:rPr>
            </w:pPr>
            <w:r w:rsidRPr="00981BD4">
              <w:rPr>
                <w:sz w:val="18"/>
                <w:szCs w:val="18"/>
                <w:lang w:val="it-IT" w:eastAsia="en-US"/>
              </w:rPr>
              <w:t>(7)   Fără întârzieri nejustificate, operatorul de sistem de transport informează operatorul platformei de tranzacționare dacă un utilizator al rețelei a pierdut dreptul de a emite notificări comerciale în conformitate cu înțelegerea contractuală aplicabilă în vigoare, fapt care conduce la suspendarea dreptului utilizatorului rețelei de a tranzacționa pe platforma de tranzacționare, fără a aduce atingere celorlalte căi de atac care ar putea fi disponibile într-un astfel de caz pentru operatorul platformei de tranzacționare în conformitate cu normele aplicabile ale platformei de tranzacționare</w:t>
            </w:r>
          </w:p>
        </w:tc>
        <w:tc>
          <w:tcPr>
            <w:tcW w:w="4962" w:type="dxa"/>
            <w:shd w:val="clear" w:color="auto" w:fill="auto"/>
          </w:tcPr>
          <w:p w:rsidR="00BF4078" w:rsidRPr="00BF4078" w:rsidRDefault="00BF4078" w:rsidP="008B4DB5">
            <w:pPr>
              <w:jc w:val="center"/>
              <w:textAlignment w:val="baseline"/>
              <w:rPr>
                <w:b/>
                <w:bCs/>
                <w:sz w:val="18"/>
                <w:szCs w:val="18"/>
                <w:lang w:val="ro-RO" w:eastAsia="en-US"/>
              </w:rPr>
            </w:pPr>
            <w:r w:rsidRPr="00BF4078">
              <w:rPr>
                <w:b/>
                <w:bCs/>
                <w:sz w:val="18"/>
                <w:szCs w:val="18"/>
                <w:lang w:val="ro-RO" w:eastAsia="en-US"/>
              </w:rPr>
              <w:lastRenderedPageBreak/>
              <w:t>Secţiunea 5</w:t>
            </w:r>
          </w:p>
          <w:p w:rsidR="00BF4078" w:rsidRPr="00BF4078" w:rsidRDefault="00BF4078" w:rsidP="008B4DB5">
            <w:pPr>
              <w:jc w:val="center"/>
              <w:textAlignment w:val="baseline"/>
              <w:rPr>
                <w:b/>
                <w:bCs/>
                <w:sz w:val="18"/>
                <w:szCs w:val="18"/>
                <w:lang w:val="ro-RO" w:eastAsia="en-US"/>
              </w:rPr>
            </w:pPr>
            <w:r w:rsidRPr="00BF4078">
              <w:rPr>
                <w:b/>
                <w:bCs/>
                <w:sz w:val="18"/>
                <w:szCs w:val="18"/>
                <w:lang w:val="ro-RO" w:eastAsia="en-US"/>
              </w:rPr>
              <w:t>Platforma de tranzacţionare</w:t>
            </w:r>
          </w:p>
          <w:p w:rsidR="00BF4078" w:rsidRPr="00BF4078" w:rsidRDefault="00BF4078" w:rsidP="00BF4078">
            <w:pPr>
              <w:textAlignment w:val="baseline"/>
              <w:rPr>
                <w:bCs/>
                <w:sz w:val="18"/>
                <w:szCs w:val="18"/>
                <w:lang w:val="ro-RO" w:eastAsia="en-US"/>
              </w:rPr>
            </w:pPr>
            <w:r w:rsidRPr="00BF4078">
              <w:rPr>
                <w:b/>
                <w:bCs/>
                <w:sz w:val="18"/>
                <w:szCs w:val="18"/>
                <w:lang w:val="ro-RO" w:eastAsia="en-US"/>
              </w:rPr>
              <w:t>473.</w:t>
            </w:r>
            <w:r w:rsidRPr="00BF4078">
              <w:rPr>
                <w:bCs/>
                <w:sz w:val="18"/>
                <w:szCs w:val="18"/>
                <w:lang w:val="ro-RO" w:eastAsia="en-US"/>
              </w:rPr>
              <w:t xml:space="preserve"> În scopul achiziţionării de PSTS, OST tranzacţionează pe o platformă de tranzacţionare care îndeplineşte următoarele criterii:</w:t>
            </w:r>
          </w:p>
          <w:p w:rsidR="00BF4078" w:rsidRPr="00BF4078" w:rsidRDefault="00BF4078" w:rsidP="00BF4078">
            <w:pPr>
              <w:textAlignment w:val="baseline"/>
              <w:rPr>
                <w:bCs/>
                <w:sz w:val="18"/>
                <w:szCs w:val="18"/>
                <w:lang w:val="ro-RO" w:eastAsia="en-US"/>
              </w:rPr>
            </w:pPr>
            <w:r w:rsidRPr="00BF4078">
              <w:rPr>
                <w:bCs/>
                <w:sz w:val="18"/>
                <w:szCs w:val="18"/>
                <w:lang w:val="ro-RO" w:eastAsia="en-US"/>
              </w:rPr>
              <w:t>1) oferă un sprijin suficient pe parcursul zilei gaziere atât utilizatorilor de sistem, pentru a comercializa, cât şi OST, pentru a întreprinde acţiuni de echilibrare adecvate prin tranzacţionarea PSTS;</w:t>
            </w:r>
          </w:p>
          <w:p w:rsidR="00BF4078" w:rsidRPr="00BF4078" w:rsidRDefault="00BF4078" w:rsidP="00BF4078">
            <w:pPr>
              <w:textAlignment w:val="baseline"/>
              <w:rPr>
                <w:bCs/>
                <w:sz w:val="18"/>
                <w:szCs w:val="18"/>
                <w:lang w:val="ro-RO" w:eastAsia="en-US"/>
              </w:rPr>
            </w:pPr>
            <w:r w:rsidRPr="00BF4078">
              <w:rPr>
                <w:bCs/>
                <w:sz w:val="18"/>
                <w:szCs w:val="18"/>
                <w:lang w:val="ro-RO" w:eastAsia="en-US"/>
              </w:rPr>
              <w:t>2) oferă un acces transparent şi nediscriminatoriu;</w:t>
            </w:r>
          </w:p>
          <w:p w:rsidR="00BF4078" w:rsidRPr="00BF4078" w:rsidRDefault="00BF4078" w:rsidP="00BF4078">
            <w:pPr>
              <w:textAlignment w:val="baseline"/>
              <w:rPr>
                <w:bCs/>
                <w:sz w:val="18"/>
                <w:szCs w:val="18"/>
                <w:lang w:val="ro-RO" w:eastAsia="en-US"/>
              </w:rPr>
            </w:pPr>
            <w:r w:rsidRPr="00BF4078">
              <w:rPr>
                <w:bCs/>
                <w:sz w:val="18"/>
                <w:szCs w:val="18"/>
                <w:lang w:val="ro-RO" w:eastAsia="en-US"/>
              </w:rPr>
              <w:t>3) furnizează servicii în baza principiului de egalitate;</w:t>
            </w:r>
          </w:p>
          <w:p w:rsidR="00BF4078" w:rsidRPr="00BF4078" w:rsidRDefault="00BF4078" w:rsidP="00BF4078">
            <w:pPr>
              <w:textAlignment w:val="baseline"/>
              <w:rPr>
                <w:bCs/>
                <w:sz w:val="18"/>
                <w:szCs w:val="18"/>
                <w:lang w:val="ro-RO" w:eastAsia="en-US"/>
              </w:rPr>
            </w:pPr>
            <w:r w:rsidRPr="00BF4078">
              <w:rPr>
                <w:bCs/>
                <w:sz w:val="18"/>
                <w:szCs w:val="18"/>
                <w:lang w:val="ro-RO" w:eastAsia="en-US"/>
              </w:rPr>
              <w:t>4) asigură anonimatul tranzacţionării cel puţin până în momentul încheierii unei tranzacţii;</w:t>
            </w:r>
          </w:p>
          <w:p w:rsidR="00BF4078" w:rsidRPr="00BF4078" w:rsidRDefault="00BF4078" w:rsidP="00BF4078">
            <w:pPr>
              <w:textAlignment w:val="baseline"/>
              <w:rPr>
                <w:bCs/>
                <w:sz w:val="18"/>
                <w:szCs w:val="18"/>
                <w:lang w:val="ro-RO" w:eastAsia="en-US"/>
              </w:rPr>
            </w:pPr>
            <w:r w:rsidRPr="00BF4078">
              <w:rPr>
                <w:bCs/>
                <w:sz w:val="18"/>
                <w:szCs w:val="18"/>
                <w:lang w:val="ro-RO" w:eastAsia="en-US"/>
              </w:rPr>
              <w:t>5) oferă o descriere detaliată a ofertelor curente pentru toţi participanţii la tranzacţionare;</w:t>
            </w:r>
          </w:p>
          <w:p w:rsidR="00BF4078" w:rsidRPr="00BF4078" w:rsidRDefault="00BF4078" w:rsidP="00BF4078">
            <w:pPr>
              <w:textAlignment w:val="baseline"/>
              <w:rPr>
                <w:bCs/>
                <w:sz w:val="18"/>
                <w:szCs w:val="18"/>
                <w:lang w:val="ro-RO" w:eastAsia="en-US"/>
              </w:rPr>
            </w:pPr>
            <w:r w:rsidRPr="00BF4078">
              <w:rPr>
                <w:bCs/>
                <w:sz w:val="18"/>
                <w:szCs w:val="18"/>
                <w:lang w:val="ro-RO" w:eastAsia="en-US"/>
              </w:rPr>
              <w:t>6) garantează că toate tranzacţiile sunt notificate în mod corespunzător OST.</w:t>
            </w:r>
          </w:p>
          <w:p w:rsidR="008B4DB5" w:rsidRDefault="008B4DB5" w:rsidP="00BF4078">
            <w:pPr>
              <w:textAlignment w:val="baseline"/>
              <w:rPr>
                <w:b/>
                <w:bCs/>
                <w:sz w:val="18"/>
                <w:szCs w:val="18"/>
                <w:lang w:val="ro-RO" w:eastAsia="en-US"/>
              </w:rPr>
            </w:pPr>
          </w:p>
          <w:p w:rsidR="008B4DB5" w:rsidRDefault="008B4DB5" w:rsidP="00BF4078">
            <w:pPr>
              <w:textAlignment w:val="baseline"/>
              <w:rPr>
                <w:b/>
                <w:bCs/>
                <w:sz w:val="18"/>
                <w:szCs w:val="18"/>
                <w:lang w:val="ro-RO" w:eastAsia="en-US"/>
              </w:rPr>
            </w:pPr>
          </w:p>
          <w:p w:rsidR="00BF4078" w:rsidRDefault="00BF4078" w:rsidP="00BF4078">
            <w:pPr>
              <w:textAlignment w:val="baseline"/>
              <w:rPr>
                <w:bCs/>
                <w:sz w:val="18"/>
                <w:szCs w:val="18"/>
                <w:lang w:val="ro-RO" w:eastAsia="en-US"/>
              </w:rPr>
            </w:pPr>
            <w:r w:rsidRPr="00BF4078">
              <w:rPr>
                <w:b/>
                <w:bCs/>
                <w:sz w:val="18"/>
                <w:szCs w:val="18"/>
                <w:lang w:val="ro-RO" w:eastAsia="en-US"/>
              </w:rPr>
              <w:t>474.</w:t>
            </w:r>
            <w:r w:rsidRPr="00BF4078">
              <w:rPr>
                <w:bCs/>
                <w:sz w:val="18"/>
                <w:szCs w:val="18"/>
                <w:lang w:val="ro-RO" w:eastAsia="en-US"/>
              </w:rPr>
              <w:t xml:space="preserve"> OST va garanta respectarea criteriilor prevăzute la pct.473, cel puţin în cadrul unei platforme de tranzacţionare. Dacă nu reuşeşte să asigure respectarea acestor criterii cel puţin în cadrul unei platforme de tranzacţionare, OST ia toate măsurile necesare pentru crearea unei platforme de echilibrare sau a unei platforme de echilibrare comune, astfel cum este prevăzut în Secţiunea 3, Capitolul X din prezentul Titlu.</w:t>
            </w:r>
          </w:p>
          <w:p w:rsidR="005C4545" w:rsidRDefault="005C4545" w:rsidP="00BF4078">
            <w:pPr>
              <w:textAlignment w:val="baseline"/>
              <w:rPr>
                <w:bCs/>
                <w:sz w:val="18"/>
                <w:szCs w:val="18"/>
                <w:lang w:val="ro-RO" w:eastAsia="en-US"/>
              </w:rPr>
            </w:pPr>
          </w:p>
          <w:p w:rsidR="005C4545" w:rsidRPr="00BF4078" w:rsidRDefault="005C4545" w:rsidP="00BF4078">
            <w:pPr>
              <w:textAlignment w:val="baseline"/>
              <w:rPr>
                <w:bCs/>
                <w:sz w:val="18"/>
                <w:szCs w:val="18"/>
                <w:lang w:val="ro-RO" w:eastAsia="en-US"/>
              </w:rPr>
            </w:pPr>
          </w:p>
          <w:p w:rsidR="00BF4078" w:rsidRPr="00BF4078" w:rsidRDefault="00BF4078" w:rsidP="00BF4078">
            <w:pPr>
              <w:textAlignment w:val="baseline"/>
              <w:rPr>
                <w:bCs/>
                <w:sz w:val="18"/>
                <w:szCs w:val="18"/>
                <w:lang w:val="ro-RO" w:eastAsia="en-US"/>
              </w:rPr>
            </w:pPr>
            <w:r w:rsidRPr="00BF4078">
              <w:rPr>
                <w:b/>
                <w:bCs/>
                <w:sz w:val="18"/>
                <w:szCs w:val="18"/>
                <w:lang w:val="ro-RO" w:eastAsia="en-US"/>
              </w:rPr>
              <w:t>475.</w:t>
            </w:r>
            <w:r w:rsidRPr="00BF4078">
              <w:rPr>
                <w:bCs/>
                <w:sz w:val="18"/>
                <w:szCs w:val="18"/>
                <w:lang w:val="ro-RO" w:eastAsia="en-US"/>
              </w:rPr>
              <w:t xml:space="preserve"> După încheierea fiecărei tranzacţii, operatorul platformei de tranzacţionare pune la dispoziţia participanţilor la tranzacţionare toată informaţia necesară pentru confirmarea tranzacţiei.</w:t>
            </w:r>
          </w:p>
          <w:p w:rsidR="00BF4078" w:rsidRPr="00BF4078" w:rsidRDefault="00BF4078" w:rsidP="00BF4078">
            <w:pPr>
              <w:textAlignment w:val="baseline"/>
              <w:rPr>
                <w:bCs/>
                <w:sz w:val="18"/>
                <w:szCs w:val="18"/>
                <w:lang w:val="ro-RO" w:eastAsia="en-US"/>
              </w:rPr>
            </w:pPr>
            <w:r w:rsidRPr="00BF4078">
              <w:rPr>
                <w:b/>
                <w:bCs/>
                <w:sz w:val="18"/>
                <w:szCs w:val="18"/>
                <w:lang w:val="ro-RO" w:eastAsia="en-US"/>
              </w:rPr>
              <w:t>476.</w:t>
            </w:r>
            <w:r w:rsidRPr="00BF4078">
              <w:rPr>
                <w:bCs/>
                <w:sz w:val="18"/>
                <w:szCs w:val="18"/>
                <w:lang w:val="ro-RO" w:eastAsia="en-US"/>
              </w:rPr>
              <w:t xml:space="preserve"> Participantul la tranzacţionare are responsabilitatea de a prezenta notificarea comercială OST, în conformitate cu Secţiunea 2 din prezentul Capitolul, cu excepţia cazului în care responsabilitatea este atribuită operatorului platformei de tranzacţionare sau unei terţe părţi, în conformitate cu regulile aplicabile platformei de tranzacţionare.</w:t>
            </w:r>
          </w:p>
          <w:p w:rsidR="00BF4078" w:rsidRPr="00BF4078" w:rsidRDefault="00BF4078" w:rsidP="00BF4078">
            <w:pPr>
              <w:textAlignment w:val="baseline"/>
              <w:rPr>
                <w:bCs/>
                <w:sz w:val="18"/>
                <w:szCs w:val="18"/>
                <w:lang w:val="ro-RO" w:eastAsia="en-US"/>
              </w:rPr>
            </w:pPr>
            <w:r w:rsidRPr="00BF4078">
              <w:rPr>
                <w:b/>
                <w:bCs/>
                <w:sz w:val="18"/>
                <w:szCs w:val="18"/>
                <w:lang w:val="ro-RO" w:eastAsia="en-US"/>
              </w:rPr>
              <w:t>477.</w:t>
            </w:r>
            <w:r w:rsidRPr="00BF4078">
              <w:rPr>
                <w:bCs/>
                <w:sz w:val="18"/>
                <w:szCs w:val="18"/>
                <w:lang w:val="ro-RO" w:eastAsia="en-US"/>
              </w:rPr>
              <w:t xml:space="preserve"> Operatorul platformei de tranzacţionare:</w:t>
            </w:r>
          </w:p>
          <w:p w:rsidR="00BF4078" w:rsidRPr="00BF4078" w:rsidRDefault="00BF4078" w:rsidP="00BF4078">
            <w:pPr>
              <w:textAlignment w:val="baseline"/>
              <w:rPr>
                <w:bCs/>
                <w:sz w:val="18"/>
                <w:szCs w:val="18"/>
                <w:lang w:val="ro-RO" w:eastAsia="en-US"/>
              </w:rPr>
            </w:pPr>
            <w:r w:rsidRPr="00BF4078">
              <w:rPr>
                <w:bCs/>
                <w:sz w:val="18"/>
                <w:szCs w:val="18"/>
                <w:lang w:val="ro-RO" w:eastAsia="en-US"/>
              </w:rPr>
              <w:lastRenderedPageBreak/>
              <w:t>1) publică fără întârziere evoluţia preţului marginal de cumpărare şi a preţului marginal de vânzare după fiecare tranzacţie; sau</w:t>
            </w:r>
          </w:p>
          <w:p w:rsidR="00BF4078" w:rsidRPr="00BF4078" w:rsidRDefault="00BF4078" w:rsidP="00BF4078">
            <w:pPr>
              <w:textAlignment w:val="baseline"/>
              <w:rPr>
                <w:bCs/>
                <w:sz w:val="18"/>
                <w:szCs w:val="18"/>
                <w:lang w:val="ro-RO" w:eastAsia="en-US"/>
              </w:rPr>
            </w:pPr>
            <w:r w:rsidRPr="00BF4078">
              <w:rPr>
                <w:bCs/>
                <w:sz w:val="18"/>
                <w:szCs w:val="18"/>
                <w:lang w:val="ro-RO" w:eastAsia="en-US"/>
              </w:rPr>
              <w:t>2) transmite OST informaţiile relevante atunci când OST alege să publice evoluţia preţului marginal de cumpărare şi preţului marginal de vânzare. OST publică fără întârziere informaţiile în cauză.</w:t>
            </w:r>
          </w:p>
          <w:p w:rsidR="00BF4078" w:rsidRDefault="00BF4078" w:rsidP="00BF4078">
            <w:pPr>
              <w:textAlignment w:val="baseline"/>
              <w:rPr>
                <w:bCs/>
                <w:sz w:val="18"/>
                <w:szCs w:val="18"/>
                <w:lang w:val="ro-RO" w:eastAsia="en-US"/>
              </w:rPr>
            </w:pPr>
            <w:r w:rsidRPr="00BF4078">
              <w:rPr>
                <w:bCs/>
                <w:sz w:val="18"/>
                <w:szCs w:val="18"/>
                <w:lang w:val="ro-RO" w:eastAsia="en-US"/>
              </w:rPr>
              <w:t>În cazul în care în aceeaşi zonă de echilibrare există mai mulţi operatori de platforme de tranzacţionare se aplică subpunctul 2).</w:t>
            </w:r>
          </w:p>
          <w:p w:rsidR="00D3356A" w:rsidRDefault="00D3356A" w:rsidP="00BF4078">
            <w:pPr>
              <w:textAlignment w:val="baseline"/>
              <w:rPr>
                <w:bCs/>
                <w:sz w:val="18"/>
                <w:szCs w:val="18"/>
                <w:lang w:val="ro-RO" w:eastAsia="en-US"/>
              </w:rPr>
            </w:pPr>
          </w:p>
          <w:p w:rsidR="00F230FE" w:rsidRDefault="00F230FE" w:rsidP="00BF4078">
            <w:pPr>
              <w:textAlignment w:val="baseline"/>
              <w:rPr>
                <w:bCs/>
                <w:sz w:val="18"/>
                <w:szCs w:val="18"/>
                <w:lang w:val="ro-RO" w:eastAsia="en-US"/>
              </w:rPr>
            </w:pPr>
          </w:p>
          <w:p w:rsidR="00F230FE" w:rsidRPr="00BF4078" w:rsidRDefault="00F230FE" w:rsidP="00BF4078">
            <w:pPr>
              <w:textAlignment w:val="baseline"/>
              <w:rPr>
                <w:bCs/>
                <w:sz w:val="18"/>
                <w:szCs w:val="18"/>
                <w:lang w:val="ro-RO" w:eastAsia="en-US"/>
              </w:rPr>
            </w:pPr>
          </w:p>
          <w:p w:rsidR="00BF4078" w:rsidRPr="00BF4078" w:rsidRDefault="00BF4078" w:rsidP="00BF4078">
            <w:pPr>
              <w:textAlignment w:val="baseline"/>
              <w:rPr>
                <w:bCs/>
                <w:sz w:val="18"/>
                <w:szCs w:val="18"/>
                <w:lang w:val="ro-RO" w:eastAsia="en-US"/>
              </w:rPr>
            </w:pPr>
            <w:r w:rsidRPr="00BF4078">
              <w:rPr>
                <w:b/>
                <w:bCs/>
                <w:sz w:val="18"/>
                <w:szCs w:val="18"/>
                <w:lang w:val="ro-RO" w:eastAsia="en-US"/>
              </w:rPr>
              <w:t>478.</w:t>
            </w:r>
            <w:r w:rsidRPr="00BF4078">
              <w:rPr>
                <w:bCs/>
                <w:sz w:val="18"/>
                <w:szCs w:val="18"/>
                <w:lang w:val="ro-RO" w:eastAsia="en-US"/>
              </w:rPr>
              <w:t xml:space="preserve"> Operatorul platformei de tranzacţionare permite utilizatorilor de sistem să efectueze tranzacţii pe platforma sa de tranzacţionare numai dacă au dreptul să prezinte notificări comerciale.</w:t>
            </w:r>
          </w:p>
          <w:p w:rsidR="005D4B4F" w:rsidRPr="00BE464B" w:rsidRDefault="00BF4078" w:rsidP="00BF4078">
            <w:pPr>
              <w:textAlignment w:val="baseline"/>
              <w:rPr>
                <w:b/>
                <w:bCs/>
                <w:sz w:val="18"/>
                <w:szCs w:val="18"/>
                <w:lang w:val="ro-MD" w:eastAsia="en-US"/>
              </w:rPr>
            </w:pPr>
            <w:r w:rsidRPr="00BF4078">
              <w:rPr>
                <w:b/>
                <w:bCs/>
                <w:sz w:val="18"/>
                <w:szCs w:val="18"/>
                <w:lang w:val="ro-RO" w:eastAsia="en-US"/>
              </w:rPr>
              <w:t>479.</w:t>
            </w:r>
            <w:r w:rsidRPr="00BF4078">
              <w:rPr>
                <w:bCs/>
                <w:sz w:val="18"/>
                <w:szCs w:val="18"/>
                <w:lang w:val="ro-RO" w:eastAsia="en-US"/>
              </w:rPr>
              <w:t xml:space="preserve"> OST informează fără întârziere operatorul platformei de tranzacţionare dacă un utilizator de sistem a pierdut dreptul de a emite notificări comerciale în conformitate cu contractele încheiate, fapt care conduce la suspendarea dreptului utilizatorului de sistem de a tranzacţiona pe platforma de tranzacţionare, fără a aduce atingere celorlalte căi de atac care ar putea fi disponibile într-un astfel de caz pentru operatorul platformei de tranzacţionare, în conformitate cu normele aplicabile platformei de tranzacţionare.</w:t>
            </w:r>
          </w:p>
        </w:tc>
        <w:tc>
          <w:tcPr>
            <w:tcW w:w="1275" w:type="dxa"/>
            <w:shd w:val="clear" w:color="auto" w:fill="auto"/>
          </w:tcPr>
          <w:p w:rsidR="005D4B4F" w:rsidRDefault="005D4B4F" w:rsidP="00DA725A">
            <w:pPr>
              <w:jc w:val="both"/>
              <w:rPr>
                <w:b/>
                <w:sz w:val="18"/>
                <w:szCs w:val="18"/>
                <w:lang w:val="it-IT"/>
              </w:rPr>
            </w:pPr>
          </w:p>
          <w:p w:rsidR="00F862EE" w:rsidRDefault="00F862EE" w:rsidP="00DA725A">
            <w:pPr>
              <w:jc w:val="both"/>
              <w:rPr>
                <w:b/>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561B53" w:rsidRPr="00981BD4" w:rsidRDefault="00561B53" w:rsidP="00DA725A">
            <w:pPr>
              <w:jc w:val="both"/>
              <w:rPr>
                <w:sz w:val="18"/>
                <w:szCs w:val="18"/>
                <w:lang w:val="it-IT"/>
              </w:rPr>
            </w:pP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D3356A" w:rsidRPr="00981BD4" w:rsidRDefault="00D3356A"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5C4545" w:rsidRPr="00981BD4" w:rsidRDefault="005C4545"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8B4DB5" w:rsidRDefault="008B4DB5"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8B4DB5" w:rsidRDefault="008B4DB5" w:rsidP="00DA725A">
            <w:pPr>
              <w:jc w:val="both"/>
              <w:rPr>
                <w:sz w:val="18"/>
                <w:szCs w:val="18"/>
                <w:lang w:val="it-IT"/>
              </w:rPr>
            </w:pPr>
          </w:p>
          <w:p w:rsidR="008B4DB5" w:rsidRDefault="008B4DB5" w:rsidP="00DA725A">
            <w:pPr>
              <w:jc w:val="both"/>
              <w:rPr>
                <w:sz w:val="18"/>
                <w:szCs w:val="18"/>
                <w:lang w:val="it-IT"/>
              </w:rPr>
            </w:pPr>
          </w:p>
          <w:p w:rsidR="00D3356A" w:rsidRDefault="00D3356A" w:rsidP="00DA725A">
            <w:pPr>
              <w:jc w:val="both"/>
              <w:rPr>
                <w:sz w:val="18"/>
                <w:szCs w:val="18"/>
                <w:lang w:val="it-IT"/>
              </w:rPr>
            </w:pPr>
          </w:p>
          <w:p w:rsidR="00F230FE" w:rsidRDefault="00F230FE" w:rsidP="00DA725A">
            <w:pPr>
              <w:jc w:val="both"/>
              <w:rPr>
                <w:sz w:val="18"/>
                <w:szCs w:val="18"/>
                <w:lang w:val="it-IT"/>
              </w:rPr>
            </w:pPr>
          </w:p>
          <w:p w:rsidR="00F230FE" w:rsidRDefault="00F230FE"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8B4DB5" w:rsidRPr="00380C00" w:rsidRDefault="008B4DB5" w:rsidP="00DA725A">
            <w:pPr>
              <w:jc w:val="both"/>
              <w:rPr>
                <w:sz w:val="18"/>
                <w:szCs w:val="18"/>
                <w:lang w:val="it-IT"/>
              </w:rPr>
            </w:pPr>
          </w:p>
          <w:p w:rsidR="00F862EE" w:rsidRPr="00D82EE4" w:rsidRDefault="00F862EE" w:rsidP="00DA725A">
            <w:pPr>
              <w:jc w:val="both"/>
              <w:rPr>
                <w:b/>
                <w:sz w:val="18"/>
                <w:szCs w:val="18"/>
                <w:lang w:val="it-IT"/>
              </w:rPr>
            </w:pPr>
            <w:r w:rsidRPr="00E55B82">
              <w:rPr>
                <w:sz w:val="18"/>
                <w:szCs w:val="18"/>
              </w:rPr>
              <w:t>Compatibil</w:t>
            </w:r>
          </w:p>
        </w:tc>
        <w:tc>
          <w:tcPr>
            <w:tcW w:w="4253" w:type="dxa"/>
            <w:shd w:val="clear" w:color="auto" w:fill="auto"/>
          </w:tcPr>
          <w:p w:rsidR="0052266B" w:rsidRPr="00E84D74" w:rsidRDefault="0052266B" w:rsidP="00DA725A">
            <w:pPr>
              <w:autoSpaceDE w:val="0"/>
              <w:autoSpaceDN w:val="0"/>
              <w:adjustRightInd w:val="0"/>
              <w:jc w:val="center"/>
              <w:rPr>
                <w:b/>
                <w:bCs/>
                <w:i/>
                <w:iCs/>
                <w:sz w:val="18"/>
                <w:szCs w:val="18"/>
              </w:rPr>
            </w:pPr>
            <w:r w:rsidRPr="00E84D74">
              <w:rPr>
                <w:b/>
                <w:bCs/>
                <w:i/>
                <w:iCs/>
                <w:sz w:val="18"/>
                <w:szCs w:val="18"/>
              </w:rPr>
              <w:lastRenderedPageBreak/>
              <w:t>Article 10</w:t>
            </w:r>
          </w:p>
          <w:p w:rsidR="0052266B" w:rsidRPr="00E84D74" w:rsidRDefault="0052266B" w:rsidP="00DA725A">
            <w:pPr>
              <w:autoSpaceDE w:val="0"/>
              <w:autoSpaceDN w:val="0"/>
              <w:adjustRightInd w:val="0"/>
              <w:jc w:val="center"/>
              <w:rPr>
                <w:b/>
                <w:bCs/>
                <w:sz w:val="18"/>
                <w:szCs w:val="18"/>
              </w:rPr>
            </w:pPr>
            <w:r w:rsidRPr="00E84D74">
              <w:rPr>
                <w:b/>
                <w:bCs/>
                <w:sz w:val="18"/>
                <w:szCs w:val="18"/>
              </w:rPr>
              <w:t>Trading platform</w:t>
            </w:r>
          </w:p>
          <w:p w:rsidR="0052266B" w:rsidRPr="00E84D74" w:rsidRDefault="0052266B" w:rsidP="00DA725A">
            <w:pPr>
              <w:autoSpaceDE w:val="0"/>
              <w:autoSpaceDN w:val="0"/>
              <w:adjustRightInd w:val="0"/>
              <w:rPr>
                <w:sz w:val="18"/>
                <w:szCs w:val="18"/>
              </w:rPr>
            </w:pPr>
            <w:r w:rsidRPr="00E84D74">
              <w:rPr>
                <w:sz w:val="18"/>
                <w:szCs w:val="18"/>
              </w:rPr>
              <w:t>1. For the purpose of procurement of short- term standardised products, the transmission system</w:t>
            </w:r>
          </w:p>
          <w:p w:rsidR="0052266B" w:rsidRPr="00E84D74" w:rsidRDefault="0052266B" w:rsidP="00DA725A">
            <w:pPr>
              <w:autoSpaceDE w:val="0"/>
              <w:autoSpaceDN w:val="0"/>
              <w:adjustRightInd w:val="0"/>
              <w:rPr>
                <w:sz w:val="18"/>
                <w:szCs w:val="18"/>
              </w:rPr>
            </w:pPr>
            <w:r w:rsidRPr="00E84D74">
              <w:rPr>
                <w:sz w:val="18"/>
                <w:szCs w:val="18"/>
              </w:rPr>
              <w:t>operator shall trade on a trading platform that meets all of the following criteria:</w:t>
            </w:r>
          </w:p>
          <w:p w:rsidR="0052266B" w:rsidRPr="00E84D74" w:rsidRDefault="0052266B" w:rsidP="00DA725A">
            <w:pPr>
              <w:autoSpaceDE w:val="0"/>
              <w:autoSpaceDN w:val="0"/>
              <w:adjustRightInd w:val="0"/>
              <w:rPr>
                <w:sz w:val="18"/>
                <w:szCs w:val="18"/>
              </w:rPr>
            </w:pPr>
            <w:r w:rsidRPr="00E84D74">
              <w:rPr>
                <w:sz w:val="18"/>
                <w:szCs w:val="18"/>
              </w:rPr>
              <w:t>(a) provides sufficient support throughout the gas day to both the network users to trade in and the transmission system operators to undertake appropriate balancing actions through trade in the relevant short term standardised products;</w:t>
            </w:r>
          </w:p>
          <w:p w:rsidR="0052266B" w:rsidRPr="00E84D74" w:rsidRDefault="0052266B" w:rsidP="00DA725A">
            <w:pPr>
              <w:autoSpaceDE w:val="0"/>
              <w:autoSpaceDN w:val="0"/>
              <w:adjustRightInd w:val="0"/>
              <w:rPr>
                <w:sz w:val="18"/>
                <w:szCs w:val="18"/>
              </w:rPr>
            </w:pPr>
            <w:r w:rsidRPr="00E84D74">
              <w:rPr>
                <w:sz w:val="18"/>
                <w:szCs w:val="18"/>
              </w:rPr>
              <w:t>(b) provides transparent and non-discriminatory access;</w:t>
            </w:r>
          </w:p>
          <w:p w:rsidR="0052266B" w:rsidRPr="00E84D74" w:rsidRDefault="0052266B" w:rsidP="00DA725A">
            <w:pPr>
              <w:autoSpaceDE w:val="0"/>
              <w:autoSpaceDN w:val="0"/>
              <w:adjustRightInd w:val="0"/>
              <w:rPr>
                <w:sz w:val="18"/>
                <w:szCs w:val="18"/>
              </w:rPr>
            </w:pPr>
            <w:r w:rsidRPr="00E84D74">
              <w:rPr>
                <w:sz w:val="18"/>
                <w:szCs w:val="18"/>
              </w:rPr>
              <w:t>(c) provides services on an equal treatment basis;</w:t>
            </w:r>
          </w:p>
          <w:p w:rsidR="0052266B" w:rsidRPr="00E84D74" w:rsidRDefault="0052266B" w:rsidP="00DA725A">
            <w:pPr>
              <w:autoSpaceDE w:val="0"/>
              <w:autoSpaceDN w:val="0"/>
              <w:adjustRightInd w:val="0"/>
              <w:rPr>
                <w:sz w:val="18"/>
                <w:szCs w:val="18"/>
              </w:rPr>
            </w:pPr>
            <w:r w:rsidRPr="00E84D74">
              <w:rPr>
                <w:sz w:val="18"/>
                <w:szCs w:val="18"/>
              </w:rPr>
              <w:t>(d) ensures anonymous trading at least until a transaction is concluded;</w:t>
            </w:r>
          </w:p>
          <w:p w:rsidR="0052266B" w:rsidRPr="00E84D74" w:rsidRDefault="0052266B" w:rsidP="00DA725A">
            <w:pPr>
              <w:autoSpaceDE w:val="0"/>
              <w:autoSpaceDN w:val="0"/>
              <w:adjustRightInd w:val="0"/>
              <w:rPr>
                <w:sz w:val="18"/>
                <w:szCs w:val="18"/>
              </w:rPr>
            </w:pPr>
            <w:r w:rsidRPr="00E84D74">
              <w:rPr>
                <w:sz w:val="18"/>
                <w:szCs w:val="18"/>
              </w:rPr>
              <w:t>(e) provides a detailed overview of the current bids and offers to all trading participants;</w:t>
            </w:r>
          </w:p>
          <w:p w:rsidR="0052266B" w:rsidRPr="00E84D74" w:rsidRDefault="0052266B" w:rsidP="00DA725A">
            <w:pPr>
              <w:autoSpaceDE w:val="0"/>
              <w:autoSpaceDN w:val="0"/>
              <w:adjustRightInd w:val="0"/>
              <w:rPr>
                <w:sz w:val="18"/>
                <w:szCs w:val="18"/>
              </w:rPr>
            </w:pPr>
            <w:r w:rsidRPr="00E84D74">
              <w:rPr>
                <w:sz w:val="18"/>
                <w:szCs w:val="18"/>
              </w:rPr>
              <w:t>(f) ensures that all trades are duly notified to the transmission system operator.</w:t>
            </w:r>
          </w:p>
          <w:p w:rsidR="0052266B" w:rsidRPr="00E84D74" w:rsidRDefault="0052266B" w:rsidP="00DA725A">
            <w:pPr>
              <w:autoSpaceDE w:val="0"/>
              <w:autoSpaceDN w:val="0"/>
              <w:adjustRightInd w:val="0"/>
              <w:rPr>
                <w:sz w:val="18"/>
                <w:szCs w:val="18"/>
              </w:rPr>
            </w:pPr>
            <w:r w:rsidRPr="00E84D74">
              <w:rPr>
                <w:sz w:val="18"/>
                <w:szCs w:val="18"/>
              </w:rPr>
              <w:t>2. The transmission system operator shall endeavour to ensure that the criteria set out in paragraph 1</w:t>
            </w:r>
          </w:p>
          <w:p w:rsidR="0052266B" w:rsidRPr="00E84D74" w:rsidRDefault="0052266B" w:rsidP="00DA725A">
            <w:pPr>
              <w:autoSpaceDE w:val="0"/>
              <w:autoSpaceDN w:val="0"/>
              <w:adjustRightInd w:val="0"/>
              <w:rPr>
                <w:sz w:val="18"/>
                <w:szCs w:val="18"/>
              </w:rPr>
            </w:pPr>
            <w:r w:rsidRPr="00E84D74">
              <w:rPr>
                <w:sz w:val="18"/>
                <w:szCs w:val="18"/>
              </w:rPr>
              <w:t>are met on at least one trading platform. Where the transmission system operator has been unable to</w:t>
            </w:r>
          </w:p>
          <w:p w:rsidR="0052266B" w:rsidRPr="00E84D74" w:rsidRDefault="0052266B" w:rsidP="00DA725A">
            <w:pPr>
              <w:autoSpaceDE w:val="0"/>
              <w:autoSpaceDN w:val="0"/>
              <w:adjustRightInd w:val="0"/>
              <w:rPr>
                <w:sz w:val="18"/>
                <w:szCs w:val="18"/>
              </w:rPr>
            </w:pPr>
            <w:r w:rsidRPr="00E84D74">
              <w:rPr>
                <w:sz w:val="18"/>
                <w:szCs w:val="18"/>
              </w:rPr>
              <w:t>ensure that these criteria are met on at least one trading platform it shall take the necessary measures towards the establishment of a balancing platform or a joint balancing platform as set out in Article 47.</w:t>
            </w:r>
          </w:p>
          <w:p w:rsidR="0052266B" w:rsidRPr="00E84D74" w:rsidRDefault="0052266B" w:rsidP="00DA725A">
            <w:pPr>
              <w:autoSpaceDE w:val="0"/>
              <w:autoSpaceDN w:val="0"/>
              <w:adjustRightInd w:val="0"/>
              <w:rPr>
                <w:sz w:val="18"/>
                <w:szCs w:val="18"/>
              </w:rPr>
            </w:pPr>
            <w:r w:rsidRPr="00E84D74">
              <w:rPr>
                <w:sz w:val="18"/>
                <w:szCs w:val="18"/>
              </w:rPr>
              <w:t xml:space="preserve">3. After each trade is concluded, the trading platform operator shall make available to the trading participants sufficient details to confirm the trade. </w:t>
            </w:r>
          </w:p>
          <w:p w:rsidR="0052266B" w:rsidRPr="00E84D74" w:rsidRDefault="0052266B" w:rsidP="00DA725A">
            <w:pPr>
              <w:autoSpaceDE w:val="0"/>
              <w:autoSpaceDN w:val="0"/>
              <w:adjustRightInd w:val="0"/>
              <w:rPr>
                <w:sz w:val="18"/>
                <w:szCs w:val="18"/>
              </w:rPr>
            </w:pPr>
            <w:r w:rsidRPr="00E84D74">
              <w:rPr>
                <w:sz w:val="18"/>
                <w:szCs w:val="18"/>
              </w:rPr>
              <w:t>4. The trading participant shall be responsible for submitting trade notification to the transmission</w:t>
            </w:r>
          </w:p>
          <w:p w:rsidR="0052266B" w:rsidRPr="00E84D74" w:rsidRDefault="0052266B" w:rsidP="00DA725A">
            <w:pPr>
              <w:autoSpaceDE w:val="0"/>
              <w:autoSpaceDN w:val="0"/>
              <w:adjustRightInd w:val="0"/>
              <w:rPr>
                <w:sz w:val="18"/>
                <w:szCs w:val="18"/>
              </w:rPr>
            </w:pPr>
            <w:r w:rsidRPr="00E84D74">
              <w:rPr>
                <w:sz w:val="18"/>
                <w:szCs w:val="18"/>
              </w:rPr>
              <w:t>system operator as defined in Article 5 unless the responsibility is assigned to the trading platform</w:t>
            </w:r>
          </w:p>
          <w:p w:rsidR="0052266B" w:rsidRPr="00E84D74" w:rsidRDefault="0052266B" w:rsidP="00DA725A">
            <w:pPr>
              <w:autoSpaceDE w:val="0"/>
              <w:autoSpaceDN w:val="0"/>
              <w:adjustRightInd w:val="0"/>
              <w:rPr>
                <w:sz w:val="18"/>
                <w:szCs w:val="18"/>
              </w:rPr>
            </w:pPr>
            <w:r w:rsidRPr="00E84D74">
              <w:rPr>
                <w:sz w:val="18"/>
                <w:szCs w:val="18"/>
              </w:rPr>
              <w:t>operator or a third party in accordance with the applicable rules of the trading platform.</w:t>
            </w:r>
          </w:p>
          <w:p w:rsidR="0052266B" w:rsidRPr="00E84D74" w:rsidRDefault="0052266B" w:rsidP="00DA725A">
            <w:pPr>
              <w:autoSpaceDE w:val="0"/>
              <w:autoSpaceDN w:val="0"/>
              <w:adjustRightInd w:val="0"/>
              <w:rPr>
                <w:sz w:val="18"/>
                <w:szCs w:val="18"/>
              </w:rPr>
            </w:pPr>
            <w:r w:rsidRPr="00E84D74">
              <w:rPr>
                <w:sz w:val="18"/>
                <w:szCs w:val="18"/>
              </w:rPr>
              <w:t>5. The trading platform operator shall:</w:t>
            </w:r>
          </w:p>
          <w:p w:rsidR="0052266B" w:rsidRPr="00E84D74" w:rsidRDefault="0052266B" w:rsidP="00DA725A">
            <w:pPr>
              <w:autoSpaceDE w:val="0"/>
              <w:autoSpaceDN w:val="0"/>
              <w:adjustRightInd w:val="0"/>
              <w:rPr>
                <w:sz w:val="18"/>
                <w:szCs w:val="18"/>
              </w:rPr>
            </w:pPr>
            <w:r w:rsidRPr="00E84D74">
              <w:rPr>
                <w:sz w:val="18"/>
                <w:szCs w:val="18"/>
              </w:rPr>
              <w:lastRenderedPageBreak/>
              <w:t>(a) publish the evolution of the marginal buy price and the marginal sell price after each trade without undue delay; or</w:t>
            </w:r>
          </w:p>
          <w:p w:rsidR="0052266B" w:rsidRPr="00E84D74" w:rsidRDefault="0052266B" w:rsidP="00DA725A">
            <w:pPr>
              <w:autoSpaceDE w:val="0"/>
              <w:autoSpaceDN w:val="0"/>
              <w:adjustRightInd w:val="0"/>
              <w:rPr>
                <w:sz w:val="18"/>
                <w:szCs w:val="18"/>
              </w:rPr>
            </w:pPr>
            <w:r w:rsidRPr="00E84D74">
              <w:rPr>
                <w:sz w:val="18"/>
                <w:szCs w:val="18"/>
              </w:rPr>
              <w:t>(b) provide the transmission system operator with the information where the transmission system operator elects to publish the evolution of the marginal buy price and the marginal sell price. The transmission system operator shall publish this information without undue delay.</w:t>
            </w:r>
          </w:p>
          <w:p w:rsidR="0052266B" w:rsidRPr="00E84D74" w:rsidRDefault="0052266B" w:rsidP="00DA725A">
            <w:pPr>
              <w:autoSpaceDE w:val="0"/>
              <w:autoSpaceDN w:val="0"/>
              <w:adjustRightInd w:val="0"/>
              <w:rPr>
                <w:sz w:val="18"/>
                <w:szCs w:val="18"/>
              </w:rPr>
            </w:pPr>
            <w:r w:rsidRPr="00E84D74">
              <w:rPr>
                <w:sz w:val="18"/>
                <w:szCs w:val="18"/>
              </w:rPr>
              <w:t>Where there is more than one trading platform operator in the same balancing zone point (b) shall apply.</w:t>
            </w:r>
          </w:p>
          <w:p w:rsidR="00D3356A" w:rsidRDefault="0052266B" w:rsidP="00D3356A">
            <w:pPr>
              <w:autoSpaceDE w:val="0"/>
              <w:autoSpaceDN w:val="0"/>
              <w:adjustRightInd w:val="0"/>
              <w:rPr>
                <w:sz w:val="18"/>
                <w:szCs w:val="18"/>
              </w:rPr>
            </w:pPr>
            <w:r w:rsidRPr="00E84D74">
              <w:rPr>
                <w:sz w:val="18"/>
                <w:szCs w:val="18"/>
              </w:rPr>
              <w:t>6. The trading platform operator shall only allow network users to trade on its trading platform if they are entitled to make trade notifications.</w:t>
            </w:r>
          </w:p>
          <w:p w:rsidR="00D3356A" w:rsidRDefault="00D3356A" w:rsidP="00D3356A">
            <w:pPr>
              <w:autoSpaceDE w:val="0"/>
              <w:autoSpaceDN w:val="0"/>
              <w:adjustRightInd w:val="0"/>
              <w:rPr>
                <w:sz w:val="18"/>
                <w:szCs w:val="18"/>
              </w:rPr>
            </w:pPr>
          </w:p>
          <w:p w:rsidR="0052266B" w:rsidRPr="00E84D74" w:rsidRDefault="0052266B" w:rsidP="00D3356A">
            <w:pPr>
              <w:autoSpaceDE w:val="0"/>
              <w:autoSpaceDN w:val="0"/>
              <w:adjustRightInd w:val="0"/>
              <w:rPr>
                <w:sz w:val="18"/>
                <w:szCs w:val="18"/>
              </w:rPr>
            </w:pPr>
            <w:r w:rsidRPr="00E84D74">
              <w:rPr>
                <w:sz w:val="18"/>
                <w:szCs w:val="18"/>
              </w:rPr>
              <w:t>7. The transmission system operator shall without undue delay inform the trading platform operator of network user’s losing the right to make trade notifications pursuant to the applicable contractual arrangement in force which shall result in the suspension of the network user’s right to trade on the trading platform, without prejudice to the other remedies that could be available in such case to the</w:t>
            </w:r>
          </w:p>
          <w:p w:rsidR="005D4B4F" w:rsidRPr="00E84D74" w:rsidRDefault="0052266B" w:rsidP="00DA725A">
            <w:pPr>
              <w:autoSpaceDE w:val="0"/>
              <w:autoSpaceDN w:val="0"/>
              <w:adjustRightInd w:val="0"/>
              <w:rPr>
                <w:b/>
                <w:bCs/>
                <w:sz w:val="18"/>
                <w:szCs w:val="18"/>
              </w:rPr>
            </w:pPr>
            <w:r w:rsidRPr="00E84D74">
              <w:rPr>
                <w:sz w:val="18"/>
                <w:szCs w:val="18"/>
              </w:rPr>
              <w:t>trading platform operator under the applicable rules of the trading platform.</w:t>
            </w:r>
          </w:p>
        </w:tc>
      </w:tr>
      <w:tr w:rsidR="00991E0F" w:rsidRPr="00043955" w:rsidTr="00FC3840">
        <w:trPr>
          <w:trHeight w:val="1240"/>
        </w:trPr>
        <w:tc>
          <w:tcPr>
            <w:tcW w:w="5245" w:type="dxa"/>
            <w:shd w:val="clear" w:color="auto" w:fill="auto"/>
          </w:tcPr>
          <w:p w:rsidR="00122BCD" w:rsidRPr="00981BD4" w:rsidRDefault="00122BCD" w:rsidP="00DA725A">
            <w:pPr>
              <w:jc w:val="both"/>
              <w:textAlignment w:val="baseline"/>
              <w:rPr>
                <w:rFonts w:ascii="Segoe UI" w:hAnsi="Segoe UI" w:cs="Segoe UI"/>
                <w:sz w:val="18"/>
                <w:szCs w:val="18"/>
                <w:lang w:val="it-IT" w:eastAsia="en-US"/>
              </w:rPr>
            </w:pPr>
            <w:r w:rsidRPr="00981BD4">
              <w:rPr>
                <w:b/>
                <w:bCs/>
                <w:sz w:val="18"/>
                <w:szCs w:val="18"/>
                <w:lang w:val="it-IT" w:eastAsia="en-US"/>
              </w:rPr>
              <w:lastRenderedPageBreak/>
              <w:t>Articolul 11</w:t>
            </w:r>
            <w:r w:rsidRPr="00981BD4">
              <w:rPr>
                <w:sz w:val="18"/>
                <w:szCs w:val="18"/>
                <w:lang w:val="it-IT" w:eastAsia="en-US"/>
              </w:rPr>
              <w:t> </w:t>
            </w:r>
          </w:p>
          <w:p w:rsidR="00122BCD" w:rsidRPr="00981BD4" w:rsidRDefault="00122BCD" w:rsidP="00DA725A">
            <w:pPr>
              <w:jc w:val="both"/>
              <w:textAlignment w:val="baseline"/>
              <w:rPr>
                <w:rFonts w:ascii="Segoe UI" w:hAnsi="Segoe UI" w:cs="Segoe UI"/>
                <w:sz w:val="18"/>
                <w:szCs w:val="18"/>
                <w:lang w:val="it-IT" w:eastAsia="en-US"/>
              </w:rPr>
            </w:pPr>
            <w:r w:rsidRPr="00981BD4">
              <w:rPr>
                <w:b/>
                <w:bCs/>
                <w:sz w:val="18"/>
                <w:szCs w:val="18"/>
                <w:lang w:val="it-IT" w:eastAsia="en-US"/>
              </w:rPr>
              <w:t>Stimulente</w:t>
            </w:r>
            <w:r w:rsidRPr="00981BD4">
              <w:rPr>
                <w:sz w:val="18"/>
                <w:szCs w:val="18"/>
                <w:lang w:val="it-IT" w:eastAsia="en-US"/>
              </w:rPr>
              <w:t> </w:t>
            </w:r>
          </w:p>
          <w:p w:rsidR="00122BCD" w:rsidRDefault="00122BCD" w:rsidP="00DA725A">
            <w:pPr>
              <w:jc w:val="both"/>
              <w:textAlignment w:val="baseline"/>
              <w:rPr>
                <w:sz w:val="18"/>
                <w:szCs w:val="18"/>
                <w:lang w:val="it-IT" w:eastAsia="en-US"/>
              </w:rPr>
            </w:pPr>
            <w:r w:rsidRPr="00981BD4">
              <w:rPr>
                <w:sz w:val="18"/>
                <w:szCs w:val="18"/>
                <w:lang w:val="it-IT" w:eastAsia="en-US"/>
              </w:rPr>
              <w:t>(1)   În scopul stimulării lichidității pieței angro a gazului pe termen scurt, autoritatea națională de reglementare poate stimula operatorii de sisteme de transport să întreprindă acțiuni de echilibrare în mod eficient sau să maximizeze desfășurarea de acțiuni de echilibrare prin comerțul cu produse standardizate pe termen scurt. </w:t>
            </w:r>
          </w:p>
          <w:p w:rsidR="00835550" w:rsidRDefault="00835550" w:rsidP="00DA725A">
            <w:pPr>
              <w:jc w:val="both"/>
              <w:textAlignment w:val="baseline"/>
              <w:rPr>
                <w:rFonts w:ascii="Segoe UI" w:hAnsi="Segoe UI" w:cs="Segoe UI"/>
                <w:sz w:val="18"/>
                <w:szCs w:val="18"/>
                <w:lang w:val="it-IT" w:eastAsia="en-US"/>
              </w:rPr>
            </w:pPr>
          </w:p>
          <w:p w:rsidR="00835550" w:rsidRPr="00981BD4" w:rsidRDefault="00835550" w:rsidP="00DA725A">
            <w:pPr>
              <w:jc w:val="both"/>
              <w:textAlignment w:val="baseline"/>
              <w:rPr>
                <w:rFonts w:ascii="Segoe UI" w:hAnsi="Segoe UI" w:cs="Segoe UI"/>
                <w:sz w:val="18"/>
                <w:szCs w:val="18"/>
                <w:lang w:val="it-IT" w:eastAsia="en-US"/>
              </w:rPr>
            </w:pP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poate prezenta autorității naționale de reglementare, spre aprobare, un mecanism de stimulare care să fie coerent cu principiile generale stabilite în prezentul regulament. </w:t>
            </w:r>
          </w:p>
          <w:p w:rsidR="00122BCD" w:rsidRDefault="00122BCD" w:rsidP="00DA725A">
            <w:pPr>
              <w:jc w:val="both"/>
              <w:textAlignment w:val="baseline"/>
              <w:rPr>
                <w:sz w:val="18"/>
                <w:szCs w:val="18"/>
                <w:lang w:val="it-IT" w:eastAsia="en-US"/>
              </w:rPr>
            </w:pPr>
            <w:r w:rsidRPr="00981BD4">
              <w:rPr>
                <w:sz w:val="18"/>
                <w:szCs w:val="18"/>
                <w:lang w:val="it-IT" w:eastAsia="en-US"/>
              </w:rPr>
              <w:t>(3)   Anterior prezentării propunerii menționate la alineatul (2), operatorul de sistem de transport poate consulta părțile interesante, la inițiativa proprie a operatorului de sistem de transport sau la solicitarea autorității naționale de reglementare. </w:t>
            </w:r>
          </w:p>
          <w:p w:rsidR="00835550" w:rsidRPr="00981BD4" w:rsidRDefault="00835550" w:rsidP="00DA725A">
            <w:pPr>
              <w:jc w:val="both"/>
              <w:textAlignment w:val="baseline"/>
              <w:rPr>
                <w:rFonts w:ascii="Segoe UI" w:hAnsi="Segoe UI" w:cs="Segoe UI"/>
                <w:sz w:val="18"/>
                <w:szCs w:val="18"/>
                <w:lang w:val="it-IT" w:eastAsia="en-US"/>
              </w:rPr>
            </w:pP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(4)   Mecanismul de stimulare: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 xml:space="preserve">se bazează pe performanța operatorului de sistem de transport, prin intermediul plăților plafonate acordate acestuia în cazul unei </w:t>
            </w:r>
            <w:r w:rsidRPr="00981BD4">
              <w:rPr>
                <w:sz w:val="18"/>
                <w:szCs w:val="18"/>
                <w:lang w:val="it-IT" w:eastAsia="en-US"/>
              </w:rPr>
              <w:lastRenderedPageBreak/>
              <w:t>performanțe excepționale și pretinse de la acesta în cazul unei performanțe insuficiente, măsurate în raport cu obiective de performanță prestabilite care pot include, printre altele, obiective privind costurile;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ține seama de mijloacele pe care operatorul de sistem de transport le are la dispoziție în vederea controlului performanței;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garantează faptul că aplicarea acestora reflectă în mod corect alocarea responsabilităților între părțile participante;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este adaptat la stadiul de dezvoltare a pieței relevante a gazului acolo unde urmează să fie pus în aplicare;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face obiectul unei revizuiri periodice de către autoritatea națională de reglementare, în strânsă colaborare cu operatorul de sistem de transport, pentru a se evalua unde și în ce măsură ar putea fi nevoie de modificări. </w:t>
            </w:r>
          </w:p>
          <w:p w:rsidR="00991E0F" w:rsidRPr="00981BD4" w:rsidRDefault="00991E0F" w:rsidP="00DA725A">
            <w:pPr>
              <w:jc w:val="center"/>
              <w:textAlignment w:val="baseline"/>
              <w:rPr>
                <w:b/>
                <w:bCs/>
                <w:sz w:val="18"/>
                <w:szCs w:val="18"/>
                <w:lang w:val="it-IT" w:eastAsia="en-US"/>
              </w:rPr>
            </w:pPr>
          </w:p>
        </w:tc>
        <w:tc>
          <w:tcPr>
            <w:tcW w:w="4962" w:type="dxa"/>
            <w:shd w:val="clear" w:color="auto" w:fill="auto"/>
          </w:tcPr>
          <w:p w:rsidR="00153687" w:rsidRPr="00153687" w:rsidRDefault="00153687" w:rsidP="00153687">
            <w:pPr>
              <w:jc w:val="center"/>
              <w:textAlignment w:val="baseline"/>
              <w:rPr>
                <w:b/>
                <w:bCs/>
                <w:sz w:val="18"/>
                <w:szCs w:val="18"/>
                <w:lang w:val="ro-RO" w:eastAsia="en-US"/>
              </w:rPr>
            </w:pPr>
            <w:r w:rsidRPr="00153687">
              <w:rPr>
                <w:b/>
                <w:bCs/>
                <w:sz w:val="18"/>
                <w:szCs w:val="18"/>
                <w:lang w:val="ro-RO" w:eastAsia="en-US"/>
              </w:rPr>
              <w:lastRenderedPageBreak/>
              <w:t>Secţiunea 6</w:t>
            </w:r>
          </w:p>
          <w:p w:rsidR="00153687" w:rsidRPr="00153687" w:rsidRDefault="00153687" w:rsidP="00153687">
            <w:pPr>
              <w:jc w:val="center"/>
              <w:textAlignment w:val="baseline"/>
              <w:rPr>
                <w:b/>
                <w:bCs/>
                <w:sz w:val="18"/>
                <w:szCs w:val="18"/>
                <w:lang w:val="ro-RO" w:eastAsia="en-US"/>
              </w:rPr>
            </w:pPr>
            <w:r w:rsidRPr="00153687">
              <w:rPr>
                <w:b/>
                <w:bCs/>
                <w:sz w:val="18"/>
                <w:szCs w:val="18"/>
                <w:lang w:val="ro-RO" w:eastAsia="en-US"/>
              </w:rPr>
              <w:t>Stimulente</w:t>
            </w:r>
          </w:p>
          <w:p w:rsidR="00153687" w:rsidRDefault="00153687" w:rsidP="00153687">
            <w:pPr>
              <w:jc w:val="both"/>
              <w:textAlignment w:val="baseline"/>
              <w:rPr>
                <w:bCs/>
                <w:sz w:val="18"/>
                <w:szCs w:val="18"/>
                <w:lang w:val="ro-RO" w:eastAsia="en-US"/>
              </w:rPr>
            </w:pPr>
            <w:r w:rsidRPr="00153687">
              <w:rPr>
                <w:b/>
                <w:bCs/>
                <w:sz w:val="18"/>
                <w:szCs w:val="18"/>
                <w:lang w:val="ro-RO" w:eastAsia="en-US"/>
              </w:rPr>
              <w:t>480.</w:t>
            </w:r>
            <w:r w:rsidRPr="00153687">
              <w:rPr>
                <w:bCs/>
                <w:sz w:val="18"/>
                <w:szCs w:val="18"/>
                <w:lang w:val="ro-RO" w:eastAsia="en-US"/>
              </w:rPr>
              <w:t xml:space="preserve"> În scopul promovării lichidităţii pieţei angro de gaze naturale pe termen scurt, Agenţia poate stimula OST să întreprindă acţiuni de echilibrare în mod eficient sau să maximizeze desfăşurarea de acţiuni de echilibrare prin comerţul cu PSTS.</w:t>
            </w:r>
          </w:p>
          <w:p w:rsidR="00835550" w:rsidRPr="00153687" w:rsidRDefault="00835550" w:rsidP="00153687">
            <w:pPr>
              <w:jc w:val="both"/>
              <w:textAlignment w:val="baseline"/>
              <w:rPr>
                <w:bCs/>
                <w:sz w:val="18"/>
                <w:szCs w:val="18"/>
                <w:lang w:val="ro-RO" w:eastAsia="en-US"/>
              </w:rPr>
            </w:pPr>
          </w:p>
          <w:p w:rsidR="00641A7E" w:rsidRDefault="00641A7E" w:rsidP="00153687">
            <w:pPr>
              <w:jc w:val="both"/>
              <w:textAlignment w:val="baseline"/>
              <w:rPr>
                <w:b/>
                <w:bCs/>
                <w:sz w:val="18"/>
                <w:szCs w:val="18"/>
                <w:lang w:val="ro-RO" w:eastAsia="en-US"/>
              </w:rPr>
            </w:pPr>
          </w:p>
          <w:p w:rsidR="00153687" w:rsidRDefault="00153687" w:rsidP="00153687">
            <w:pPr>
              <w:jc w:val="both"/>
              <w:textAlignment w:val="baseline"/>
              <w:rPr>
                <w:bCs/>
                <w:sz w:val="18"/>
                <w:szCs w:val="18"/>
                <w:lang w:val="ro-RO" w:eastAsia="en-US"/>
              </w:rPr>
            </w:pPr>
            <w:r w:rsidRPr="00153687">
              <w:rPr>
                <w:b/>
                <w:bCs/>
                <w:sz w:val="18"/>
                <w:szCs w:val="18"/>
                <w:lang w:val="ro-RO" w:eastAsia="en-US"/>
              </w:rPr>
              <w:t>481.</w:t>
            </w:r>
            <w:r w:rsidRPr="00153687">
              <w:rPr>
                <w:bCs/>
                <w:sz w:val="18"/>
                <w:szCs w:val="18"/>
                <w:lang w:val="ro-RO" w:eastAsia="en-US"/>
              </w:rPr>
              <w:t xml:space="preserve"> OST poate prezenta Agenţiei, spre aprobare, un mecanism de stimulare care să fie coerent cu principiile generale stabilite în prezentul Titlu. Agenţia va examina cererea OST în termen de 30 de zile de la prezentarea informaţiei necesare.</w:t>
            </w:r>
          </w:p>
          <w:p w:rsidR="00835550" w:rsidRPr="00153687" w:rsidRDefault="00835550" w:rsidP="00153687">
            <w:pPr>
              <w:jc w:val="both"/>
              <w:textAlignment w:val="baseline"/>
              <w:rPr>
                <w:bCs/>
                <w:sz w:val="18"/>
                <w:szCs w:val="18"/>
                <w:lang w:val="ro-RO" w:eastAsia="en-US"/>
              </w:rPr>
            </w:pPr>
          </w:p>
          <w:p w:rsidR="00153687" w:rsidRPr="00153687" w:rsidRDefault="00153687" w:rsidP="00153687">
            <w:pPr>
              <w:jc w:val="both"/>
              <w:textAlignment w:val="baseline"/>
              <w:rPr>
                <w:bCs/>
                <w:sz w:val="18"/>
                <w:szCs w:val="18"/>
                <w:lang w:val="ro-RO" w:eastAsia="en-US"/>
              </w:rPr>
            </w:pPr>
            <w:r w:rsidRPr="00153687">
              <w:rPr>
                <w:b/>
                <w:bCs/>
                <w:sz w:val="18"/>
                <w:szCs w:val="18"/>
                <w:lang w:val="ro-RO" w:eastAsia="en-US"/>
              </w:rPr>
              <w:t>482.</w:t>
            </w:r>
            <w:r w:rsidRPr="00153687">
              <w:rPr>
                <w:bCs/>
                <w:sz w:val="18"/>
                <w:szCs w:val="18"/>
                <w:lang w:val="ro-RO" w:eastAsia="en-US"/>
              </w:rPr>
              <w:t xml:space="preserve"> Anterior prezentării propunerii menţionate la pct.481 OST consultă părţile interesate, la iniţiativa proprie a OST sau la solicitarea Agenţiei.</w:t>
            </w:r>
          </w:p>
          <w:p w:rsidR="00641A7E" w:rsidRDefault="00641A7E" w:rsidP="00153687">
            <w:pPr>
              <w:jc w:val="both"/>
              <w:textAlignment w:val="baseline"/>
              <w:rPr>
                <w:b/>
                <w:bCs/>
                <w:sz w:val="18"/>
                <w:szCs w:val="18"/>
                <w:lang w:val="ro-RO" w:eastAsia="en-US"/>
              </w:rPr>
            </w:pPr>
          </w:p>
          <w:p w:rsidR="00835550" w:rsidRDefault="00835550" w:rsidP="00153687">
            <w:pPr>
              <w:jc w:val="both"/>
              <w:textAlignment w:val="baseline"/>
              <w:rPr>
                <w:b/>
                <w:bCs/>
                <w:sz w:val="18"/>
                <w:szCs w:val="18"/>
                <w:lang w:val="ro-RO" w:eastAsia="en-US"/>
              </w:rPr>
            </w:pPr>
          </w:p>
          <w:p w:rsidR="00153687" w:rsidRPr="00153687" w:rsidRDefault="00153687" w:rsidP="00153687">
            <w:pPr>
              <w:jc w:val="both"/>
              <w:textAlignment w:val="baseline"/>
              <w:rPr>
                <w:bCs/>
                <w:sz w:val="18"/>
                <w:szCs w:val="18"/>
                <w:lang w:val="ro-RO" w:eastAsia="en-US"/>
              </w:rPr>
            </w:pPr>
            <w:r w:rsidRPr="00153687">
              <w:rPr>
                <w:b/>
                <w:bCs/>
                <w:sz w:val="18"/>
                <w:szCs w:val="18"/>
                <w:lang w:val="ro-RO" w:eastAsia="en-US"/>
              </w:rPr>
              <w:t>483.</w:t>
            </w:r>
            <w:r w:rsidRPr="00153687">
              <w:rPr>
                <w:bCs/>
                <w:sz w:val="18"/>
                <w:szCs w:val="18"/>
                <w:lang w:val="ro-RO" w:eastAsia="en-US"/>
              </w:rPr>
              <w:t xml:space="preserve"> Mecanismul de stimulare: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 xml:space="preserve">1) se bazează pe performanţa OST, prin intermediul plăţilor plafonate acordate acestuia în cazul unei supra performanţe şi pretinse de la acesta în cazul unei performanţe insuficiente, </w:t>
            </w:r>
            <w:r w:rsidRPr="00153687">
              <w:rPr>
                <w:bCs/>
                <w:sz w:val="18"/>
                <w:szCs w:val="18"/>
                <w:lang w:val="ro-RO" w:eastAsia="en-US"/>
              </w:rPr>
              <w:lastRenderedPageBreak/>
              <w:t>măsurate în raport cu obiectivele de performanţă prestabilite, care pot include printre altele obiective privind costurile;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 xml:space="preserve">2) ia în considerare mijloacele pe care OST le are la dispoziţie, în vederea controlului performanţei </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3) garantează faptul că aplicarea acestora reflectă în mod corect distribuirea responsabilităţilor între părţile participante;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4) este adaptat la stadiul de dezvoltare a pieţei gazelor naturale, acolo unde urmează să fie pus în aplicare;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5) face obiectul unei revizuiri periodice de către Agenţie, în strânsă colaborare cu OST, pentru a se evalua unde şi în ce măsură ar putea fi nevoie de modificări.</w:t>
            </w:r>
          </w:p>
          <w:p w:rsidR="00991E0F" w:rsidRPr="007B4D4F" w:rsidRDefault="00991E0F" w:rsidP="00DA725A">
            <w:pPr>
              <w:textAlignment w:val="baseline"/>
              <w:rPr>
                <w:b/>
                <w:bCs/>
                <w:sz w:val="18"/>
                <w:szCs w:val="18"/>
                <w:lang w:val="ro-RO" w:eastAsia="en-US"/>
              </w:rPr>
            </w:pPr>
          </w:p>
        </w:tc>
        <w:tc>
          <w:tcPr>
            <w:tcW w:w="1275" w:type="dxa"/>
            <w:shd w:val="clear" w:color="auto" w:fill="auto"/>
          </w:tcPr>
          <w:p w:rsidR="00991E0F" w:rsidRDefault="00991E0F" w:rsidP="00DA725A">
            <w:pPr>
              <w:jc w:val="both"/>
              <w:rPr>
                <w:b/>
                <w:sz w:val="18"/>
                <w:szCs w:val="18"/>
                <w:lang w:val="it-IT"/>
              </w:rPr>
            </w:pPr>
          </w:p>
          <w:p w:rsidR="00F862EE" w:rsidRDefault="00F862EE" w:rsidP="00DA725A">
            <w:pPr>
              <w:jc w:val="both"/>
              <w:rPr>
                <w:b/>
                <w:sz w:val="18"/>
                <w:szCs w:val="18"/>
                <w:lang w:val="it-IT"/>
              </w:rPr>
            </w:pPr>
          </w:p>
          <w:p w:rsidR="00F862EE" w:rsidRDefault="00F862EE" w:rsidP="00DA725A">
            <w:pPr>
              <w:jc w:val="both"/>
              <w:rPr>
                <w:b/>
                <w:sz w:val="18"/>
                <w:szCs w:val="18"/>
                <w:lang w:val="it-IT"/>
              </w:rPr>
            </w:pPr>
          </w:p>
          <w:p w:rsidR="00F862EE" w:rsidRDefault="00F862EE" w:rsidP="00DA725A">
            <w:pPr>
              <w:jc w:val="both"/>
              <w:rPr>
                <w:sz w:val="18"/>
                <w:szCs w:val="18"/>
              </w:rPr>
            </w:pPr>
            <w:r w:rsidRPr="00E55B82">
              <w:rPr>
                <w:sz w:val="18"/>
                <w:szCs w:val="18"/>
              </w:rPr>
              <w:t>Compatibil</w:t>
            </w: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1715F4" w:rsidRDefault="001715F4"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r w:rsidRPr="00E55B82">
              <w:rPr>
                <w:sz w:val="18"/>
                <w:szCs w:val="18"/>
              </w:rPr>
              <w:t>Compatibil</w:t>
            </w: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835550" w:rsidRDefault="00835550" w:rsidP="00DA725A">
            <w:pPr>
              <w:jc w:val="both"/>
              <w:rPr>
                <w:sz w:val="18"/>
                <w:szCs w:val="18"/>
              </w:rPr>
            </w:pPr>
          </w:p>
          <w:p w:rsidR="00F862EE" w:rsidRDefault="00F862EE" w:rsidP="00DA725A">
            <w:pPr>
              <w:jc w:val="both"/>
              <w:rPr>
                <w:sz w:val="18"/>
                <w:szCs w:val="18"/>
              </w:rPr>
            </w:pPr>
            <w:r w:rsidRPr="00E55B82">
              <w:rPr>
                <w:sz w:val="18"/>
                <w:szCs w:val="18"/>
              </w:rPr>
              <w:t>Compatibil</w:t>
            </w:r>
          </w:p>
          <w:p w:rsidR="001715F4" w:rsidRDefault="001715F4" w:rsidP="00DA725A">
            <w:pPr>
              <w:jc w:val="both"/>
              <w:rPr>
                <w:sz w:val="18"/>
                <w:szCs w:val="18"/>
              </w:rPr>
            </w:pPr>
          </w:p>
          <w:p w:rsidR="001715F4" w:rsidRDefault="001715F4" w:rsidP="00DA725A">
            <w:pPr>
              <w:jc w:val="both"/>
              <w:rPr>
                <w:sz w:val="18"/>
                <w:szCs w:val="18"/>
              </w:rPr>
            </w:pPr>
          </w:p>
          <w:p w:rsidR="001715F4" w:rsidRDefault="001715F4" w:rsidP="00DA725A">
            <w:pPr>
              <w:jc w:val="both"/>
              <w:rPr>
                <w:sz w:val="18"/>
                <w:szCs w:val="18"/>
              </w:rPr>
            </w:pPr>
          </w:p>
          <w:p w:rsidR="001715F4" w:rsidRDefault="001715F4" w:rsidP="00DA725A">
            <w:pPr>
              <w:jc w:val="both"/>
              <w:rPr>
                <w:sz w:val="18"/>
                <w:szCs w:val="18"/>
              </w:rPr>
            </w:pPr>
          </w:p>
          <w:p w:rsidR="00835550" w:rsidRDefault="00835550" w:rsidP="00DA725A">
            <w:pPr>
              <w:jc w:val="both"/>
              <w:rPr>
                <w:sz w:val="18"/>
                <w:szCs w:val="18"/>
              </w:rPr>
            </w:pPr>
          </w:p>
          <w:p w:rsidR="00F862EE" w:rsidRDefault="00F862EE" w:rsidP="00DA725A">
            <w:pPr>
              <w:jc w:val="both"/>
              <w:rPr>
                <w:sz w:val="18"/>
                <w:szCs w:val="18"/>
              </w:rPr>
            </w:pPr>
            <w:r w:rsidRPr="00E55B82">
              <w:rPr>
                <w:sz w:val="18"/>
                <w:szCs w:val="18"/>
              </w:rPr>
              <w:t>Compatibil</w:t>
            </w: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Pr="00D82EE4" w:rsidRDefault="00F862EE" w:rsidP="00DA725A">
            <w:pPr>
              <w:jc w:val="both"/>
              <w:rPr>
                <w:b/>
                <w:sz w:val="18"/>
                <w:szCs w:val="18"/>
                <w:lang w:val="it-IT"/>
              </w:rPr>
            </w:pPr>
          </w:p>
        </w:tc>
        <w:tc>
          <w:tcPr>
            <w:tcW w:w="4253" w:type="dxa"/>
            <w:shd w:val="clear" w:color="auto" w:fill="auto"/>
          </w:tcPr>
          <w:p w:rsidR="00122BCD" w:rsidRPr="00E84D74" w:rsidRDefault="00122BCD" w:rsidP="00DA725A">
            <w:pPr>
              <w:autoSpaceDE w:val="0"/>
              <w:autoSpaceDN w:val="0"/>
              <w:adjustRightInd w:val="0"/>
              <w:jc w:val="center"/>
              <w:rPr>
                <w:b/>
                <w:bCs/>
                <w:i/>
                <w:iCs/>
                <w:sz w:val="18"/>
                <w:szCs w:val="18"/>
              </w:rPr>
            </w:pPr>
            <w:r w:rsidRPr="00E84D74">
              <w:rPr>
                <w:b/>
                <w:bCs/>
                <w:i/>
                <w:iCs/>
                <w:sz w:val="18"/>
                <w:szCs w:val="18"/>
              </w:rPr>
              <w:lastRenderedPageBreak/>
              <w:t>Article 11</w:t>
            </w:r>
          </w:p>
          <w:p w:rsidR="00122BCD" w:rsidRPr="00E84D74" w:rsidRDefault="00122BCD" w:rsidP="00DA725A">
            <w:pPr>
              <w:autoSpaceDE w:val="0"/>
              <w:autoSpaceDN w:val="0"/>
              <w:adjustRightInd w:val="0"/>
              <w:jc w:val="center"/>
              <w:rPr>
                <w:b/>
                <w:bCs/>
                <w:sz w:val="18"/>
                <w:szCs w:val="18"/>
              </w:rPr>
            </w:pPr>
            <w:r w:rsidRPr="00E84D74">
              <w:rPr>
                <w:b/>
                <w:bCs/>
                <w:sz w:val="18"/>
                <w:szCs w:val="18"/>
              </w:rPr>
              <w:t>Incentives</w:t>
            </w:r>
          </w:p>
          <w:p w:rsidR="00122BCD" w:rsidRPr="00E84D74" w:rsidRDefault="00122BCD" w:rsidP="00DA725A">
            <w:pPr>
              <w:autoSpaceDE w:val="0"/>
              <w:autoSpaceDN w:val="0"/>
              <w:adjustRightInd w:val="0"/>
              <w:rPr>
                <w:sz w:val="18"/>
                <w:szCs w:val="18"/>
              </w:rPr>
            </w:pPr>
            <w:r w:rsidRPr="00E84D74">
              <w:rPr>
                <w:sz w:val="18"/>
                <w:szCs w:val="18"/>
              </w:rPr>
              <w:t>1. With the view to foster the liquidity of the short term wholesale gas market, the national regulatory</w:t>
            </w:r>
          </w:p>
          <w:p w:rsidR="00122BCD" w:rsidRPr="00E84D74" w:rsidRDefault="00122BCD" w:rsidP="00DA725A">
            <w:pPr>
              <w:autoSpaceDE w:val="0"/>
              <w:autoSpaceDN w:val="0"/>
              <w:adjustRightInd w:val="0"/>
              <w:rPr>
                <w:sz w:val="18"/>
                <w:szCs w:val="18"/>
              </w:rPr>
            </w:pPr>
            <w:r w:rsidRPr="00E84D74">
              <w:rPr>
                <w:sz w:val="18"/>
                <w:szCs w:val="18"/>
              </w:rPr>
              <w:t>authority can incentivise the transmission system operator to undertake balancing actions efficiently</w:t>
            </w:r>
          </w:p>
          <w:p w:rsidR="00122BCD" w:rsidRPr="00E84D74" w:rsidRDefault="00122BCD" w:rsidP="00DA725A">
            <w:pPr>
              <w:autoSpaceDE w:val="0"/>
              <w:autoSpaceDN w:val="0"/>
              <w:adjustRightInd w:val="0"/>
              <w:rPr>
                <w:sz w:val="18"/>
                <w:szCs w:val="18"/>
              </w:rPr>
            </w:pPr>
            <w:r w:rsidRPr="00E84D74">
              <w:rPr>
                <w:sz w:val="18"/>
                <w:szCs w:val="18"/>
              </w:rPr>
              <w:t>or to maximise the undertaking of balancing actions through the trade in short term standardised</w:t>
            </w:r>
          </w:p>
          <w:p w:rsidR="00122BCD" w:rsidRPr="00E84D74" w:rsidRDefault="00122BCD" w:rsidP="00DA725A">
            <w:pPr>
              <w:autoSpaceDE w:val="0"/>
              <w:autoSpaceDN w:val="0"/>
              <w:adjustRightInd w:val="0"/>
              <w:rPr>
                <w:sz w:val="18"/>
                <w:szCs w:val="18"/>
              </w:rPr>
            </w:pPr>
            <w:r w:rsidRPr="00E84D74">
              <w:rPr>
                <w:sz w:val="18"/>
                <w:szCs w:val="18"/>
              </w:rPr>
              <w:t>products.</w:t>
            </w:r>
          </w:p>
          <w:p w:rsidR="00122BCD" w:rsidRPr="00E84D74" w:rsidRDefault="00122BCD" w:rsidP="00DA725A">
            <w:pPr>
              <w:autoSpaceDE w:val="0"/>
              <w:autoSpaceDN w:val="0"/>
              <w:adjustRightInd w:val="0"/>
              <w:rPr>
                <w:sz w:val="18"/>
                <w:szCs w:val="18"/>
              </w:rPr>
            </w:pPr>
            <w:r w:rsidRPr="00E84D74">
              <w:rPr>
                <w:sz w:val="18"/>
                <w:szCs w:val="18"/>
              </w:rPr>
              <w:t>2. The transmission system operator may submit for approval to the national regulatory authority an</w:t>
            </w:r>
          </w:p>
          <w:p w:rsidR="00122BCD" w:rsidRDefault="00122BCD" w:rsidP="00DA725A">
            <w:pPr>
              <w:autoSpaceDE w:val="0"/>
              <w:autoSpaceDN w:val="0"/>
              <w:adjustRightInd w:val="0"/>
              <w:rPr>
                <w:sz w:val="18"/>
                <w:szCs w:val="18"/>
              </w:rPr>
            </w:pPr>
            <w:r w:rsidRPr="00E84D74">
              <w:rPr>
                <w:sz w:val="18"/>
                <w:szCs w:val="18"/>
              </w:rPr>
              <w:t>incentive mechanism that shall be consistent with the general principles set out in this Regulation.</w:t>
            </w:r>
          </w:p>
          <w:p w:rsidR="00835550" w:rsidRPr="00E84D74" w:rsidRDefault="00835550" w:rsidP="00DA725A">
            <w:pPr>
              <w:autoSpaceDE w:val="0"/>
              <w:autoSpaceDN w:val="0"/>
              <w:adjustRightInd w:val="0"/>
              <w:rPr>
                <w:sz w:val="18"/>
                <w:szCs w:val="18"/>
              </w:rPr>
            </w:pPr>
          </w:p>
          <w:p w:rsidR="00122BCD" w:rsidRPr="00E84D74" w:rsidRDefault="00122BCD" w:rsidP="00DA725A">
            <w:pPr>
              <w:autoSpaceDE w:val="0"/>
              <w:autoSpaceDN w:val="0"/>
              <w:adjustRightInd w:val="0"/>
              <w:rPr>
                <w:sz w:val="18"/>
                <w:szCs w:val="18"/>
              </w:rPr>
            </w:pPr>
            <w:r w:rsidRPr="00E84D74">
              <w:rPr>
                <w:sz w:val="18"/>
                <w:szCs w:val="18"/>
              </w:rPr>
              <w:t>3. Prior to submitting the proposal referred to in paragraph 2, the transmission system operator may</w:t>
            </w:r>
          </w:p>
          <w:p w:rsidR="00122BCD" w:rsidRPr="00E84D74" w:rsidRDefault="00122BCD" w:rsidP="00DA725A">
            <w:pPr>
              <w:autoSpaceDE w:val="0"/>
              <w:autoSpaceDN w:val="0"/>
              <w:adjustRightInd w:val="0"/>
              <w:rPr>
                <w:sz w:val="18"/>
                <w:szCs w:val="18"/>
              </w:rPr>
            </w:pPr>
            <w:r w:rsidRPr="00E84D74">
              <w:rPr>
                <w:sz w:val="18"/>
                <w:szCs w:val="18"/>
              </w:rPr>
              <w:t>consult stakeholders upon the transmission system operator’s own initiative or upon the national</w:t>
            </w:r>
          </w:p>
          <w:p w:rsidR="00122BCD" w:rsidRDefault="00122BCD" w:rsidP="00DA725A">
            <w:pPr>
              <w:autoSpaceDE w:val="0"/>
              <w:autoSpaceDN w:val="0"/>
              <w:adjustRightInd w:val="0"/>
              <w:rPr>
                <w:sz w:val="18"/>
                <w:szCs w:val="18"/>
              </w:rPr>
            </w:pPr>
            <w:r w:rsidRPr="00E84D74">
              <w:rPr>
                <w:sz w:val="18"/>
                <w:szCs w:val="18"/>
              </w:rPr>
              <w:t>regulatory authority’s request.</w:t>
            </w:r>
          </w:p>
          <w:p w:rsidR="00835550" w:rsidRPr="00E84D74" w:rsidRDefault="00835550" w:rsidP="00DA725A">
            <w:pPr>
              <w:autoSpaceDE w:val="0"/>
              <w:autoSpaceDN w:val="0"/>
              <w:adjustRightInd w:val="0"/>
              <w:rPr>
                <w:sz w:val="18"/>
                <w:szCs w:val="18"/>
              </w:rPr>
            </w:pPr>
          </w:p>
          <w:p w:rsidR="00122BCD" w:rsidRPr="00E84D74" w:rsidRDefault="00122BCD" w:rsidP="00DA725A">
            <w:pPr>
              <w:autoSpaceDE w:val="0"/>
              <w:autoSpaceDN w:val="0"/>
              <w:adjustRightInd w:val="0"/>
              <w:rPr>
                <w:sz w:val="18"/>
                <w:szCs w:val="18"/>
              </w:rPr>
            </w:pPr>
            <w:r w:rsidRPr="00E84D74">
              <w:rPr>
                <w:sz w:val="18"/>
                <w:szCs w:val="18"/>
              </w:rPr>
              <w:t>4. The incentive mechanism shall:</w:t>
            </w:r>
          </w:p>
          <w:p w:rsidR="00122BCD" w:rsidRPr="00E84D74" w:rsidRDefault="00122BCD" w:rsidP="00DA725A">
            <w:pPr>
              <w:autoSpaceDE w:val="0"/>
              <w:autoSpaceDN w:val="0"/>
              <w:adjustRightInd w:val="0"/>
              <w:rPr>
                <w:sz w:val="18"/>
                <w:szCs w:val="18"/>
              </w:rPr>
            </w:pPr>
            <w:r w:rsidRPr="00E84D74">
              <w:rPr>
                <w:sz w:val="18"/>
                <w:szCs w:val="18"/>
              </w:rPr>
              <w:lastRenderedPageBreak/>
              <w:t>(a) be based on the transmission system operator’s performance via capped payments to the transmission</w:t>
            </w:r>
          </w:p>
          <w:p w:rsidR="00122BCD" w:rsidRPr="00E84D74" w:rsidRDefault="00122BCD" w:rsidP="00DA725A">
            <w:pPr>
              <w:autoSpaceDE w:val="0"/>
              <w:autoSpaceDN w:val="0"/>
              <w:adjustRightInd w:val="0"/>
              <w:rPr>
                <w:sz w:val="18"/>
                <w:szCs w:val="18"/>
              </w:rPr>
            </w:pPr>
            <w:r w:rsidRPr="00E84D74">
              <w:rPr>
                <w:sz w:val="18"/>
                <w:szCs w:val="18"/>
              </w:rPr>
              <w:t>system operator for outperformance and by the transmission system operator for underperformance,</w:t>
            </w:r>
          </w:p>
          <w:p w:rsidR="00122BCD" w:rsidRPr="00E84D74" w:rsidRDefault="00122BCD" w:rsidP="00DA725A">
            <w:pPr>
              <w:autoSpaceDE w:val="0"/>
              <w:autoSpaceDN w:val="0"/>
              <w:adjustRightInd w:val="0"/>
              <w:rPr>
                <w:i/>
                <w:iCs/>
                <w:sz w:val="18"/>
                <w:szCs w:val="18"/>
              </w:rPr>
            </w:pPr>
            <w:r w:rsidRPr="00E84D74">
              <w:rPr>
                <w:sz w:val="18"/>
                <w:szCs w:val="18"/>
              </w:rPr>
              <w:t xml:space="preserve">that are measured against predetermined performance targets which may include, </w:t>
            </w:r>
            <w:r w:rsidRPr="00E84D74">
              <w:rPr>
                <w:i/>
                <w:iCs/>
                <w:sz w:val="18"/>
                <w:szCs w:val="18"/>
              </w:rPr>
              <w:t>inter</w:t>
            </w:r>
          </w:p>
          <w:p w:rsidR="00122BCD" w:rsidRPr="00E84D74" w:rsidRDefault="00122BCD" w:rsidP="00DA725A">
            <w:pPr>
              <w:autoSpaceDE w:val="0"/>
              <w:autoSpaceDN w:val="0"/>
              <w:adjustRightInd w:val="0"/>
              <w:rPr>
                <w:sz w:val="18"/>
                <w:szCs w:val="18"/>
              </w:rPr>
            </w:pPr>
            <w:r w:rsidRPr="00E84D74">
              <w:rPr>
                <w:i/>
                <w:iCs/>
                <w:sz w:val="18"/>
                <w:szCs w:val="18"/>
              </w:rPr>
              <w:t>alia</w:t>
            </w:r>
            <w:r w:rsidRPr="00E84D74">
              <w:rPr>
                <w:sz w:val="18"/>
                <w:szCs w:val="18"/>
              </w:rPr>
              <w:t>, costs targets;</w:t>
            </w:r>
          </w:p>
          <w:p w:rsidR="00122BCD" w:rsidRPr="00E84D74" w:rsidRDefault="00122BCD" w:rsidP="00DA725A">
            <w:pPr>
              <w:autoSpaceDE w:val="0"/>
              <w:autoSpaceDN w:val="0"/>
              <w:adjustRightInd w:val="0"/>
              <w:rPr>
                <w:sz w:val="18"/>
                <w:szCs w:val="18"/>
              </w:rPr>
            </w:pPr>
            <w:r w:rsidRPr="00E84D74">
              <w:rPr>
                <w:sz w:val="18"/>
                <w:szCs w:val="18"/>
              </w:rPr>
              <w:t>(b) take into account the means available to the transmission system operator to control the performance;</w:t>
            </w:r>
          </w:p>
          <w:p w:rsidR="00122BCD" w:rsidRPr="00E84D74" w:rsidRDefault="00122BCD" w:rsidP="00DA725A">
            <w:pPr>
              <w:autoSpaceDE w:val="0"/>
              <w:autoSpaceDN w:val="0"/>
              <w:adjustRightInd w:val="0"/>
              <w:rPr>
                <w:sz w:val="18"/>
                <w:szCs w:val="18"/>
              </w:rPr>
            </w:pPr>
            <w:r w:rsidRPr="00E84D74">
              <w:rPr>
                <w:sz w:val="18"/>
                <w:szCs w:val="18"/>
              </w:rPr>
              <w:t>(c) ensure that its application accurately reflects the allocation of responsibilities between the parties</w:t>
            </w:r>
          </w:p>
          <w:p w:rsidR="00122BCD" w:rsidRPr="00E84D74" w:rsidRDefault="00122BCD" w:rsidP="00DA725A">
            <w:pPr>
              <w:autoSpaceDE w:val="0"/>
              <w:autoSpaceDN w:val="0"/>
              <w:adjustRightInd w:val="0"/>
              <w:rPr>
                <w:sz w:val="18"/>
                <w:szCs w:val="18"/>
              </w:rPr>
            </w:pPr>
            <w:r w:rsidRPr="00E84D74">
              <w:rPr>
                <w:sz w:val="18"/>
                <w:szCs w:val="18"/>
              </w:rPr>
              <w:t>involved;</w:t>
            </w:r>
          </w:p>
          <w:p w:rsidR="00122BCD" w:rsidRPr="00E84D74" w:rsidRDefault="00122BCD" w:rsidP="00DA725A">
            <w:pPr>
              <w:autoSpaceDE w:val="0"/>
              <w:autoSpaceDN w:val="0"/>
              <w:adjustRightInd w:val="0"/>
              <w:rPr>
                <w:sz w:val="18"/>
                <w:szCs w:val="18"/>
              </w:rPr>
            </w:pPr>
            <w:r w:rsidRPr="00E84D74">
              <w:rPr>
                <w:sz w:val="18"/>
                <w:szCs w:val="18"/>
              </w:rPr>
              <w:t>(d) be adapted to the state of development of the relevant gas market where it is to be implemented;</w:t>
            </w:r>
          </w:p>
          <w:p w:rsidR="00122BCD" w:rsidRPr="00E84D74" w:rsidRDefault="00122BCD" w:rsidP="00DA725A">
            <w:pPr>
              <w:autoSpaceDE w:val="0"/>
              <w:autoSpaceDN w:val="0"/>
              <w:adjustRightInd w:val="0"/>
              <w:rPr>
                <w:sz w:val="18"/>
                <w:szCs w:val="18"/>
              </w:rPr>
            </w:pPr>
            <w:r w:rsidRPr="00E84D74">
              <w:rPr>
                <w:sz w:val="18"/>
                <w:szCs w:val="18"/>
              </w:rPr>
              <w:t>(e) be subject to a regular review by the national regulatory authority in close cooperation with the</w:t>
            </w:r>
          </w:p>
          <w:p w:rsidR="00122BCD" w:rsidRPr="00E84D74" w:rsidRDefault="00122BCD" w:rsidP="00DA725A">
            <w:pPr>
              <w:autoSpaceDE w:val="0"/>
              <w:autoSpaceDN w:val="0"/>
              <w:adjustRightInd w:val="0"/>
              <w:rPr>
                <w:sz w:val="18"/>
                <w:szCs w:val="18"/>
              </w:rPr>
            </w:pPr>
            <w:r w:rsidRPr="00E84D74">
              <w:rPr>
                <w:sz w:val="18"/>
                <w:szCs w:val="18"/>
              </w:rPr>
              <w:t>transmission system operator to evaluate where and to what extent changes thereto may be needed.</w:t>
            </w:r>
          </w:p>
          <w:p w:rsidR="00991E0F" w:rsidRPr="00E84D74" w:rsidRDefault="00991E0F" w:rsidP="00DA725A">
            <w:pPr>
              <w:autoSpaceDE w:val="0"/>
              <w:autoSpaceDN w:val="0"/>
              <w:adjustRightInd w:val="0"/>
              <w:jc w:val="center"/>
              <w:rPr>
                <w:b/>
                <w:bCs/>
                <w:i/>
                <w:iCs/>
                <w:sz w:val="18"/>
                <w:szCs w:val="18"/>
              </w:rPr>
            </w:pPr>
          </w:p>
        </w:tc>
      </w:tr>
      <w:tr w:rsidR="00122BCD" w:rsidRPr="00043955" w:rsidTr="00FC3840">
        <w:trPr>
          <w:trHeight w:val="1240"/>
        </w:trPr>
        <w:tc>
          <w:tcPr>
            <w:tcW w:w="5245" w:type="dxa"/>
            <w:shd w:val="clear" w:color="auto" w:fill="auto"/>
          </w:tcPr>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CAPITOLUL IV</w:t>
            </w:r>
          </w:p>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t>NOMINALIZĂRI</w:t>
            </w:r>
          </w:p>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12</w:t>
            </w:r>
          </w:p>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generale</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(1)   Cantitatea de gaz care urmează să fie menționată în nominalizare și în renominalizare este exprimată fie în kWh/z pentru nominalizările și renominalizările zilnice, fie în kWh/h pentru nominalizările și renominalizările orare. </w:t>
            </w:r>
          </w:p>
          <w:p w:rsidR="00FA1673" w:rsidRDefault="00FA1673" w:rsidP="00DA725A">
            <w:pPr>
              <w:jc w:val="both"/>
              <w:textAlignment w:val="baseline"/>
              <w:rPr>
                <w:sz w:val="18"/>
                <w:szCs w:val="18"/>
                <w:lang w:val="it-IT" w:eastAsia="en-US"/>
              </w:rPr>
            </w:pPr>
            <w:r w:rsidRPr="00981BD4">
              <w:rPr>
                <w:sz w:val="18"/>
                <w:szCs w:val="18"/>
                <w:lang w:val="it-IT" w:eastAsia="en-US"/>
              </w:rPr>
              <w:t>(2)   Operatorul de sistem de transport poate solicita utilizatorilor rețelei să ofere informații suplimentare privind nominalizările și renominalizările, pe lângă cerințele prevăzute în prezentul regulament, inclusiv, printre altele, o prognoză actualizată și suficient de detaliată a intrărilor și ieșirilor preconizate, în conformitate cu nevoile specifice ale operatorului de sistem de transport. </w:t>
            </w:r>
          </w:p>
          <w:p w:rsidR="00835550" w:rsidRPr="00981BD4" w:rsidRDefault="00835550" w:rsidP="00DA725A">
            <w:pPr>
              <w:jc w:val="both"/>
              <w:textAlignment w:val="baseline"/>
              <w:rPr>
                <w:rFonts w:ascii="Segoe UI" w:hAnsi="Segoe UI" w:cs="Segoe UI"/>
                <w:sz w:val="18"/>
                <w:szCs w:val="18"/>
                <w:lang w:val="it-IT" w:eastAsia="en-US"/>
              </w:rPr>
            </w:pPr>
          </w:p>
          <w:p w:rsidR="00FA1673" w:rsidRDefault="00FA1673" w:rsidP="00DA725A">
            <w:pPr>
              <w:jc w:val="both"/>
              <w:textAlignment w:val="baseline"/>
              <w:rPr>
                <w:sz w:val="18"/>
                <w:szCs w:val="18"/>
                <w:lang w:val="it-IT" w:eastAsia="en-US"/>
              </w:rPr>
            </w:pPr>
            <w:r w:rsidRPr="00981BD4">
              <w:rPr>
                <w:sz w:val="18"/>
                <w:szCs w:val="18"/>
                <w:lang w:val="it-IT" w:eastAsia="en-US"/>
              </w:rPr>
              <w:t>(3)   Articolele 13-16 privind nominalizările și renominalizările pentru produsele de capacitate negrupată se aplică, mutatis mutandis, nominalizărilor și renominalizărilor unice pentru produsele de capacitate grupată. Operatorii de sisteme de transport cooperează în scopul punerii în aplicare de norme privind nominalizarea și renominalizarea pentru produsele de capacitate grupată în punctele de interconectare. </w:t>
            </w:r>
          </w:p>
          <w:p w:rsidR="00835550" w:rsidRPr="00981BD4" w:rsidRDefault="00835550" w:rsidP="00DA725A">
            <w:pPr>
              <w:jc w:val="both"/>
              <w:textAlignment w:val="baseline"/>
              <w:rPr>
                <w:rFonts w:ascii="Segoe UI" w:hAnsi="Segoe UI" w:cs="Segoe UI"/>
                <w:sz w:val="18"/>
                <w:szCs w:val="18"/>
                <w:lang w:val="it-IT" w:eastAsia="en-US"/>
              </w:rPr>
            </w:pP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(4)   Articolul 15 alineatul (3) și articolul 17 alineatul (1) se aplică fără a aduce atingere normei privind duratele minime ale întreruperilor menționate la articolul 22 din Regulamentul (UE) nr. 984/2013. </w:t>
            </w:r>
          </w:p>
          <w:p w:rsidR="00122BCD" w:rsidRPr="00981BD4" w:rsidRDefault="00122BCD" w:rsidP="00DA725A">
            <w:pPr>
              <w:jc w:val="center"/>
              <w:textAlignment w:val="baseline"/>
              <w:rPr>
                <w:b/>
                <w:bCs/>
                <w:sz w:val="18"/>
                <w:szCs w:val="18"/>
                <w:lang w:val="it-IT" w:eastAsia="en-US"/>
              </w:rPr>
            </w:pPr>
          </w:p>
        </w:tc>
        <w:tc>
          <w:tcPr>
            <w:tcW w:w="4962" w:type="dxa"/>
            <w:shd w:val="clear" w:color="auto" w:fill="auto"/>
          </w:tcPr>
          <w:p w:rsidR="006C030D" w:rsidRPr="006C030D" w:rsidRDefault="006C030D" w:rsidP="006C030D">
            <w:pPr>
              <w:jc w:val="center"/>
              <w:textAlignment w:val="baseline"/>
              <w:rPr>
                <w:b/>
                <w:bCs/>
                <w:sz w:val="18"/>
                <w:szCs w:val="18"/>
                <w:lang w:val="ro-RO" w:eastAsia="en-US"/>
              </w:rPr>
            </w:pPr>
            <w:r w:rsidRPr="006C030D">
              <w:rPr>
                <w:b/>
                <w:bCs/>
                <w:sz w:val="18"/>
                <w:szCs w:val="18"/>
                <w:lang w:val="ro-RO" w:eastAsia="en-US"/>
              </w:rPr>
              <w:lastRenderedPageBreak/>
              <w:t>Capitolul IV</w:t>
            </w:r>
          </w:p>
          <w:p w:rsidR="006C030D" w:rsidRPr="006C030D" w:rsidRDefault="006C030D" w:rsidP="006C030D">
            <w:pPr>
              <w:jc w:val="center"/>
              <w:textAlignment w:val="baseline"/>
              <w:rPr>
                <w:b/>
                <w:bCs/>
                <w:sz w:val="18"/>
                <w:szCs w:val="18"/>
                <w:lang w:val="ro-RO" w:eastAsia="en-US"/>
              </w:rPr>
            </w:pPr>
            <w:r w:rsidRPr="006C030D">
              <w:rPr>
                <w:b/>
                <w:bCs/>
                <w:sz w:val="18"/>
                <w:szCs w:val="18"/>
                <w:lang w:val="ro-RO" w:eastAsia="en-US"/>
              </w:rPr>
              <w:t>NOMINALIZĂRI</w:t>
            </w:r>
          </w:p>
          <w:p w:rsidR="006C030D" w:rsidRPr="006C030D" w:rsidRDefault="006C030D" w:rsidP="00727005">
            <w:pPr>
              <w:jc w:val="center"/>
              <w:textAlignment w:val="baseline"/>
              <w:rPr>
                <w:b/>
                <w:bCs/>
                <w:sz w:val="18"/>
                <w:szCs w:val="18"/>
                <w:lang w:val="ro-RO" w:eastAsia="en-US"/>
              </w:rPr>
            </w:pPr>
            <w:r w:rsidRPr="006C030D">
              <w:rPr>
                <w:b/>
                <w:bCs/>
                <w:sz w:val="18"/>
                <w:szCs w:val="18"/>
                <w:lang w:val="ro-RO" w:eastAsia="en-US"/>
              </w:rPr>
              <w:t>Secţiunea 1</w:t>
            </w:r>
          </w:p>
          <w:p w:rsidR="006C030D" w:rsidRPr="006C030D" w:rsidRDefault="006C030D" w:rsidP="006C030D">
            <w:pPr>
              <w:jc w:val="center"/>
              <w:textAlignment w:val="baseline"/>
              <w:rPr>
                <w:b/>
                <w:bCs/>
                <w:sz w:val="18"/>
                <w:szCs w:val="18"/>
                <w:lang w:val="ro-RO" w:eastAsia="en-US"/>
              </w:rPr>
            </w:pPr>
            <w:r w:rsidRPr="006C030D">
              <w:rPr>
                <w:b/>
                <w:bCs/>
                <w:sz w:val="18"/>
                <w:szCs w:val="18"/>
                <w:lang w:val="ro-RO" w:eastAsia="en-US"/>
              </w:rPr>
              <w:t>Dispoziţii generale</w:t>
            </w:r>
          </w:p>
          <w:p w:rsidR="006C030D" w:rsidRPr="006C030D" w:rsidRDefault="006C030D" w:rsidP="006C030D">
            <w:pPr>
              <w:textAlignment w:val="baseline"/>
              <w:rPr>
                <w:bCs/>
                <w:sz w:val="18"/>
                <w:szCs w:val="18"/>
                <w:lang w:val="ro-RO" w:eastAsia="en-US"/>
              </w:rPr>
            </w:pPr>
            <w:r w:rsidRPr="006C030D">
              <w:rPr>
                <w:b/>
                <w:bCs/>
                <w:sz w:val="18"/>
                <w:szCs w:val="18"/>
                <w:lang w:val="ro-RO" w:eastAsia="en-US"/>
              </w:rPr>
              <w:t>484.</w:t>
            </w:r>
            <w:r w:rsidRPr="006C030D">
              <w:rPr>
                <w:bCs/>
                <w:sz w:val="18"/>
                <w:szCs w:val="18"/>
                <w:lang w:val="ro-RO" w:eastAsia="en-US"/>
              </w:rPr>
              <w:t xml:space="preserve"> Cantitatea de gaze naturale care urmează să fie menţionată în nominalizare şi în renominalizare este exprimată fie în kWh/zi pentru nominalizările şi renominalizările zilnice, fie în kWh/h pentru nominalizările şi renominalizările orare.</w:t>
            </w:r>
          </w:p>
          <w:p w:rsidR="006C030D" w:rsidRPr="006C030D" w:rsidRDefault="006C030D" w:rsidP="006C030D">
            <w:pPr>
              <w:textAlignment w:val="baseline"/>
              <w:rPr>
                <w:bCs/>
                <w:sz w:val="18"/>
                <w:szCs w:val="18"/>
                <w:lang w:val="ro-RO" w:eastAsia="en-US"/>
              </w:rPr>
            </w:pPr>
            <w:r w:rsidRPr="006C030D">
              <w:rPr>
                <w:b/>
                <w:bCs/>
                <w:sz w:val="18"/>
                <w:szCs w:val="18"/>
                <w:lang w:val="ro-RO" w:eastAsia="en-US"/>
              </w:rPr>
              <w:t>485.</w:t>
            </w:r>
            <w:r w:rsidRPr="006C030D">
              <w:rPr>
                <w:bCs/>
                <w:sz w:val="18"/>
                <w:szCs w:val="18"/>
                <w:lang w:val="ro-RO" w:eastAsia="en-US"/>
              </w:rPr>
              <w:t xml:space="preserve"> OST poate solicita utilizatorilor de sistem să ofere informaţii suplimentare privind nominalizările şi renominalizările, pe lângă cerinţele prevăzute în prezentul Titlu, inclusiv o prognoză actualizată şi detaliată a intrărilor şi ieşirilor prognozate, în conformitate cu necesităţile specifice ale OST.</w:t>
            </w:r>
          </w:p>
          <w:p w:rsidR="00641A7E" w:rsidRDefault="00641A7E" w:rsidP="006C030D">
            <w:pPr>
              <w:textAlignment w:val="baseline"/>
              <w:rPr>
                <w:b/>
                <w:bCs/>
                <w:sz w:val="18"/>
                <w:szCs w:val="18"/>
                <w:lang w:val="ro-RO" w:eastAsia="en-US"/>
              </w:rPr>
            </w:pPr>
          </w:p>
          <w:p w:rsidR="00D92F0C" w:rsidRDefault="00D92F0C" w:rsidP="006C030D">
            <w:pPr>
              <w:textAlignment w:val="baseline"/>
              <w:rPr>
                <w:b/>
                <w:bCs/>
                <w:sz w:val="18"/>
                <w:szCs w:val="18"/>
                <w:lang w:val="ro-RO" w:eastAsia="en-US"/>
              </w:rPr>
            </w:pPr>
          </w:p>
          <w:p w:rsidR="006C030D" w:rsidRPr="00641A7E" w:rsidRDefault="006C030D" w:rsidP="006C030D">
            <w:pPr>
              <w:textAlignment w:val="baseline"/>
              <w:rPr>
                <w:b/>
                <w:bCs/>
                <w:sz w:val="18"/>
                <w:szCs w:val="18"/>
                <w:lang w:val="ro-RO" w:eastAsia="en-US"/>
              </w:rPr>
            </w:pPr>
            <w:r w:rsidRPr="006C030D">
              <w:rPr>
                <w:b/>
                <w:bCs/>
                <w:sz w:val="18"/>
                <w:szCs w:val="18"/>
                <w:lang w:val="ro-RO" w:eastAsia="en-US"/>
              </w:rPr>
              <w:t>486.</w:t>
            </w:r>
            <w:r w:rsidRPr="006C030D">
              <w:rPr>
                <w:bCs/>
                <w:sz w:val="18"/>
                <w:szCs w:val="18"/>
                <w:lang w:val="ro-RO" w:eastAsia="en-US"/>
              </w:rPr>
              <w:t xml:space="preserve"> Secţiunile 2-5 din prezentul prezentul Capitol, privind nominalizările şi renominalizările pentru produsele de capacitate negrupată se aplică, mutatis mutandis, nominalizărilor şi renominalizărilor unice pentru produsele de capacitate grupată. OST cooperează în scopul punerii în aplicare a normelor privind nominalizarea şi renominalizarea pentru produsele de capacitate grupată în punctele de interconectare. </w:t>
            </w:r>
          </w:p>
          <w:p w:rsidR="00727005" w:rsidRDefault="00727005" w:rsidP="006C030D">
            <w:pPr>
              <w:textAlignment w:val="baseline"/>
              <w:rPr>
                <w:b/>
                <w:bCs/>
                <w:sz w:val="18"/>
                <w:szCs w:val="18"/>
                <w:lang w:val="ro-RO" w:eastAsia="en-US"/>
              </w:rPr>
            </w:pPr>
          </w:p>
          <w:p w:rsidR="006C030D" w:rsidRPr="006C030D" w:rsidRDefault="006C030D" w:rsidP="006C030D">
            <w:pPr>
              <w:textAlignment w:val="baseline"/>
              <w:rPr>
                <w:bCs/>
                <w:sz w:val="18"/>
                <w:szCs w:val="18"/>
                <w:lang w:val="ro-RO" w:eastAsia="en-US"/>
              </w:rPr>
            </w:pPr>
            <w:r w:rsidRPr="006C030D">
              <w:rPr>
                <w:b/>
                <w:bCs/>
                <w:sz w:val="18"/>
                <w:szCs w:val="18"/>
                <w:lang w:val="ro-RO" w:eastAsia="en-US"/>
              </w:rPr>
              <w:t>487.</w:t>
            </w:r>
            <w:r w:rsidRPr="006C030D">
              <w:rPr>
                <w:bCs/>
                <w:sz w:val="18"/>
                <w:szCs w:val="18"/>
                <w:lang w:val="ro-RO" w:eastAsia="en-US"/>
              </w:rPr>
              <w:t xml:space="preserve"> Pct.497 şi pct.500 se aplică fără a aduce atingere normei privind duratele minime ale întreruperilor menţionate la pct.306.</w:t>
            </w:r>
          </w:p>
          <w:p w:rsidR="00122BCD" w:rsidRPr="006C030D" w:rsidRDefault="00122BCD" w:rsidP="00DA725A">
            <w:pPr>
              <w:jc w:val="center"/>
              <w:textAlignment w:val="baseline"/>
              <w:rPr>
                <w:b/>
                <w:bCs/>
                <w:sz w:val="18"/>
                <w:szCs w:val="18"/>
                <w:lang w:val="ro-RO" w:eastAsia="en-US"/>
              </w:rPr>
            </w:pPr>
          </w:p>
        </w:tc>
        <w:tc>
          <w:tcPr>
            <w:tcW w:w="1275" w:type="dxa"/>
            <w:shd w:val="clear" w:color="auto" w:fill="auto"/>
          </w:tcPr>
          <w:p w:rsidR="00122BCD" w:rsidRDefault="00122BCD" w:rsidP="00DA725A">
            <w:pPr>
              <w:jc w:val="both"/>
              <w:rPr>
                <w:b/>
                <w:sz w:val="18"/>
                <w:szCs w:val="18"/>
                <w:lang w:val="it-IT"/>
              </w:rPr>
            </w:pPr>
          </w:p>
          <w:p w:rsidR="00652384" w:rsidRDefault="00652384" w:rsidP="00DA725A">
            <w:pPr>
              <w:jc w:val="both"/>
              <w:rPr>
                <w:b/>
                <w:sz w:val="18"/>
                <w:szCs w:val="18"/>
                <w:lang w:val="it-IT"/>
              </w:rPr>
            </w:pPr>
          </w:p>
          <w:p w:rsidR="00652384" w:rsidRDefault="00652384" w:rsidP="00DA725A">
            <w:pPr>
              <w:jc w:val="both"/>
              <w:rPr>
                <w:b/>
                <w:sz w:val="18"/>
                <w:szCs w:val="18"/>
                <w:lang w:val="it-IT"/>
              </w:rPr>
            </w:pPr>
          </w:p>
          <w:p w:rsidR="00652384" w:rsidRDefault="00652384" w:rsidP="00DA725A">
            <w:pPr>
              <w:jc w:val="both"/>
              <w:rPr>
                <w:b/>
                <w:sz w:val="18"/>
                <w:szCs w:val="18"/>
                <w:lang w:val="it-IT"/>
              </w:rPr>
            </w:pPr>
          </w:p>
          <w:p w:rsidR="00652384" w:rsidRPr="003942C7" w:rsidRDefault="00652384" w:rsidP="00DA725A">
            <w:pPr>
              <w:jc w:val="both"/>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Default="00652384" w:rsidP="00DA725A">
            <w:pPr>
              <w:jc w:val="both"/>
              <w:rPr>
                <w:sz w:val="18"/>
                <w:szCs w:val="18"/>
                <w:lang w:val="it-IT"/>
              </w:rPr>
            </w:pPr>
          </w:p>
          <w:p w:rsidR="003942C7" w:rsidRPr="003942C7" w:rsidRDefault="003942C7" w:rsidP="00DA725A">
            <w:pPr>
              <w:jc w:val="both"/>
              <w:rPr>
                <w:sz w:val="18"/>
                <w:szCs w:val="18"/>
                <w:lang w:val="it-IT"/>
              </w:rPr>
            </w:pPr>
          </w:p>
          <w:p w:rsidR="00652384" w:rsidRPr="003942C7" w:rsidRDefault="00652384" w:rsidP="00DA725A">
            <w:pPr>
              <w:jc w:val="both"/>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Default="00652384" w:rsidP="00DA725A">
            <w:pPr>
              <w:jc w:val="both"/>
              <w:rPr>
                <w:sz w:val="18"/>
                <w:szCs w:val="18"/>
                <w:lang w:val="it-IT"/>
              </w:rPr>
            </w:pPr>
          </w:p>
          <w:p w:rsidR="003942C7" w:rsidRDefault="003942C7" w:rsidP="00DA725A">
            <w:pPr>
              <w:jc w:val="both"/>
              <w:rPr>
                <w:sz w:val="18"/>
                <w:szCs w:val="18"/>
                <w:lang w:val="it-IT"/>
              </w:rPr>
            </w:pPr>
          </w:p>
          <w:p w:rsidR="003942C7" w:rsidRDefault="003942C7" w:rsidP="00DA725A">
            <w:pPr>
              <w:jc w:val="both"/>
              <w:rPr>
                <w:sz w:val="18"/>
                <w:szCs w:val="18"/>
                <w:lang w:val="it-IT"/>
              </w:rPr>
            </w:pPr>
          </w:p>
          <w:p w:rsidR="004C3779" w:rsidRDefault="004C3779" w:rsidP="00DA725A">
            <w:pPr>
              <w:jc w:val="both"/>
              <w:rPr>
                <w:sz w:val="18"/>
                <w:szCs w:val="18"/>
                <w:lang w:val="it-IT"/>
              </w:rPr>
            </w:pPr>
          </w:p>
          <w:p w:rsidR="004C3779" w:rsidRDefault="004C3779" w:rsidP="00DA725A">
            <w:pPr>
              <w:jc w:val="both"/>
              <w:rPr>
                <w:sz w:val="18"/>
                <w:szCs w:val="18"/>
                <w:lang w:val="it-IT"/>
              </w:rPr>
            </w:pPr>
          </w:p>
          <w:p w:rsidR="003942C7" w:rsidRPr="003942C7" w:rsidRDefault="003942C7" w:rsidP="00DA725A">
            <w:pPr>
              <w:jc w:val="both"/>
              <w:rPr>
                <w:sz w:val="18"/>
                <w:szCs w:val="18"/>
                <w:lang w:val="it-IT"/>
              </w:rPr>
            </w:pPr>
          </w:p>
          <w:p w:rsidR="003942C7" w:rsidRPr="003942C7" w:rsidRDefault="003942C7" w:rsidP="00DA725A">
            <w:pPr>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Pr="003942C7" w:rsidRDefault="00652384" w:rsidP="00DA725A">
            <w:pPr>
              <w:jc w:val="both"/>
              <w:rPr>
                <w:sz w:val="18"/>
                <w:szCs w:val="18"/>
                <w:lang w:val="it-IT"/>
              </w:rPr>
            </w:pPr>
          </w:p>
          <w:p w:rsidR="001715F4" w:rsidRPr="003942C7" w:rsidRDefault="001715F4" w:rsidP="00DA725A">
            <w:pPr>
              <w:jc w:val="both"/>
              <w:rPr>
                <w:sz w:val="18"/>
                <w:szCs w:val="18"/>
                <w:lang w:val="it-IT"/>
              </w:rPr>
            </w:pPr>
          </w:p>
          <w:p w:rsidR="003942C7" w:rsidRPr="003942C7" w:rsidRDefault="003942C7" w:rsidP="00DA725A">
            <w:pPr>
              <w:jc w:val="both"/>
              <w:rPr>
                <w:sz w:val="18"/>
                <w:szCs w:val="18"/>
                <w:lang w:val="it-IT"/>
              </w:rPr>
            </w:pPr>
          </w:p>
          <w:p w:rsidR="003942C7" w:rsidRDefault="003942C7" w:rsidP="00DA725A">
            <w:pPr>
              <w:jc w:val="both"/>
              <w:rPr>
                <w:sz w:val="18"/>
                <w:szCs w:val="18"/>
                <w:lang w:val="it-IT"/>
              </w:rPr>
            </w:pPr>
          </w:p>
          <w:p w:rsidR="00835550" w:rsidRDefault="00835550" w:rsidP="00DA725A">
            <w:pPr>
              <w:jc w:val="both"/>
              <w:rPr>
                <w:sz w:val="18"/>
                <w:szCs w:val="18"/>
                <w:lang w:val="it-IT"/>
              </w:rPr>
            </w:pPr>
          </w:p>
          <w:p w:rsidR="00652384" w:rsidRPr="003942C7" w:rsidRDefault="00652384" w:rsidP="00DA725A">
            <w:pPr>
              <w:jc w:val="both"/>
              <w:rPr>
                <w:sz w:val="18"/>
                <w:szCs w:val="18"/>
                <w:lang w:val="it-IT"/>
              </w:rPr>
            </w:pPr>
          </w:p>
          <w:p w:rsidR="00652384" w:rsidRPr="003942C7" w:rsidRDefault="00652384" w:rsidP="00DA725A">
            <w:pPr>
              <w:jc w:val="both"/>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Pr="003942C7" w:rsidRDefault="00652384" w:rsidP="00DA725A">
            <w:pPr>
              <w:jc w:val="both"/>
              <w:rPr>
                <w:sz w:val="18"/>
                <w:szCs w:val="18"/>
                <w:lang w:val="it-IT"/>
              </w:rPr>
            </w:pPr>
          </w:p>
          <w:p w:rsidR="00652384" w:rsidRPr="00D82EE4" w:rsidRDefault="00652384" w:rsidP="00DA725A">
            <w:pPr>
              <w:jc w:val="both"/>
              <w:rPr>
                <w:b/>
                <w:sz w:val="18"/>
                <w:szCs w:val="18"/>
                <w:lang w:val="it-IT"/>
              </w:rPr>
            </w:pPr>
          </w:p>
        </w:tc>
        <w:tc>
          <w:tcPr>
            <w:tcW w:w="4253" w:type="dxa"/>
            <w:shd w:val="clear" w:color="auto" w:fill="auto"/>
          </w:tcPr>
          <w:p w:rsidR="00FA1673" w:rsidRPr="00E84D74" w:rsidRDefault="00FA1673" w:rsidP="00DA725A">
            <w:pPr>
              <w:autoSpaceDE w:val="0"/>
              <w:autoSpaceDN w:val="0"/>
              <w:adjustRightInd w:val="0"/>
              <w:jc w:val="center"/>
              <w:rPr>
                <w:b/>
                <w:sz w:val="18"/>
                <w:szCs w:val="18"/>
              </w:rPr>
            </w:pPr>
            <w:r w:rsidRPr="00E84D74">
              <w:rPr>
                <w:b/>
                <w:sz w:val="18"/>
                <w:szCs w:val="18"/>
              </w:rPr>
              <w:lastRenderedPageBreak/>
              <w:t>CHAPTER IV</w:t>
            </w:r>
          </w:p>
          <w:p w:rsidR="00FA1673" w:rsidRPr="00E84D74" w:rsidRDefault="00FA1673" w:rsidP="00DA725A">
            <w:pPr>
              <w:autoSpaceDE w:val="0"/>
              <w:autoSpaceDN w:val="0"/>
              <w:adjustRightInd w:val="0"/>
              <w:jc w:val="center"/>
              <w:rPr>
                <w:b/>
                <w:sz w:val="18"/>
                <w:szCs w:val="18"/>
              </w:rPr>
            </w:pPr>
            <w:r w:rsidRPr="00E84D74">
              <w:rPr>
                <w:b/>
                <w:sz w:val="18"/>
                <w:szCs w:val="18"/>
              </w:rPr>
              <w:t>NOMINATIONS</w:t>
            </w:r>
          </w:p>
          <w:p w:rsidR="00FA1673" w:rsidRPr="00E84D74" w:rsidRDefault="00FA1673" w:rsidP="00DA725A">
            <w:pPr>
              <w:autoSpaceDE w:val="0"/>
              <w:autoSpaceDN w:val="0"/>
              <w:adjustRightInd w:val="0"/>
              <w:jc w:val="center"/>
              <w:rPr>
                <w:b/>
                <w:sz w:val="18"/>
                <w:szCs w:val="18"/>
              </w:rPr>
            </w:pPr>
            <w:r w:rsidRPr="00E84D74">
              <w:rPr>
                <w:b/>
                <w:sz w:val="18"/>
                <w:szCs w:val="18"/>
              </w:rPr>
              <w:t>Article 12</w:t>
            </w:r>
          </w:p>
          <w:p w:rsidR="00FA1673" w:rsidRPr="00E84D74" w:rsidRDefault="00FA1673" w:rsidP="00DA725A">
            <w:pPr>
              <w:autoSpaceDE w:val="0"/>
              <w:autoSpaceDN w:val="0"/>
              <w:adjustRightInd w:val="0"/>
              <w:jc w:val="center"/>
              <w:rPr>
                <w:b/>
                <w:sz w:val="18"/>
                <w:szCs w:val="18"/>
              </w:rPr>
            </w:pPr>
            <w:r w:rsidRPr="00E84D74">
              <w:rPr>
                <w:b/>
                <w:sz w:val="18"/>
                <w:szCs w:val="18"/>
              </w:rPr>
              <w:t>General provisions</w:t>
            </w:r>
          </w:p>
          <w:p w:rsidR="00FA1673" w:rsidRPr="00E84D74" w:rsidRDefault="00FA1673" w:rsidP="00997596">
            <w:pPr>
              <w:autoSpaceDE w:val="0"/>
              <w:autoSpaceDN w:val="0"/>
              <w:adjustRightInd w:val="0"/>
              <w:jc w:val="both"/>
              <w:rPr>
                <w:sz w:val="18"/>
                <w:szCs w:val="18"/>
              </w:rPr>
            </w:pPr>
            <w:r w:rsidRPr="00E84D74">
              <w:rPr>
                <w:sz w:val="18"/>
                <w:szCs w:val="18"/>
              </w:rPr>
              <w:t>1. The gas quantity to be specified in the nomination and re-nomination shall be expressed either in kWh/d for daily nominations and re-nominations or in kWh/h for hourly nominations and re-nominations.</w:t>
            </w:r>
          </w:p>
          <w:p w:rsidR="00FA1673" w:rsidRPr="00E84D74" w:rsidRDefault="00FA1673" w:rsidP="00997596">
            <w:pPr>
              <w:autoSpaceDE w:val="0"/>
              <w:autoSpaceDN w:val="0"/>
              <w:adjustRightInd w:val="0"/>
              <w:jc w:val="both"/>
              <w:rPr>
                <w:sz w:val="18"/>
                <w:szCs w:val="18"/>
              </w:rPr>
            </w:pPr>
            <w:r w:rsidRPr="00E84D74">
              <w:rPr>
                <w:sz w:val="18"/>
                <w:szCs w:val="18"/>
              </w:rPr>
              <w:t>2. The transmission system operator may require network users to provide further information on nominations and re-nominations in addition to the requirements set out in this Regulation, including, inter alia, an accurate, updated and sufficiently detailed forecast of the expected inputs and off-takes, this in accordance with the specific need(s) of the transmission system operator.</w:t>
            </w:r>
          </w:p>
          <w:p w:rsidR="00FA1673" w:rsidRPr="00E84D74" w:rsidRDefault="00FA1673" w:rsidP="00997596">
            <w:pPr>
              <w:autoSpaceDE w:val="0"/>
              <w:autoSpaceDN w:val="0"/>
              <w:adjustRightInd w:val="0"/>
              <w:jc w:val="both"/>
              <w:rPr>
                <w:sz w:val="18"/>
                <w:szCs w:val="18"/>
              </w:rPr>
            </w:pPr>
            <w:r w:rsidRPr="00E84D74">
              <w:rPr>
                <w:sz w:val="18"/>
                <w:szCs w:val="18"/>
              </w:rPr>
              <w:t>3. Articles 13 to 16 regarding nominations and renominations for unbundled capacity products shall apply mutatis mutandis to single nominations and renominations for bundled capacity products.</w:t>
            </w:r>
          </w:p>
          <w:p w:rsidR="00FA1673" w:rsidRPr="00E84D74" w:rsidRDefault="00FA1673" w:rsidP="00997596">
            <w:pPr>
              <w:autoSpaceDE w:val="0"/>
              <w:autoSpaceDN w:val="0"/>
              <w:adjustRightInd w:val="0"/>
              <w:jc w:val="both"/>
              <w:rPr>
                <w:sz w:val="18"/>
                <w:szCs w:val="18"/>
              </w:rPr>
            </w:pPr>
            <w:r w:rsidRPr="00E84D74">
              <w:rPr>
                <w:sz w:val="18"/>
                <w:szCs w:val="18"/>
              </w:rPr>
              <w:t>Transmission system operators shall cooperate for the purpose of implementing nomination and re-nomination rules for bundled capacity products at interconnection points.</w:t>
            </w:r>
          </w:p>
          <w:p w:rsidR="00122BCD" w:rsidRPr="004C3779" w:rsidRDefault="00FA1673" w:rsidP="00997596">
            <w:pPr>
              <w:autoSpaceDE w:val="0"/>
              <w:autoSpaceDN w:val="0"/>
              <w:adjustRightInd w:val="0"/>
              <w:jc w:val="both"/>
              <w:rPr>
                <w:sz w:val="18"/>
                <w:szCs w:val="18"/>
              </w:rPr>
            </w:pPr>
            <w:r w:rsidRPr="00E84D74">
              <w:rPr>
                <w:sz w:val="18"/>
                <w:szCs w:val="18"/>
              </w:rPr>
              <w:t xml:space="preserve">4. Article 15(3) and Article 17(1) shall be without prejudice to the rule for minimum interruption lead times referred to in Article 33 of Commission Regulation (EU) </w:t>
            </w:r>
            <w:r w:rsidRPr="00E84D74">
              <w:rPr>
                <w:sz w:val="18"/>
                <w:szCs w:val="18"/>
              </w:rPr>
              <w:lastRenderedPageBreak/>
              <w:t>No 459/2017 of 16 March 2017 establishing a Network Code on Capacity Allocation Mechanisms in Gas Transmission Systems and repe</w:t>
            </w:r>
            <w:r w:rsidR="004C3779">
              <w:rPr>
                <w:sz w:val="18"/>
                <w:szCs w:val="18"/>
              </w:rPr>
              <w:t>aling Regulation (EU) 984/2013.</w:t>
            </w:r>
          </w:p>
        </w:tc>
      </w:tr>
      <w:tr w:rsidR="00122BCD" w:rsidRPr="00043955" w:rsidTr="00FC3840">
        <w:trPr>
          <w:trHeight w:val="1240"/>
        </w:trPr>
        <w:tc>
          <w:tcPr>
            <w:tcW w:w="5245" w:type="dxa"/>
            <w:shd w:val="clear" w:color="auto" w:fill="auto"/>
          </w:tcPr>
          <w:p w:rsidR="00FA1673" w:rsidRPr="00981BD4" w:rsidRDefault="00FA1673" w:rsidP="00DA725A">
            <w:pPr>
              <w:jc w:val="center"/>
              <w:textAlignment w:val="baseline"/>
              <w:rPr>
                <w:rFonts w:ascii="Segoe UI" w:hAnsi="Segoe UI" w:cs="Segoe UI"/>
                <w:sz w:val="18"/>
                <w:szCs w:val="18"/>
                <w:lang w:val="it-IT" w:eastAsia="en-US"/>
              </w:rPr>
            </w:pPr>
            <w:r w:rsidRPr="00380C00">
              <w:rPr>
                <w:b/>
                <w:bCs/>
                <w:sz w:val="18"/>
                <w:szCs w:val="18"/>
                <w:lang w:val="it-IT" w:eastAsia="en-US"/>
              </w:rPr>
              <w:lastRenderedPageBreak/>
              <w:t>A</w:t>
            </w:r>
            <w:r w:rsidRPr="00981BD4">
              <w:rPr>
                <w:b/>
                <w:bCs/>
                <w:sz w:val="18"/>
                <w:szCs w:val="18"/>
                <w:lang w:val="it-IT" w:eastAsia="en-US"/>
              </w:rPr>
              <w:t>rticolul 13</w:t>
            </w:r>
          </w:p>
          <w:p w:rsidR="00FA1673" w:rsidRPr="00981BD4" w:rsidRDefault="00FA1673" w:rsidP="00DA725A">
            <w:pPr>
              <w:jc w:val="center"/>
              <w:textAlignment w:val="baseline"/>
              <w:rPr>
                <w:rFonts w:ascii="Segoe UI" w:hAnsi="Segoe UI" w:cs="Segoe UI"/>
                <w:sz w:val="18"/>
                <w:szCs w:val="18"/>
                <w:lang w:val="it-IT" w:eastAsia="en-US"/>
              </w:rPr>
            </w:pPr>
            <w:r w:rsidRPr="00981BD4">
              <w:rPr>
                <w:sz w:val="18"/>
                <w:szCs w:val="18"/>
                <w:lang w:val="it-IT" w:eastAsia="en-US"/>
              </w:rPr>
              <w:t>I</w:t>
            </w:r>
            <w:r w:rsidRPr="00981BD4">
              <w:rPr>
                <w:b/>
                <w:bCs/>
                <w:sz w:val="18"/>
                <w:szCs w:val="18"/>
                <w:lang w:val="it-IT" w:eastAsia="en-US"/>
              </w:rPr>
              <w:t>nformații privind nominalizările și renominalizările în punctele de interconectare</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Nominalizările și renominalizările furnizate de către utilizatorii rețelei operatorilor de sisteme de transport cu privire la punctele de interconectare trebuie să conțină cel puțin următoarele informații: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1.</w:t>
            </w:r>
            <w:r w:rsidRPr="00981BD4">
              <w:rPr>
                <w:rFonts w:ascii="Calibri" w:hAnsi="Calibri" w:cs="Calibri"/>
                <w:sz w:val="18"/>
                <w:szCs w:val="18"/>
                <w:lang w:val="it-IT" w:eastAsia="en-US"/>
              </w:rPr>
              <w:t xml:space="preserve"> </w:t>
            </w:r>
            <w:r w:rsidRPr="00981BD4">
              <w:rPr>
                <w:sz w:val="18"/>
                <w:szCs w:val="18"/>
                <w:lang w:val="it-IT" w:eastAsia="en-US"/>
              </w:rPr>
              <w:t>identificarea punctului de interconectare;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direcția fluxului de gaz;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3.</w:t>
            </w:r>
            <w:r w:rsidRPr="00981BD4">
              <w:rPr>
                <w:rFonts w:ascii="Calibri" w:hAnsi="Calibri" w:cs="Calibri"/>
                <w:sz w:val="18"/>
                <w:szCs w:val="18"/>
                <w:lang w:val="it-IT" w:eastAsia="en-US"/>
              </w:rPr>
              <w:t xml:space="preserve"> </w:t>
            </w:r>
            <w:r w:rsidRPr="00981BD4">
              <w:rPr>
                <w:sz w:val="18"/>
                <w:szCs w:val="18"/>
                <w:lang w:val="it-IT" w:eastAsia="en-US"/>
              </w:rPr>
              <w:t>datele de identificare ale utilizatorului rețelei sau, dacă este cazul, datele de identificare ale portofoliului de echilibrare al acestuia;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4.</w:t>
            </w:r>
            <w:r w:rsidRPr="00981BD4">
              <w:rPr>
                <w:rFonts w:ascii="Calibri" w:hAnsi="Calibri" w:cs="Calibri"/>
                <w:sz w:val="18"/>
                <w:szCs w:val="18"/>
                <w:lang w:val="it-IT" w:eastAsia="en-US"/>
              </w:rPr>
              <w:t xml:space="preserve"> </w:t>
            </w:r>
            <w:r w:rsidRPr="00981BD4">
              <w:rPr>
                <w:sz w:val="18"/>
                <w:szCs w:val="18"/>
                <w:lang w:val="it-IT" w:eastAsia="en-US"/>
              </w:rPr>
              <w:t>datele de identificare ale contrapărții utilizatorului rețelei sau, dacă se aplică, datele de identificare ale portofoliului de echilibrare al acestuia;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5.</w:t>
            </w:r>
            <w:r w:rsidRPr="00981BD4">
              <w:rPr>
                <w:rFonts w:ascii="Calibri" w:hAnsi="Calibri" w:cs="Calibri"/>
                <w:sz w:val="18"/>
                <w:szCs w:val="18"/>
                <w:lang w:val="it-IT" w:eastAsia="en-US"/>
              </w:rPr>
              <w:t xml:space="preserve"> </w:t>
            </w:r>
            <w:r w:rsidRPr="00981BD4">
              <w:rPr>
                <w:sz w:val="18"/>
                <w:szCs w:val="18"/>
                <w:lang w:val="it-IT" w:eastAsia="en-US"/>
              </w:rPr>
              <w:t>momentul de început și de sfârșit al fluxului de gaz pentru care este prezentată nominalizarea sau renominalizarea;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6.</w:t>
            </w:r>
            <w:r w:rsidRPr="00981BD4">
              <w:rPr>
                <w:rFonts w:ascii="Calibri" w:hAnsi="Calibri" w:cs="Calibri"/>
                <w:sz w:val="18"/>
                <w:szCs w:val="18"/>
                <w:lang w:val="it-IT" w:eastAsia="en-US"/>
              </w:rPr>
              <w:t xml:space="preserve"> </w:t>
            </w:r>
            <w:r w:rsidRPr="00981BD4">
              <w:rPr>
                <w:sz w:val="18"/>
                <w:szCs w:val="18"/>
                <w:lang w:val="it-IT" w:eastAsia="en-US"/>
              </w:rPr>
              <w:t>ziua gazieră Z;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7.</w:t>
            </w:r>
            <w:r w:rsidRPr="00981BD4">
              <w:rPr>
                <w:rFonts w:ascii="Calibri" w:hAnsi="Calibri" w:cs="Calibri"/>
                <w:sz w:val="18"/>
                <w:szCs w:val="18"/>
                <w:lang w:val="it-IT" w:eastAsia="en-US"/>
              </w:rPr>
              <w:t xml:space="preserve"> </w:t>
            </w:r>
            <w:r w:rsidRPr="00981BD4">
              <w:rPr>
                <w:sz w:val="18"/>
                <w:szCs w:val="18"/>
                <w:lang w:val="it-IT" w:eastAsia="en-US"/>
              </w:rPr>
              <w:t>cantitatea de gaz care se solicită să fie transportată. </w:t>
            </w:r>
          </w:p>
          <w:p w:rsidR="00122BCD" w:rsidRPr="00981BD4" w:rsidRDefault="00122BCD" w:rsidP="00DA725A">
            <w:pPr>
              <w:jc w:val="center"/>
              <w:textAlignment w:val="baseline"/>
              <w:rPr>
                <w:b/>
                <w:bCs/>
                <w:sz w:val="18"/>
                <w:szCs w:val="18"/>
                <w:lang w:val="it-IT" w:eastAsia="en-US"/>
              </w:rPr>
            </w:pPr>
          </w:p>
        </w:tc>
        <w:tc>
          <w:tcPr>
            <w:tcW w:w="4962" w:type="dxa"/>
            <w:shd w:val="clear" w:color="auto" w:fill="auto"/>
          </w:tcPr>
          <w:p w:rsidR="0083397B" w:rsidRPr="0083397B" w:rsidRDefault="0083397B" w:rsidP="0083397B">
            <w:pPr>
              <w:jc w:val="center"/>
              <w:textAlignment w:val="baseline"/>
              <w:rPr>
                <w:b/>
                <w:bCs/>
                <w:sz w:val="18"/>
                <w:szCs w:val="18"/>
                <w:lang w:val="ro-RO" w:eastAsia="en-US"/>
              </w:rPr>
            </w:pPr>
            <w:r w:rsidRPr="0083397B">
              <w:rPr>
                <w:b/>
                <w:bCs/>
                <w:sz w:val="18"/>
                <w:szCs w:val="18"/>
                <w:lang w:val="ro-RO" w:eastAsia="en-US"/>
              </w:rPr>
              <w:t>Secţiunea 2</w:t>
            </w:r>
          </w:p>
          <w:p w:rsidR="0083397B" w:rsidRPr="0083397B" w:rsidRDefault="0083397B" w:rsidP="0083397B">
            <w:pPr>
              <w:jc w:val="center"/>
              <w:textAlignment w:val="baseline"/>
              <w:rPr>
                <w:b/>
                <w:bCs/>
                <w:sz w:val="18"/>
                <w:szCs w:val="18"/>
                <w:lang w:val="ro-RO" w:eastAsia="en-US"/>
              </w:rPr>
            </w:pPr>
            <w:r w:rsidRPr="0083397B">
              <w:rPr>
                <w:b/>
                <w:bCs/>
                <w:sz w:val="18"/>
                <w:szCs w:val="18"/>
                <w:lang w:val="ro-RO" w:eastAsia="en-US"/>
              </w:rPr>
              <w:t>Informaţii privind nominalizările şi renominalizările în</w:t>
            </w:r>
          </w:p>
          <w:p w:rsidR="0083397B" w:rsidRPr="0083397B" w:rsidRDefault="0083397B" w:rsidP="0083397B">
            <w:pPr>
              <w:jc w:val="center"/>
              <w:textAlignment w:val="baseline"/>
              <w:rPr>
                <w:b/>
                <w:bCs/>
                <w:sz w:val="18"/>
                <w:szCs w:val="18"/>
                <w:lang w:val="ro-RO" w:eastAsia="en-US"/>
              </w:rPr>
            </w:pPr>
            <w:r w:rsidRPr="0083397B">
              <w:rPr>
                <w:b/>
                <w:bCs/>
                <w:sz w:val="18"/>
                <w:szCs w:val="18"/>
                <w:lang w:val="ro-RO" w:eastAsia="en-US"/>
              </w:rPr>
              <w:t>punctele de interconectare</w:t>
            </w:r>
          </w:p>
          <w:p w:rsidR="0083397B" w:rsidRDefault="0083397B" w:rsidP="0083397B">
            <w:pPr>
              <w:textAlignment w:val="baseline"/>
              <w:rPr>
                <w:b/>
                <w:bCs/>
                <w:sz w:val="18"/>
                <w:szCs w:val="18"/>
                <w:lang w:val="ro-RO" w:eastAsia="en-US"/>
              </w:rPr>
            </w:pPr>
          </w:p>
          <w:p w:rsidR="0083397B" w:rsidRPr="0083397B" w:rsidRDefault="0083397B" w:rsidP="0083397B">
            <w:pPr>
              <w:textAlignment w:val="baseline"/>
              <w:rPr>
                <w:bCs/>
                <w:sz w:val="18"/>
                <w:szCs w:val="18"/>
                <w:lang w:val="ro-RO" w:eastAsia="en-US"/>
              </w:rPr>
            </w:pPr>
            <w:r w:rsidRPr="0083397B">
              <w:rPr>
                <w:b/>
                <w:bCs/>
                <w:sz w:val="18"/>
                <w:szCs w:val="18"/>
                <w:lang w:val="ro-RO" w:eastAsia="en-US"/>
              </w:rPr>
              <w:t>488.</w:t>
            </w:r>
            <w:r w:rsidRPr="0083397B">
              <w:rPr>
                <w:bCs/>
                <w:sz w:val="18"/>
                <w:szCs w:val="18"/>
                <w:lang w:val="ro-RO" w:eastAsia="en-US"/>
              </w:rPr>
              <w:t xml:space="preserve"> Nominalizările şi renominalizările transmise de către utilizatorii de sistem către OST cu privire la punctele de interconectare trebuie să conţină cel puţin următoarele informaţii:</w:t>
            </w:r>
          </w:p>
          <w:p w:rsidR="0083397B" w:rsidRPr="0083397B" w:rsidRDefault="0083397B" w:rsidP="0083397B">
            <w:pPr>
              <w:textAlignment w:val="baseline"/>
              <w:rPr>
                <w:bCs/>
                <w:sz w:val="18"/>
                <w:szCs w:val="18"/>
                <w:lang w:val="ro-RO" w:eastAsia="en-US"/>
              </w:rPr>
            </w:pPr>
            <w:r w:rsidRPr="0083397B">
              <w:rPr>
                <w:bCs/>
                <w:sz w:val="18"/>
                <w:szCs w:val="18"/>
                <w:lang w:val="ro-RO" w:eastAsia="en-US"/>
              </w:rPr>
              <w:t>1) identificarea punctului de interconectare;</w:t>
            </w:r>
          </w:p>
          <w:p w:rsidR="0083397B" w:rsidRPr="0083397B" w:rsidRDefault="0083397B" w:rsidP="0083397B">
            <w:pPr>
              <w:textAlignment w:val="baseline"/>
              <w:rPr>
                <w:bCs/>
                <w:sz w:val="18"/>
                <w:szCs w:val="18"/>
                <w:lang w:val="ro-RO" w:eastAsia="en-US"/>
              </w:rPr>
            </w:pPr>
            <w:r w:rsidRPr="0083397B">
              <w:rPr>
                <w:bCs/>
                <w:sz w:val="18"/>
                <w:szCs w:val="18"/>
                <w:lang w:val="ro-RO" w:eastAsia="en-US"/>
              </w:rPr>
              <w:t>2) direcţia fluxului de gaze naturale;</w:t>
            </w:r>
          </w:p>
          <w:p w:rsidR="0083397B" w:rsidRPr="0083397B" w:rsidRDefault="0083397B" w:rsidP="0083397B">
            <w:pPr>
              <w:textAlignment w:val="baseline"/>
              <w:rPr>
                <w:bCs/>
                <w:sz w:val="18"/>
                <w:szCs w:val="18"/>
                <w:lang w:val="ro-RO" w:eastAsia="en-US"/>
              </w:rPr>
            </w:pPr>
            <w:r w:rsidRPr="0083397B">
              <w:rPr>
                <w:bCs/>
                <w:sz w:val="18"/>
                <w:szCs w:val="18"/>
                <w:lang w:val="ro-RO" w:eastAsia="en-US"/>
              </w:rPr>
              <w:t>3) datele de identificare ale utilizatorului de sistem sau, după caz, datele de identificare ale portofoliului de echilibrare al acestuia;</w:t>
            </w:r>
          </w:p>
          <w:p w:rsidR="0083397B" w:rsidRPr="0083397B" w:rsidRDefault="0083397B" w:rsidP="0083397B">
            <w:pPr>
              <w:textAlignment w:val="baseline"/>
              <w:rPr>
                <w:bCs/>
                <w:sz w:val="18"/>
                <w:szCs w:val="18"/>
                <w:lang w:val="ro-RO" w:eastAsia="en-US"/>
              </w:rPr>
            </w:pPr>
            <w:r w:rsidRPr="0083397B">
              <w:rPr>
                <w:bCs/>
                <w:sz w:val="18"/>
                <w:szCs w:val="18"/>
                <w:lang w:val="ro-RO" w:eastAsia="en-US"/>
              </w:rPr>
              <w:t>4) datele de identificare ale contrapărţii utilizatorului de sistem sau, dacă se aplică, datele de identificare ale portofoliului de echilibrare al acestuia;</w:t>
            </w:r>
          </w:p>
          <w:p w:rsidR="0083397B" w:rsidRPr="0083397B" w:rsidRDefault="0083397B" w:rsidP="0083397B">
            <w:pPr>
              <w:textAlignment w:val="baseline"/>
              <w:rPr>
                <w:bCs/>
                <w:sz w:val="18"/>
                <w:szCs w:val="18"/>
                <w:lang w:val="ro-RO" w:eastAsia="en-US"/>
              </w:rPr>
            </w:pPr>
            <w:r w:rsidRPr="0083397B">
              <w:rPr>
                <w:bCs/>
                <w:sz w:val="18"/>
                <w:szCs w:val="18"/>
                <w:lang w:val="ro-RO" w:eastAsia="en-US"/>
              </w:rPr>
              <w:t>5) timpul de început şi de sfârşit al fluxului de gaze naturale pentru care este prezentată nominalizarea sau renominalizarea;</w:t>
            </w:r>
          </w:p>
          <w:p w:rsidR="0083397B" w:rsidRPr="0083397B" w:rsidRDefault="0083397B" w:rsidP="0083397B">
            <w:pPr>
              <w:textAlignment w:val="baseline"/>
              <w:rPr>
                <w:bCs/>
                <w:sz w:val="18"/>
                <w:szCs w:val="18"/>
                <w:lang w:val="ro-RO" w:eastAsia="en-US"/>
              </w:rPr>
            </w:pPr>
            <w:r w:rsidRPr="0083397B">
              <w:rPr>
                <w:bCs/>
                <w:sz w:val="18"/>
                <w:szCs w:val="18"/>
                <w:lang w:val="ro-RO" w:eastAsia="en-US"/>
              </w:rPr>
              <w:t>6) ziua gazieră Z;</w:t>
            </w:r>
          </w:p>
          <w:p w:rsidR="00F644C4" w:rsidRDefault="0083397B" w:rsidP="0083397B">
            <w:pPr>
              <w:textAlignment w:val="baseline"/>
              <w:rPr>
                <w:bCs/>
                <w:sz w:val="18"/>
                <w:szCs w:val="18"/>
                <w:lang w:val="ro-RO" w:eastAsia="en-US"/>
              </w:rPr>
            </w:pPr>
            <w:r w:rsidRPr="0083397B">
              <w:rPr>
                <w:bCs/>
                <w:sz w:val="18"/>
                <w:szCs w:val="18"/>
                <w:lang w:val="ro-RO" w:eastAsia="en-US"/>
              </w:rPr>
              <w:t>7) cantitatea de gaze naturale care se solicită să fie transportată</w:t>
            </w:r>
            <w:r w:rsidR="00F644C4">
              <w:rPr>
                <w:bCs/>
                <w:sz w:val="18"/>
                <w:szCs w:val="18"/>
                <w:lang w:val="ro-RO" w:eastAsia="en-US"/>
              </w:rPr>
              <w:t>;</w:t>
            </w:r>
          </w:p>
          <w:p w:rsidR="0083397B" w:rsidRPr="0083397B" w:rsidRDefault="0083397B" w:rsidP="00D92F0C">
            <w:pPr>
              <w:jc w:val="both"/>
              <w:textAlignment w:val="baseline"/>
              <w:rPr>
                <w:bCs/>
                <w:sz w:val="18"/>
                <w:szCs w:val="18"/>
                <w:lang w:val="ro-RO" w:eastAsia="en-US"/>
              </w:rPr>
            </w:pPr>
          </w:p>
          <w:p w:rsidR="00122BCD" w:rsidRPr="0083397B" w:rsidRDefault="00122BCD" w:rsidP="0083397B">
            <w:pPr>
              <w:textAlignment w:val="baseline"/>
              <w:rPr>
                <w:b/>
                <w:bCs/>
                <w:sz w:val="18"/>
                <w:szCs w:val="18"/>
                <w:lang w:val="ro-RO" w:eastAsia="en-US"/>
              </w:rPr>
            </w:pPr>
          </w:p>
        </w:tc>
        <w:tc>
          <w:tcPr>
            <w:tcW w:w="1275" w:type="dxa"/>
            <w:shd w:val="clear" w:color="auto" w:fill="auto"/>
          </w:tcPr>
          <w:p w:rsidR="00122BCD" w:rsidRDefault="00122BCD" w:rsidP="00DA725A">
            <w:pPr>
              <w:jc w:val="both"/>
              <w:rPr>
                <w:b/>
                <w:sz w:val="18"/>
                <w:szCs w:val="18"/>
                <w:lang w:val="it-IT"/>
              </w:rPr>
            </w:pPr>
          </w:p>
          <w:p w:rsidR="001B1AB4" w:rsidRDefault="001B1AB4" w:rsidP="00DA725A">
            <w:pPr>
              <w:jc w:val="both"/>
              <w:rPr>
                <w:b/>
                <w:sz w:val="18"/>
                <w:szCs w:val="18"/>
                <w:lang w:val="it-IT"/>
              </w:rPr>
            </w:pPr>
          </w:p>
          <w:p w:rsidR="001B1AB4" w:rsidRDefault="001B1AB4" w:rsidP="00DA725A">
            <w:pPr>
              <w:jc w:val="both"/>
              <w:rPr>
                <w:b/>
                <w:sz w:val="18"/>
                <w:szCs w:val="18"/>
                <w:lang w:val="it-IT"/>
              </w:rPr>
            </w:pPr>
          </w:p>
          <w:p w:rsidR="001B1AB4" w:rsidRPr="00D82EE4" w:rsidRDefault="001B1AB4" w:rsidP="00DA725A">
            <w:pPr>
              <w:jc w:val="both"/>
              <w:rPr>
                <w:b/>
                <w:sz w:val="18"/>
                <w:szCs w:val="18"/>
                <w:lang w:val="it-IT"/>
              </w:rPr>
            </w:pPr>
            <w:r w:rsidRPr="00E55B82">
              <w:rPr>
                <w:sz w:val="18"/>
                <w:szCs w:val="18"/>
              </w:rPr>
              <w:t>Compatibil</w:t>
            </w:r>
          </w:p>
        </w:tc>
        <w:tc>
          <w:tcPr>
            <w:tcW w:w="4253" w:type="dxa"/>
            <w:shd w:val="clear" w:color="auto" w:fill="auto"/>
          </w:tcPr>
          <w:p w:rsidR="00FA1673" w:rsidRPr="00E84D74" w:rsidRDefault="00FA1673" w:rsidP="00DA725A">
            <w:pPr>
              <w:autoSpaceDE w:val="0"/>
              <w:autoSpaceDN w:val="0"/>
              <w:adjustRightInd w:val="0"/>
              <w:jc w:val="center"/>
              <w:rPr>
                <w:b/>
                <w:sz w:val="18"/>
                <w:szCs w:val="18"/>
              </w:rPr>
            </w:pPr>
            <w:r w:rsidRPr="00E84D74">
              <w:rPr>
                <w:b/>
                <w:sz w:val="18"/>
                <w:szCs w:val="18"/>
              </w:rPr>
              <w:t>Article 13</w:t>
            </w:r>
          </w:p>
          <w:p w:rsidR="00FA1673" w:rsidRPr="00E84D74" w:rsidRDefault="00FA1673" w:rsidP="00DA725A">
            <w:pPr>
              <w:autoSpaceDE w:val="0"/>
              <w:autoSpaceDN w:val="0"/>
              <w:adjustRightInd w:val="0"/>
              <w:jc w:val="center"/>
              <w:rPr>
                <w:b/>
                <w:sz w:val="18"/>
                <w:szCs w:val="18"/>
              </w:rPr>
            </w:pPr>
            <w:r w:rsidRPr="00E84D74">
              <w:rPr>
                <w:b/>
                <w:sz w:val="18"/>
                <w:szCs w:val="18"/>
              </w:rPr>
              <w:t>Information regarding nominations and re-nominations at interconnection points</w:t>
            </w:r>
          </w:p>
          <w:p w:rsidR="00FA1673" w:rsidRPr="00E84D74" w:rsidRDefault="00FA1673" w:rsidP="00DA725A">
            <w:pPr>
              <w:autoSpaceDE w:val="0"/>
              <w:autoSpaceDN w:val="0"/>
              <w:adjustRightInd w:val="0"/>
              <w:rPr>
                <w:sz w:val="18"/>
                <w:szCs w:val="18"/>
              </w:rPr>
            </w:pPr>
            <w:r w:rsidRPr="00E84D74">
              <w:rPr>
                <w:sz w:val="18"/>
                <w:szCs w:val="18"/>
              </w:rPr>
              <w:t>Nominations and re-nominations provided by network users to the transmission system operators with regard to interconnection points shall contain at least the following information:</w:t>
            </w:r>
          </w:p>
          <w:p w:rsidR="00FA1673" w:rsidRPr="00E84D74" w:rsidRDefault="00FA1673" w:rsidP="00DA725A">
            <w:pPr>
              <w:autoSpaceDE w:val="0"/>
              <w:autoSpaceDN w:val="0"/>
              <w:adjustRightInd w:val="0"/>
              <w:rPr>
                <w:sz w:val="18"/>
                <w:szCs w:val="18"/>
              </w:rPr>
            </w:pPr>
            <w:r w:rsidRPr="00E84D74">
              <w:rPr>
                <w:sz w:val="18"/>
                <w:szCs w:val="18"/>
              </w:rPr>
              <w:t>(1) interconnection point identification;</w:t>
            </w:r>
          </w:p>
          <w:p w:rsidR="00FA1673" w:rsidRPr="00E84D74" w:rsidRDefault="00FA1673" w:rsidP="00DA725A">
            <w:pPr>
              <w:autoSpaceDE w:val="0"/>
              <w:autoSpaceDN w:val="0"/>
              <w:adjustRightInd w:val="0"/>
              <w:rPr>
                <w:sz w:val="18"/>
                <w:szCs w:val="18"/>
              </w:rPr>
            </w:pPr>
            <w:r w:rsidRPr="00E84D74">
              <w:rPr>
                <w:sz w:val="18"/>
                <w:szCs w:val="18"/>
              </w:rPr>
              <w:t>(2) direction of the gas flow;</w:t>
            </w:r>
          </w:p>
          <w:p w:rsidR="00FA1673" w:rsidRPr="00E84D74" w:rsidRDefault="00FA1673" w:rsidP="00DA725A">
            <w:pPr>
              <w:autoSpaceDE w:val="0"/>
              <w:autoSpaceDN w:val="0"/>
              <w:adjustRightInd w:val="0"/>
              <w:rPr>
                <w:sz w:val="18"/>
                <w:szCs w:val="18"/>
              </w:rPr>
            </w:pPr>
            <w:r w:rsidRPr="00E84D74">
              <w:rPr>
                <w:sz w:val="18"/>
                <w:szCs w:val="18"/>
              </w:rPr>
              <w:t xml:space="preserve">(3) network user identification or, if applicable, its balancing portfolio identification; </w:t>
            </w:r>
          </w:p>
          <w:p w:rsidR="00FA1673" w:rsidRPr="00E84D74" w:rsidRDefault="00FA1673" w:rsidP="00DA725A">
            <w:pPr>
              <w:autoSpaceDE w:val="0"/>
              <w:autoSpaceDN w:val="0"/>
              <w:adjustRightInd w:val="0"/>
              <w:rPr>
                <w:sz w:val="18"/>
                <w:szCs w:val="18"/>
              </w:rPr>
            </w:pPr>
            <w:r w:rsidRPr="00E84D74">
              <w:rPr>
                <w:sz w:val="18"/>
                <w:szCs w:val="18"/>
              </w:rPr>
              <w:t>(4) network user’s counterparty identification or, if applicable, its balancing portfolio identification;</w:t>
            </w:r>
          </w:p>
          <w:p w:rsidR="00FA1673" w:rsidRPr="00E84D74" w:rsidRDefault="00FA1673" w:rsidP="00DA725A">
            <w:pPr>
              <w:autoSpaceDE w:val="0"/>
              <w:autoSpaceDN w:val="0"/>
              <w:adjustRightInd w:val="0"/>
              <w:rPr>
                <w:sz w:val="18"/>
                <w:szCs w:val="18"/>
              </w:rPr>
            </w:pPr>
            <w:r w:rsidRPr="00E84D74">
              <w:rPr>
                <w:sz w:val="18"/>
                <w:szCs w:val="18"/>
              </w:rPr>
              <w:t>(5) start and end time of the gas flow for which the nomination or re-nomination is submitted;</w:t>
            </w:r>
          </w:p>
          <w:p w:rsidR="00FA1673" w:rsidRPr="00E84D74" w:rsidRDefault="00FA1673" w:rsidP="00DA725A">
            <w:pPr>
              <w:autoSpaceDE w:val="0"/>
              <w:autoSpaceDN w:val="0"/>
              <w:adjustRightInd w:val="0"/>
              <w:rPr>
                <w:sz w:val="18"/>
                <w:szCs w:val="18"/>
              </w:rPr>
            </w:pPr>
            <w:r w:rsidRPr="00E84D74">
              <w:rPr>
                <w:sz w:val="18"/>
                <w:szCs w:val="18"/>
              </w:rPr>
              <w:t>(6) gas day D;</w:t>
            </w:r>
          </w:p>
          <w:p w:rsidR="00FA1673" w:rsidRPr="00E84D74" w:rsidRDefault="00FA1673" w:rsidP="00DA725A">
            <w:pPr>
              <w:autoSpaceDE w:val="0"/>
              <w:autoSpaceDN w:val="0"/>
              <w:adjustRightInd w:val="0"/>
              <w:rPr>
                <w:sz w:val="18"/>
                <w:szCs w:val="18"/>
              </w:rPr>
            </w:pPr>
            <w:r w:rsidRPr="00E84D74">
              <w:rPr>
                <w:sz w:val="18"/>
                <w:szCs w:val="18"/>
              </w:rPr>
              <w:t>(7) the gas quantity requested to be transported.</w:t>
            </w:r>
          </w:p>
          <w:p w:rsidR="00122BCD" w:rsidRPr="00E84D74" w:rsidRDefault="00122BCD" w:rsidP="00DA725A">
            <w:pPr>
              <w:autoSpaceDE w:val="0"/>
              <w:autoSpaceDN w:val="0"/>
              <w:adjustRightInd w:val="0"/>
              <w:jc w:val="center"/>
              <w:rPr>
                <w:b/>
                <w:bCs/>
                <w:i/>
                <w:iCs/>
                <w:sz w:val="18"/>
                <w:szCs w:val="18"/>
              </w:rPr>
            </w:pPr>
          </w:p>
        </w:tc>
      </w:tr>
      <w:tr w:rsidR="00FA1673" w:rsidRPr="00043955" w:rsidTr="00FC3840">
        <w:trPr>
          <w:trHeight w:val="409"/>
        </w:trPr>
        <w:tc>
          <w:tcPr>
            <w:tcW w:w="5245" w:type="dxa"/>
            <w:shd w:val="clear" w:color="auto" w:fill="auto"/>
          </w:tcPr>
          <w:p w:rsidR="00FA1673" w:rsidRPr="00981BD4" w:rsidRDefault="00FA1673" w:rsidP="00727005">
            <w:pPr>
              <w:jc w:val="center"/>
              <w:textAlignment w:val="baseline"/>
              <w:rPr>
                <w:rFonts w:ascii="Segoe UI" w:hAnsi="Segoe UI" w:cs="Segoe UI"/>
                <w:sz w:val="18"/>
                <w:szCs w:val="18"/>
                <w:lang w:val="it-IT" w:eastAsia="en-US"/>
              </w:rPr>
            </w:pPr>
            <w:r w:rsidRPr="00981BD4">
              <w:rPr>
                <w:b/>
                <w:bCs/>
                <w:sz w:val="18"/>
                <w:szCs w:val="18"/>
                <w:lang w:val="it-IT" w:eastAsia="en-US"/>
              </w:rPr>
              <w:t>Articolul 14</w:t>
            </w:r>
          </w:p>
          <w:p w:rsidR="00FA1673" w:rsidRPr="00981BD4" w:rsidRDefault="00FA1673" w:rsidP="00727005">
            <w:pPr>
              <w:jc w:val="center"/>
              <w:textAlignment w:val="baseline"/>
              <w:rPr>
                <w:rFonts w:ascii="Segoe UI" w:hAnsi="Segoe UI" w:cs="Segoe UI"/>
                <w:sz w:val="18"/>
                <w:szCs w:val="18"/>
                <w:lang w:val="it-IT" w:eastAsia="en-US"/>
              </w:rPr>
            </w:pPr>
            <w:r w:rsidRPr="00981BD4">
              <w:rPr>
                <w:b/>
                <w:bCs/>
                <w:sz w:val="18"/>
                <w:szCs w:val="18"/>
                <w:lang w:val="it-IT" w:eastAsia="en-US"/>
              </w:rPr>
              <w:t>Procedura de nominalizare la punctele de interconectare</w:t>
            </w:r>
          </w:p>
          <w:p w:rsidR="00FA1673" w:rsidRDefault="00FA1673" w:rsidP="00DA725A">
            <w:pPr>
              <w:jc w:val="both"/>
              <w:textAlignment w:val="baseline"/>
              <w:rPr>
                <w:sz w:val="18"/>
                <w:szCs w:val="18"/>
                <w:lang w:val="it-IT" w:eastAsia="en-US"/>
              </w:rPr>
            </w:pPr>
            <w:r w:rsidRPr="00981BD4">
              <w:rPr>
                <w:sz w:val="18"/>
                <w:szCs w:val="18"/>
                <w:lang w:val="it-IT" w:eastAsia="en-US"/>
              </w:rPr>
              <w:t>(1)   Un utilizator al rețelei este îndreptățit să prezinte operatorului de sistem de transport o nominalizare pentru ziua gazieră Z, nu mai târziu de termenul limită pentru nominalizări din ziua gazieră Z—1. Termenul limită de efectuare a nominalizărilor este ora 13.00 UTC (ora de iarnă) sau ora 12.00 UTC (ora de vară) în ziua gazieră Z-1. </w:t>
            </w:r>
          </w:p>
          <w:p w:rsidR="004C3779" w:rsidRPr="00981BD4" w:rsidRDefault="004C3779" w:rsidP="00DA725A">
            <w:pPr>
              <w:jc w:val="both"/>
              <w:textAlignment w:val="baseline"/>
              <w:rPr>
                <w:rFonts w:ascii="Segoe UI" w:hAnsi="Segoe UI" w:cs="Segoe UI"/>
                <w:sz w:val="18"/>
                <w:szCs w:val="18"/>
                <w:lang w:val="it-IT" w:eastAsia="en-US"/>
              </w:rPr>
            </w:pP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(2)   Ultima nominalizare primită de operatorul de sistem de transport de la un utilizator al rețelei înainte de termenul de nominalizare este luată în considerare de operatorul de sistem de transport. </w:t>
            </w:r>
          </w:p>
          <w:p w:rsidR="00FA1673" w:rsidRDefault="00FA1673" w:rsidP="00DA725A">
            <w:pPr>
              <w:jc w:val="both"/>
              <w:textAlignment w:val="baseline"/>
              <w:rPr>
                <w:sz w:val="18"/>
                <w:szCs w:val="18"/>
                <w:lang w:val="it-IT" w:eastAsia="en-US"/>
              </w:rPr>
            </w:pPr>
            <w:r w:rsidRPr="00981BD4">
              <w:rPr>
                <w:sz w:val="18"/>
                <w:szCs w:val="18"/>
                <w:lang w:val="it-IT" w:eastAsia="en-US"/>
              </w:rPr>
              <w:t> </w:t>
            </w:r>
          </w:p>
          <w:p w:rsidR="00E86803" w:rsidRDefault="00FA1673" w:rsidP="00E86803">
            <w:pPr>
              <w:jc w:val="both"/>
              <w:textAlignment w:val="baseline"/>
              <w:rPr>
                <w:sz w:val="18"/>
                <w:szCs w:val="18"/>
                <w:lang w:val="it-IT" w:eastAsia="en-US"/>
              </w:rPr>
            </w:pPr>
            <w:r w:rsidRPr="00981BD4">
              <w:rPr>
                <w:sz w:val="18"/>
                <w:szCs w:val="18"/>
                <w:lang w:val="it-IT" w:eastAsia="en-US"/>
              </w:rPr>
              <w:t>(3)   Operatorul de sistem de transport trimite respectivilor utilizatori ai rețelei mesajul privind cantitățile confirmate nu mai târziu de termenul limită de confirmare din ziua gazieră Z—1. Termenul limită de confirmare este ora 15.00 UTC (ora de iarnă) sau ora 14.00 UTC (ora de vară) în ziua gazieră Z—1. </w:t>
            </w:r>
          </w:p>
          <w:p w:rsidR="00D92F0C" w:rsidRDefault="00D92F0C" w:rsidP="00E86803">
            <w:pPr>
              <w:jc w:val="both"/>
              <w:textAlignment w:val="baseline"/>
              <w:rPr>
                <w:sz w:val="18"/>
                <w:szCs w:val="18"/>
                <w:lang w:val="it-IT" w:eastAsia="en-US"/>
              </w:rPr>
            </w:pP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(4)   Operatorii de sisteme de transport de pe fiecare parte a punctului de interconectare pot conveni asupra furnizării unui ciclu de nominalizare prealabilă în cadrul căruia: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utilizatorii rețelei nu sunt obligați să prezinte nominalizări;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utilizatorii rețelei pot prezenta operatorilor de sisteme de transport nominalizările pentru ziua gazieră Z până cel târziu la ora 12.00 UTC (ora de iarnă) sau ora 11.00 UTC (ora de vară) în ziua gazieră Z—1; </w:t>
            </w:r>
          </w:p>
          <w:p w:rsidR="00FA1673" w:rsidRDefault="00FA1673"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trimite respectivilor utilizatori ai rețelei mesajul privind cantitățile procesate cel târziu la ora 12.30 UTC (ora de iarnă) sau la ora 11.30 UTC (ora de vară) în ziua gazieră Z—1. </w:t>
            </w:r>
          </w:p>
          <w:p w:rsidR="00E86803" w:rsidRPr="00981BD4" w:rsidRDefault="00E86803" w:rsidP="00DA725A">
            <w:pPr>
              <w:jc w:val="both"/>
              <w:textAlignment w:val="baseline"/>
              <w:rPr>
                <w:rFonts w:ascii="Segoe UI" w:hAnsi="Segoe UI" w:cs="Segoe UI"/>
                <w:sz w:val="18"/>
                <w:szCs w:val="18"/>
                <w:lang w:val="it-IT" w:eastAsia="en-US"/>
              </w:rPr>
            </w:pPr>
          </w:p>
          <w:p w:rsidR="00FA1673" w:rsidRPr="00981BD4" w:rsidRDefault="00FA1673" w:rsidP="00DA725A">
            <w:pPr>
              <w:jc w:val="both"/>
              <w:textAlignment w:val="baseline"/>
              <w:rPr>
                <w:b/>
                <w:bCs/>
                <w:sz w:val="18"/>
                <w:szCs w:val="18"/>
                <w:lang w:val="it-IT" w:eastAsia="en-US"/>
              </w:rPr>
            </w:pPr>
            <w:r w:rsidRPr="00981BD4">
              <w:rPr>
                <w:sz w:val="18"/>
                <w:szCs w:val="18"/>
                <w:lang w:val="it-IT" w:eastAsia="en-US"/>
              </w:rPr>
              <w:t>(5)   În lipsa unei nominalizări valide trimise de către utilizatorul rețelei înainte de termenul limită pentru nominalizare, operatorii de sisteme de transport în cauză aplică norma de nominalizare implicită convenită între respectivii operatori de sisteme de transport. Norma de nominalizare implicită în vigoare într-un punct de interconectare este pusă la dispoziția utilizatorilor rețelei aferenți operatorilor de sisteme de transport. </w:t>
            </w:r>
          </w:p>
        </w:tc>
        <w:tc>
          <w:tcPr>
            <w:tcW w:w="4962" w:type="dxa"/>
            <w:shd w:val="clear" w:color="auto" w:fill="auto"/>
          </w:tcPr>
          <w:p w:rsidR="005B4683" w:rsidRPr="005B4683" w:rsidRDefault="005B4683" w:rsidP="005B4683">
            <w:pPr>
              <w:jc w:val="center"/>
              <w:textAlignment w:val="baseline"/>
              <w:rPr>
                <w:b/>
                <w:bCs/>
                <w:sz w:val="18"/>
                <w:szCs w:val="18"/>
                <w:lang w:val="ro-RO" w:eastAsia="en-US"/>
              </w:rPr>
            </w:pPr>
            <w:r w:rsidRPr="005B4683">
              <w:rPr>
                <w:b/>
                <w:bCs/>
                <w:sz w:val="18"/>
                <w:szCs w:val="18"/>
                <w:lang w:val="ro-RO" w:eastAsia="en-US"/>
              </w:rPr>
              <w:lastRenderedPageBreak/>
              <w:t>Secţiunea 3</w:t>
            </w:r>
          </w:p>
          <w:p w:rsidR="005B4683" w:rsidRPr="005B4683" w:rsidRDefault="005B4683" w:rsidP="005B4683">
            <w:pPr>
              <w:jc w:val="center"/>
              <w:textAlignment w:val="baseline"/>
              <w:rPr>
                <w:b/>
                <w:bCs/>
                <w:sz w:val="18"/>
                <w:szCs w:val="18"/>
                <w:lang w:val="ro-RO" w:eastAsia="en-US"/>
              </w:rPr>
            </w:pPr>
            <w:r w:rsidRPr="005B4683">
              <w:rPr>
                <w:b/>
                <w:bCs/>
                <w:sz w:val="18"/>
                <w:szCs w:val="18"/>
                <w:lang w:val="ro-RO" w:eastAsia="en-US"/>
              </w:rPr>
              <w:t>Procedura de nominalizare la punctele de interconectare</w:t>
            </w:r>
          </w:p>
          <w:p w:rsidR="005B4683" w:rsidRDefault="005B4683" w:rsidP="005B4683">
            <w:pPr>
              <w:textAlignment w:val="baseline"/>
              <w:rPr>
                <w:bCs/>
                <w:sz w:val="18"/>
                <w:szCs w:val="18"/>
                <w:lang w:val="ro-RO" w:eastAsia="en-US"/>
              </w:rPr>
            </w:pPr>
            <w:r w:rsidRPr="005B4683">
              <w:rPr>
                <w:b/>
                <w:bCs/>
                <w:sz w:val="18"/>
                <w:szCs w:val="18"/>
                <w:lang w:val="ro-RO" w:eastAsia="en-US"/>
              </w:rPr>
              <w:t>489.</w:t>
            </w:r>
            <w:r w:rsidRPr="005B4683">
              <w:rPr>
                <w:bCs/>
                <w:sz w:val="18"/>
                <w:szCs w:val="18"/>
                <w:lang w:val="ro-RO" w:eastAsia="en-US"/>
              </w:rPr>
              <w:t xml:space="preserve"> Un utilizator de sistem este în drept să prezinte OST o nominalizare pentru ziua gazieră Z, nu mai târziu de termenul limită pentru nominalizări din ziua gazieră Z-1. Termenul limită de efectuare a nominalizărilor este ora 13:00 UTC (ora de iarnă) sau ora 12:00 UTC (ora de vară) în ziua gazieră Z-1.</w:t>
            </w:r>
          </w:p>
          <w:p w:rsidR="004C3779" w:rsidRPr="005B4683" w:rsidRDefault="004C3779" w:rsidP="005B4683">
            <w:pPr>
              <w:textAlignment w:val="baseline"/>
              <w:rPr>
                <w:bCs/>
                <w:sz w:val="18"/>
                <w:szCs w:val="18"/>
                <w:lang w:val="ro-RO" w:eastAsia="en-US"/>
              </w:rPr>
            </w:pPr>
          </w:p>
          <w:p w:rsidR="005B4683" w:rsidRDefault="005B4683" w:rsidP="005B4683">
            <w:pPr>
              <w:textAlignment w:val="baseline"/>
              <w:rPr>
                <w:bCs/>
                <w:sz w:val="18"/>
                <w:szCs w:val="18"/>
                <w:lang w:val="ro-RO" w:eastAsia="en-US"/>
              </w:rPr>
            </w:pPr>
            <w:r w:rsidRPr="005B4683">
              <w:rPr>
                <w:b/>
                <w:bCs/>
                <w:sz w:val="18"/>
                <w:szCs w:val="18"/>
                <w:lang w:val="ro-RO" w:eastAsia="en-US"/>
              </w:rPr>
              <w:t>490.</w:t>
            </w:r>
            <w:r w:rsidRPr="005B4683">
              <w:rPr>
                <w:bCs/>
                <w:sz w:val="18"/>
                <w:szCs w:val="18"/>
                <w:lang w:val="ro-RO" w:eastAsia="en-US"/>
              </w:rPr>
              <w:t xml:space="preserve"> Ultima nominalizare primită de OST de la un utilizator de sistem înainte de termenul de nominalizare este luată în considerare de OST.</w:t>
            </w:r>
          </w:p>
          <w:p w:rsidR="00E86803" w:rsidRDefault="00E86803" w:rsidP="005B4683">
            <w:pPr>
              <w:textAlignment w:val="baseline"/>
              <w:rPr>
                <w:bCs/>
                <w:sz w:val="18"/>
                <w:szCs w:val="18"/>
                <w:lang w:val="ro-RO" w:eastAsia="en-US"/>
              </w:rPr>
            </w:pPr>
          </w:p>
          <w:p w:rsidR="005B4683" w:rsidRDefault="005B4683" w:rsidP="005B4683">
            <w:pPr>
              <w:textAlignment w:val="baseline"/>
              <w:rPr>
                <w:bCs/>
                <w:sz w:val="18"/>
                <w:szCs w:val="18"/>
                <w:lang w:val="ro-RO" w:eastAsia="en-US"/>
              </w:rPr>
            </w:pPr>
            <w:r w:rsidRPr="005B4683">
              <w:rPr>
                <w:b/>
                <w:bCs/>
                <w:sz w:val="18"/>
                <w:szCs w:val="18"/>
                <w:lang w:val="ro-RO" w:eastAsia="en-US"/>
              </w:rPr>
              <w:t>491.</w:t>
            </w:r>
            <w:r w:rsidRPr="005B4683">
              <w:rPr>
                <w:bCs/>
                <w:sz w:val="18"/>
                <w:szCs w:val="18"/>
                <w:lang w:val="ro-RO" w:eastAsia="en-US"/>
              </w:rPr>
              <w:t xml:space="preserve"> OST trimite respectivilor utilizatori de sistem mesajul privind cantităţile confirmate nu mai târziu de termenul limită de confirmare din ziua gazieră Z-1. Termenul limită de confirmare este ora 15:00 UTC (ora de iarnă) sau ora 14:00 UTC (ora de vară) în ziua gazieră Z-1.</w:t>
            </w:r>
          </w:p>
          <w:p w:rsidR="00D92F0C" w:rsidRDefault="00D92F0C" w:rsidP="005B4683">
            <w:pPr>
              <w:textAlignment w:val="baseline"/>
              <w:rPr>
                <w:bCs/>
                <w:sz w:val="18"/>
                <w:szCs w:val="18"/>
                <w:lang w:val="ro-RO" w:eastAsia="en-US"/>
              </w:rPr>
            </w:pPr>
          </w:p>
          <w:p w:rsidR="00D92F0C" w:rsidRDefault="00D92F0C" w:rsidP="005B4683">
            <w:pPr>
              <w:textAlignment w:val="baseline"/>
              <w:rPr>
                <w:bCs/>
                <w:sz w:val="18"/>
                <w:szCs w:val="18"/>
                <w:lang w:val="ro-RO" w:eastAsia="en-US"/>
              </w:rPr>
            </w:pPr>
          </w:p>
          <w:p w:rsidR="005B4683" w:rsidRPr="005B4683" w:rsidRDefault="005B4683" w:rsidP="005B4683">
            <w:pPr>
              <w:textAlignment w:val="baseline"/>
              <w:rPr>
                <w:bCs/>
                <w:sz w:val="18"/>
                <w:szCs w:val="18"/>
                <w:lang w:val="ro-RO" w:eastAsia="en-US"/>
              </w:rPr>
            </w:pPr>
            <w:r w:rsidRPr="005B4683">
              <w:rPr>
                <w:b/>
                <w:bCs/>
                <w:sz w:val="18"/>
                <w:szCs w:val="18"/>
                <w:lang w:val="ro-RO" w:eastAsia="en-US"/>
              </w:rPr>
              <w:lastRenderedPageBreak/>
              <w:t>492.</w:t>
            </w:r>
            <w:r w:rsidRPr="005B4683">
              <w:rPr>
                <w:bCs/>
                <w:sz w:val="18"/>
                <w:szCs w:val="18"/>
                <w:lang w:val="ro-RO" w:eastAsia="en-US"/>
              </w:rPr>
              <w:t xml:space="preserve"> OST de pe fiecare parte a punctului de interconectare pot conveni asupra prezentării unui ciclu de nominalizare prealabilă în cadrul căruia:</w:t>
            </w:r>
          </w:p>
          <w:p w:rsidR="005B4683" w:rsidRPr="005B4683" w:rsidRDefault="005B4683" w:rsidP="005B4683">
            <w:pPr>
              <w:textAlignment w:val="baseline"/>
              <w:rPr>
                <w:bCs/>
                <w:sz w:val="18"/>
                <w:szCs w:val="18"/>
                <w:lang w:val="ro-RO" w:eastAsia="en-US"/>
              </w:rPr>
            </w:pPr>
            <w:r w:rsidRPr="005B4683">
              <w:rPr>
                <w:bCs/>
                <w:sz w:val="18"/>
                <w:szCs w:val="18"/>
                <w:lang w:val="ro-RO" w:eastAsia="en-US"/>
              </w:rPr>
              <w:t>1) utilizatorii de sistem nu sunt obligaţi să prezinte nominalizări;</w:t>
            </w:r>
          </w:p>
          <w:p w:rsidR="005B4683" w:rsidRPr="005B4683" w:rsidRDefault="005B4683" w:rsidP="005B4683">
            <w:pPr>
              <w:textAlignment w:val="baseline"/>
              <w:rPr>
                <w:bCs/>
                <w:sz w:val="18"/>
                <w:szCs w:val="18"/>
                <w:lang w:val="ro-RO" w:eastAsia="en-US"/>
              </w:rPr>
            </w:pPr>
            <w:r w:rsidRPr="005B4683">
              <w:rPr>
                <w:bCs/>
                <w:sz w:val="18"/>
                <w:szCs w:val="18"/>
                <w:lang w:val="ro-RO" w:eastAsia="en-US"/>
              </w:rPr>
              <w:t>2) utilizatorii de sistem pot prezenta OST nominalizările pentru ziua gazieră Z până cel târziu la ora 12:00 UTC (ora de iarnă) sau ora 11:00 UTC (ora de vară) în ziua gazieră Z-1;</w:t>
            </w:r>
          </w:p>
          <w:p w:rsidR="005B4683" w:rsidRDefault="005B4683" w:rsidP="005B4683">
            <w:pPr>
              <w:textAlignment w:val="baseline"/>
              <w:rPr>
                <w:bCs/>
                <w:sz w:val="18"/>
                <w:szCs w:val="18"/>
                <w:lang w:val="ro-RO" w:eastAsia="en-US"/>
              </w:rPr>
            </w:pPr>
            <w:r w:rsidRPr="005B4683">
              <w:rPr>
                <w:bCs/>
                <w:sz w:val="18"/>
                <w:szCs w:val="18"/>
                <w:lang w:val="ro-RO" w:eastAsia="en-US"/>
              </w:rPr>
              <w:t>3) OST trimite respectivilor utilizatori de sistem mesajul privind cantităţile procesate cel târziu la ora 12:30 UTC (ora de iarnă) sau la ora 11:30 UTC (ora de vară) în ziua gazieră Z-1.</w:t>
            </w:r>
          </w:p>
          <w:p w:rsidR="00E86803" w:rsidRDefault="00E86803" w:rsidP="005B4683">
            <w:pPr>
              <w:textAlignment w:val="baseline"/>
              <w:rPr>
                <w:bCs/>
                <w:sz w:val="18"/>
                <w:szCs w:val="18"/>
                <w:lang w:val="ro-RO" w:eastAsia="en-US"/>
              </w:rPr>
            </w:pPr>
          </w:p>
          <w:p w:rsidR="00E86803" w:rsidRPr="005B4683" w:rsidRDefault="00E86803" w:rsidP="005B4683">
            <w:pPr>
              <w:textAlignment w:val="baseline"/>
              <w:rPr>
                <w:bCs/>
                <w:sz w:val="18"/>
                <w:szCs w:val="18"/>
                <w:lang w:val="ro-RO" w:eastAsia="en-US"/>
              </w:rPr>
            </w:pPr>
          </w:p>
          <w:p w:rsidR="005B4683" w:rsidRPr="005B4683" w:rsidRDefault="005B4683" w:rsidP="005B4683">
            <w:pPr>
              <w:textAlignment w:val="baseline"/>
              <w:rPr>
                <w:bCs/>
                <w:sz w:val="18"/>
                <w:szCs w:val="18"/>
                <w:lang w:val="ro-RO" w:eastAsia="en-US"/>
              </w:rPr>
            </w:pPr>
            <w:r w:rsidRPr="005B4683">
              <w:rPr>
                <w:b/>
                <w:bCs/>
                <w:sz w:val="18"/>
                <w:szCs w:val="18"/>
                <w:lang w:val="ro-RO" w:eastAsia="en-US"/>
              </w:rPr>
              <w:t>493.</w:t>
            </w:r>
            <w:r w:rsidRPr="005B4683">
              <w:rPr>
                <w:bCs/>
                <w:sz w:val="18"/>
                <w:szCs w:val="18"/>
                <w:lang w:val="ro-RO" w:eastAsia="en-US"/>
              </w:rPr>
              <w:t xml:space="preserve"> În lipsa unei nominalizări valide trimise de către utilizatorul de sistem înainte de termenul limită pentru nominalizare, OST aplică norma de nominalizare implicită convenită între respectivii OST. Norma de nominalizare implicită aplicabilă într-un punct de interconectare este pusă la dispoziţia utilizatorilor de sistem aferenţi OST.</w:t>
            </w:r>
          </w:p>
          <w:p w:rsidR="00FA1673" w:rsidRPr="005B4683" w:rsidRDefault="00FA1673" w:rsidP="00DA725A">
            <w:pPr>
              <w:jc w:val="center"/>
              <w:textAlignment w:val="baseline"/>
              <w:rPr>
                <w:b/>
                <w:bCs/>
                <w:sz w:val="18"/>
                <w:szCs w:val="18"/>
                <w:lang w:val="ro-RO" w:eastAsia="en-US"/>
              </w:rPr>
            </w:pPr>
          </w:p>
        </w:tc>
        <w:tc>
          <w:tcPr>
            <w:tcW w:w="1275" w:type="dxa"/>
            <w:shd w:val="clear" w:color="auto" w:fill="auto"/>
          </w:tcPr>
          <w:p w:rsidR="00FA1673" w:rsidRDefault="00FA1673" w:rsidP="00DA725A">
            <w:pPr>
              <w:jc w:val="both"/>
              <w:rPr>
                <w:b/>
                <w:sz w:val="18"/>
                <w:szCs w:val="18"/>
                <w:lang w:val="it-IT"/>
              </w:rPr>
            </w:pPr>
          </w:p>
          <w:p w:rsidR="001B1AB4" w:rsidRDefault="001B1AB4" w:rsidP="00DA725A">
            <w:pPr>
              <w:jc w:val="both"/>
              <w:rPr>
                <w:b/>
                <w:sz w:val="18"/>
                <w:szCs w:val="18"/>
                <w:lang w:val="it-IT"/>
              </w:rPr>
            </w:pPr>
          </w:p>
          <w:p w:rsidR="001B1AB4" w:rsidRPr="00981BD4" w:rsidRDefault="001B1AB4" w:rsidP="00DA725A">
            <w:pPr>
              <w:jc w:val="both"/>
              <w:rPr>
                <w:sz w:val="18"/>
                <w:szCs w:val="18"/>
                <w:lang w:val="it-IT"/>
              </w:rPr>
            </w:pPr>
            <w:r w:rsidRPr="00981BD4">
              <w:rPr>
                <w:sz w:val="18"/>
                <w:szCs w:val="18"/>
                <w:lang w:val="it-IT"/>
              </w:rPr>
              <w:t>Compatibil</w:t>
            </w: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Default="001B1AB4" w:rsidP="00DA725A">
            <w:pPr>
              <w:jc w:val="both"/>
              <w:rPr>
                <w:sz w:val="18"/>
                <w:szCs w:val="18"/>
                <w:lang w:val="it-IT"/>
              </w:rPr>
            </w:pPr>
          </w:p>
          <w:p w:rsidR="006A46C7" w:rsidRDefault="006A46C7" w:rsidP="00DA725A">
            <w:pPr>
              <w:jc w:val="both"/>
              <w:rPr>
                <w:sz w:val="18"/>
                <w:szCs w:val="18"/>
                <w:lang w:val="it-IT"/>
              </w:rPr>
            </w:pPr>
          </w:p>
          <w:p w:rsidR="004C3779" w:rsidRDefault="004C3779" w:rsidP="00DA725A">
            <w:pPr>
              <w:jc w:val="both"/>
              <w:rPr>
                <w:sz w:val="18"/>
                <w:szCs w:val="18"/>
                <w:lang w:val="it-IT"/>
              </w:rPr>
            </w:pPr>
          </w:p>
          <w:p w:rsidR="001B1AB4" w:rsidRPr="00981BD4" w:rsidRDefault="001B1AB4" w:rsidP="00DA725A">
            <w:pPr>
              <w:jc w:val="both"/>
              <w:rPr>
                <w:sz w:val="18"/>
                <w:szCs w:val="18"/>
                <w:lang w:val="it-IT"/>
              </w:rPr>
            </w:pPr>
            <w:r w:rsidRPr="00981BD4">
              <w:rPr>
                <w:sz w:val="18"/>
                <w:szCs w:val="18"/>
                <w:lang w:val="it-IT"/>
              </w:rPr>
              <w:t>Compatibil</w:t>
            </w:r>
          </w:p>
          <w:p w:rsidR="001B1AB4" w:rsidRPr="00981BD4" w:rsidRDefault="001B1AB4" w:rsidP="00DA725A">
            <w:pPr>
              <w:jc w:val="both"/>
              <w:rPr>
                <w:sz w:val="18"/>
                <w:szCs w:val="18"/>
                <w:lang w:val="it-IT"/>
              </w:rPr>
            </w:pPr>
          </w:p>
          <w:p w:rsidR="001B1AB4" w:rsidRDefault="001B1AB4" w:rsidP="00DA725A">
            <w:pPr>
              <w:jc w:val="both"/>
              <w:rPr>
                <w:sz w:val="18"/>
                <w:szCs w:val="18"/>
                <w:lang w:val="it-IT"/>
              </w:rPr>
            </w:pPr>
          </w:p>
          <w:p w:rsidR="00F644C4" w:rsidRPr="00981BD4" w:rsidRDefault="00F644C4" w:rsidP="00DA725A">
            <w:pPr>
              <w:jc w:val="both"/>
              <w:rPr>
                <w:sz w:val="18"/>
                <w:szCs w:val="18"/>
                <w:lang w:val="it-IT"/>
              </w:rPr>
            </w:pPr>
          </w:p>
          <w:p w:rsidR="001B1AB4" w:rsidRPr="00981BD4" w:rsidRDefault="001B1AB4" w:rsidP="00DA725A">
            <w:pPr>
              <w:jc w:val="both"/>
              <w:rPr>
                <w:sz w:val="18"/>
                <w:szCs w:val="18"/>
                <w:lang w:val="it-IT"/>
              </w:rPr>
            </w:pPr>
            <w:r w:rsidRPr="00981BD4">
              <w:rPr>
                <w:sz w:val="18"/>
                <w:szCs w:val="18"/>
                <w:lang w:val="it-IT"/>
              </w:rPr>
              <w:t>Compatibil</w:t>
            </w:r>
          </w:p>
          <w:p w:rsidR="001B1AB4" w:rsidRPr="00981BD4" w:rsidRDefault="001B1AB4" w:rsidP="00DA725A">
            <w:pPr>
              <w:jc w:val="both"/>
              <w:rPr>
                <w:sz w:val="18"/>
                <w:szCs w:val="18"/>
                <w:lang w:val="it-IT"/>
              </w:rPr>
            </w:pPr>
          </w:p>
          <w:p w:rsidR="001B1AB4" w:rsidRDefault="001B1AB4" w:rsidP="00DA725A">
            <w:pPr>
              <w:jc w:val="both"/>
              <w:rPr>
                <w:sz w:val="18"/>
                <w:szCs w:val="18"/>
                <w:lang w:val="it-IT"/>
              </w:rPr>
            </w:pPr>
          </w:p>
          <w:p w:rsidR="00E86803" w:rsidRDefault="00E86803" w:rsidP="00DA725A">
            <w:pPr>
              <w:jc w:val="both"/>
              <w:rPr>
                <w:sz w:val="18"/>
                <w:szCs w:val="18"/>
                <w:lang w:val="it-IT"/>
              </w:rPr>
            </w:pPr>
          </w:p>
          <w:p w:rsidR="00E86803" w:rsidRDefault="00E86803" w:rsidP="00DA725A">
            <w:pPr>
              <w:jc w:val="both"/>
              <w:rPr>
                <w:sz w:val="18"/>
                <w:szCs w:val="18"/>
                <w:lang w:val="it-IT"/>
              </w:rPr>
            </w:pPr>
          </w:p>
          <w:p w:rsidR="00F644C4" w:rsidRDefault="00F644C4" w:rsidP="00DA725A">
            <w:pPr>
              <w:jc w:val="both"/>
              <w:rPr>
                <w:sz w:val="18"/>
                <w:szCs w:val="18"/>
                <w:lang w:val="it-IT"/>
              </w:rPr>
            </w:pPr>
          </w:p>
          <w:p w:rsidR="00F644C4" w:rsidRDefault="00F644C4" w:rsidP="00DA725A">
            <w:pPr>
              <w:jc w:val="both"/>
              <w:rPr>
                <w:sz w:val="18"/>
                <w:szCs w:val="18"/>
                <w:lang w:val="it-IT"/>
              </w:rPr>
            </w:pPr>
          </w:p>
          <w:p w:rsidR="00F644C4" w:rsidRPr="00981BD4" w:rsidRDefault="00F644C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r w:rsidRPr="00981BD4">
              <w:rPr>
                <w:sz w:val="18"/>
                <w:szCs w:val="18"/>
                <w:lang w:val="it-IT"/>
              </w:rPr>
              <w:lastRenderedPageBreak/>
              <w:t>Compatibil</w:t>
            </w: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715F4" w:rsidRDefault="001715F4" w:rsidP="00DA725A">
            <w:pPr>
              <w:jc w:val="both"/>
              <w:rPr>
                <w:sz w:val="18"/>
                <w:szCs w:val="18"/>
                <w:lang w:val="it-IT"/>
              </w:rPr>
            </w:pPr>
          </w:p>
          <w:p w:rsidR="00E86803" w:rsidRDefault="00E86803" w:rsidP="00DA725A">
            <w:pPr>
              <w:jc w:val="both"/>
              <w:rPr>
                <w:sz w:val="18"/>
                <w:szCs w:val="18"/>
                <w:lang w:val="it-IT"/>
              </w:rPr>
            </w:pPr>
          </w:p>
          <w:p w:rsidR="00E86803" w:rsidRDefault="00E86803" w:rsidP="00DA725A">
            <w:pPr>
              <w:jc w:val="both"/>
              <w:rPr>
                <w:sz w:val="18"/>
                <w:szCs w:val="18"/>
                <w:lang w:val="it-IT"/>
              </w:rPr>
            </w:pPr>
          </w:p>
          <w:p w:rsidR="00E86803" w:rsidRDefault="00E86803" w:rsidP="00DA725A">
            <w:pPr>
              <w:jc w:val="both"/>
              <w:rPr>
                <w:sz w:val="18"/>
                <w:szCs w:val="18"/>
                <w:lang w:val="it-IT"/>
              </w:rPr>
            </w:pPr>
          </w:p>
          <w:p w:rsidR="00E86803" w:rsidRPr="00981BD4" w:rsidRDefault="00E86803" w:rsidP="00DA725A">
            <w:pPr>
              <w:jc w:val="both"/>
              <w:rPr>
                <w:sz w:val="18"/>
                <w:szCs w:val="18"/>
                <w:lang w:val="it-IT"/>
              </w:rPr>
            </w:pPr>
          </w:p>
          <w:p w:rsidR="001B1AB4" w:rsidRPr="00981BD4" w:rsidRDefault="001B1AB4" w:rsidP="00DA725A">
            <w:pPr>
              <w:jc w:val="both"/>
              <w:rPr>
                <w:sz w:val="18"/>
                <w:szCs w:val="18"/>
                <w:lang w:val="it-IT"/>
              </w:rPr>
            </w:pPr>
          </w:p>
          <w:p w:rsidR="001B1AB4" w:rsidRPr="00D82EE4" w:rsidRDefault="001B1AB4" w:rsidP="00DA725A">
            <w:pPr>
              <w:jc w:val="both"/>
              <w:rPr>
                <w:b/>
                <w:sz w:val="18"/>
                <w:szCs w:val="18"/>
                <w:lang w:val="it-IT"/>
              </w:rPr>
            </w:pPr>
            <w:r w:rsidRPr="00981BD4">
              <w:rPr>
                <w:sz w:val="18"/>
                <w:szCs w:val="18"/>
                <w:lang w:val="it-IT"/>
              </w:rPr>
              <w:t>Compatibil</w:t>
            </w:r>
          </w:p>
        </w:tc>
        <w:tc>
          <w:tcPr>
            <w:tcW w:w="4253" w:type="dxa"/>
            <w:shd w:val="clear" w:color="auto" w:fill="auto"/>
          </w:tcPr>
          <w:p w:rsidR="00FA1673" w:rsidRPr="00E84D74" w:rsidRDefault="00FA1673" w:rsidP="00997596">
            <w:pPr>
              <w:autoSpaceDE w:val="0"/>
              <w:autoSpaceDN w:val="0"/>
              <w:adjustRightInd w:val="0"/>
              <w:jc w:val="both"/>
              <w:rPr>
                <w:b/>
                <w:sz w:val="18"/>
                <w:szCs w:val="18"/>
              </w:rPr>
            </w:pPr>
            <w:r w:rsidRPr="00E84D74">
              <w:rPr>
                <w:b/>
                <w:sz w:val="18"/>
                <w:szCs w:val="18"/>
              </w:rPr>
              <w:lastRenderedPageBreak/>
              <w:t>Article 14</w:t>
            </w:r>
          </w:p>
          <w:p w:rsidR="00FA1673" w:rsidRPr="00E84D74" w:rsidRDefault="00FA1673" w:rsidP="00997596">
            <w:pPr>
              <w:autoSpaceDE w:val="0"/>
              <w:autoSpaceDN w:val="0"/>
              <w:adjustRightInd w:val="0"/>
              <w:jc w:val="both"/>
              <w:rPr>
                <w:b/>
                <w:sz w:val="18"/>
                <w:szCs w:val="18"/>
              </w:rPr>
            </w:pPr>
            <w:r w:rsidRPr="00E84D74">
              <w:rPr>
                <w:b/>
                <w:sz w:val="18"/>
                <w:szCs w:val="18"/>
              </w:rPr>
              <w:t>Nomination procedure at interconnection points</w:t>
            </w:r>
          </w:p>
          <w:p w:rsidR="00FA1673" w:rsidRPr="00E84D74" w:rsidRDefault="00FA1673" w:rsidP="00997596">
            <w:pPr>
              <w:autoSpaceDE w:val="0"/>
              <w:autoSpaceDN w:val="0"/>
              <w:adjustRightInd w:val="0"/>
              <w:jc w:val="both"/>
              <w:rPr>
                <w:sz w:val="18"/>
                <w:szCs w:val="18"/>
              </w:rPr>
            </w:pPr>
            <w:r w:rsidRPr="00E84D74">
              <w:rPr>
                <w:sz w:val="18"/>
                <w:szCs w:val="18"/>
              </w:rPr>
              <w:t>1. A network user shall be entitled to submit to the transmission system operator a nomination for</w:t>
            </w:r>
          </w:p>
          <w:p w:rsidR="00FA1673" w:rsidRPr="00E84D74" w:rsidRDefault="00FA1673" w:rsidP="00997596">
            <w:pPr>
              <w:autoSpaceDE w:val="0"/>
              <w:autoSpaceDN w:val="0"/>
              <w:adjustRightInd w:val="0"/>
              <w:jc w:val="both"/>
              <w:rPr>
                <w:sz w:val="18"/>
                <w:szCs w:val="18"/>
              </w:rPr>
            </w:pPr>
            <w:r w:rsidRPr="00E84D74">
              <w:rPr>
                <w:sz w:val="18"/>
                <w:szCs w:val="18"/>
              </w:rPr>
              <w:t>gas day D no later than the nomination deadline on gas day D-1. The nomination deadline shall be</w:t>
            </w:r>
          </w:p>
          <w:p w:rsidR="00FA1673" w:rsidRPr="00E84D74" w:rsidRDefault="00FA1673" w:rsidP="00997596">
            <w:pPr>
              <w:autoSpaceDE w:val="0"/>
              <w:autoSpaceDN w:val="0"/>
              <w:adjustRightInd w:val="0"/>
              <w:jc w:val="both"/>
              <w:rPr>
                <w:sz w:val="18"/>
                <w:szCs w:val="18"/>
              </w:rPr>
            </w:pPr>
            <w:r w:rsidRPr="00E84D74">
              <w:rPr>
                <w:sz w:val="18"/>
                <w:szCs w:val="18"/>
              </w:rPr>
              <w:t>13:00 UTC (winter time) or 12:00 UTC (daylight saving) on gas day D-1.</w:t>
            </w:r>
          </w:p>
          <w:p w:rsidR="00FA1673" w:rsidRPr="00E84D74" w:rsidRDefault="00FA1673" w:rsidP="00997596">
            <w:pPr>
              <w:autoSpaceDE w:val="0"/>
              <w:autoSpaceDN w:val="0"/>
              <w:adjustRightInd w:val="0"/>
              <w:jc w:val="both"/>
              <w:rPr>
                <w:sz w:val="18"/>
                <w:szCs w:val="18"/>
              </w:rPr>
            </w:pPr>
            <w:r w:rsidRPr="00E84D74">
              <w:rPr>
                <w:sz w:val="18"/>
                <w:szCs w:val="18"/>
              </w:rPr>
              <w:t>2. The last nomination received by the transmission system operator from a network user before the</w:t>
            </w:r>
          </w:p>
          <w:p w:rsidR="00FA1673" w:rsidRPr="00E84D74" w:rsidRDefault="00FA1673" w:rsidP="00997596">
            <w:pPr>
              <w:autoSpaceDE w:val="0"/>
              <w:autoSpaceDN w:val="0"/>
              <w:adjustRightInd w:val="0"/>
              <w:jc w:val="both"/>
              <w:rPr>
                <w:sz w:val="18"/>
                <w:szCs w:val="18"/>
              </w:rPr>
            </w:pPr>
            <w:r w:rsidRPr="00E84D74">
              <w:rPr>
                <w:sz w:val="18"/>
                <w:szCs w:val="18"/>
              </w:rPr>
              <w:t>nomination deadline shall be taken into account by the transmission system operator.</w:t>
            </w:r>
          </w:p>
          <w:p w:rsidR="00FA1673" w:rsidRPr="00E84D74" w:rsidRDefault="00FA1673" w:rsidP="00997596">
            <w:pPr>
              <w:autoSpaceDE w:val="0"/>
              <w:autoSpaceDN w:val="0"/>
              <w:adjustRightInd w:val="0"/>
              <w:jc w:val="both"/>
              <w:rPr>
                <w:sz w:val="18"/>
                <w:szCs w:val="18"/>
              </w:rPr>
            </w:pPr>
            <w:r w:rsidRPr="00E84D74">
              <w:rPr>
                <w:sz w:val="18"/>
                <w:szCs w:val="18"/>
              </w:rPr>
              <w:t>3. The transmission system operator shall send the message regarding the confirmed quantities to the</w:t>
            </w:r>
          </w:p>
          <w:p w:rsidR="00FA1673" w:rsidRPr="00E84D74" w:rsidRDefault="00FA1673" w:rsidP="00997596">
            <w:pPr>
              <w:autoSpaceDE w:val="0"/>
              <w:autoSpaceDN w:val="0"/>
              <w:adjustRightInd w:val="0"/>
              <w:jc w:val="both"/>
              <w:rPr>
                <w:sz w:val="18"/>
                <w:szCs w:val="18"/>
              </w:rPr>
            </w:pPr>
            <w:r w:rsidRPr="00E84D74">
              <w:rPr>
                <w:sz w:val="18"/>
                <w:szCs w:val="18"/>
              </w:rPr>
              <w:t>respective network users no later than the confirmation deadline on gas day D-1. The confirmation deadline shall be 15:00 UTC (winter time) or 14:00 UTC (daylight saving) on gas day D-1.</w:t>
            </w:r>
          </w:p>
          <w:p w:rsidR="00F644C4" w:rsidRDefault="00F644C4" w:rsidP="00997596">
            <w:pPr>
              <w:autoSpaceDE w:val="0"/>
              <w:autoSpaceDN w:val="0"/>
              <w:adjustRightInd w:val="0"/>
              <w:jc w:val="both"/>
              <w:rPr>
                <w:sz w:val="18"/>
                <w:szCs w:val="18"/>
              </w:rPr>
            </w:pPr>
          </w:p>
          <w:p w:rsidR="00F644C4" w:rsidRDefault="00F644C4" w:rsidP="00997596">
            <w:pPr>
              <w:autoSpaceDE w:val="0"/>
              <w:autoSpaceDN w:val="0"/>
              <w:adjustRightInd w:val="0"/>
              <w:jc w:val="both"/>
              <w:rPr>
                <w:sz w:val="18"/>
                <w:szCs w:val="18"/>
              </w:rPr>
            </w:pPr>
          </w:p>
          <w:p w:rsidR="00F644C4" w:rsidRDefault="00F644C4" w:rsidP="00997596">
            <w:pPr>
              <w:autoSpaceDE w:val="0"/>
              <w:autoSpaceDN w:val="0"/>
              <w:adjustRightInd w:val="0"/>
              <w:jc w:val="both"/>
              <w:rPr>
                <w:sz w:val="18"/>
                <w:szCs w:val="18"/>
              </w:rPr>
            </w:pPr>
          </w:p>
          <w:p w:rsidR="00FA1673" w:rsidRPr="00E84D74" w:rsidRDefault="00FA1673" w:rsidP="00997596">
            <w:pPr>
              <w:autoSpaceDE w:val="0"/>
              <w:autoSpaceDN w:val="0"/>
              <w:adjustRightInd w:val="0"/>
              <w:jc w:val="both"/>
              <w:rPr>
                <w:sz w:val="18"/>
                <w:szCs w:val="18"/>
              </w:rPr>
            </w:pPr>
            <w:r w:rsidRPr="00E84D74">
              <w:rPr>
                <w:sz w:val="18"/>
                <w:szCs w:val="18"/>
              </w:rPr>
              <w:lastRenderedPageBreak/>
              <w:t>4. The transmission system operators at either side of the interconnection point may agree to offer a pre-nomination cycle within which:</w:t>
            </w:r>
          </w:p>
          <w:p w:rsidR="00FA1673" w:rsidRPr="00E84D74" w:rsidRDefault="00FA1673" w:rsidP="00997596">
            <w:pPr>
              <w:autoSpaceDE w:val="0"/>
              <w:autoSpaceDN w:val="0"/>
              <w:adjustRightInd w:val="0"/>
              <w:jc w:val="both"/>
              <w:rPr>
                <w:sz w:val="18"/>
                <w:szCs w:val="18"/>
              </w:rPr>
            </w:pPr>
            <w:r w:rsidRPr="00E84D74">
              <w:rPr>
                <w:sz w:val="18"/>
                <w:szCs w:val="18"/>
              </w:rPr>
              <w:t>(a) network users are not obliged to submit nominations;</w:t>
            </w:r>
          </w:p>
          <w:p w:rsidR="00FA1673" w:rsidRPr="00E84D74" w:rsidRDefault="00FA1673" w:rsidP="00997596">
            <w:pPr>
              <w:autoSpaceDE w:val="0"/>
              <w:autoSpaceDN w:val="0"/>
              <w:adjustRightInd w:val="0"/>
              <w:jc w:val="both"/>
              <w:rPr>
                <w:sz w:val="18"/>
                <w:szCs w:val="18"/>
              </w:rPr>
            </w:pPr>
            <w:r w:rsidRPr="00E84D74">
              <w:rPr>
                <w:sz w:val="18"/>
                <w:szCs w:val="18"/>
              </w:rPr>
              <w:t>(b) network users may submit to transmission system operators the nominations for gas day D no later than 12:00 UTC (winter time) or 11:00 UTC (daylight saving) on gas day D-1;</w:t>
            </w:r>
          </w:p>
          <w:p w:rsidR="00FA1673" w:rsidRPr="00E84D74" w:rsidRDefault="00FA1673" w:rsidP="00997596">
            <w:pPr>
              <w:autoSpaceDE w:val="0"/>
              <w:autoSpaceDN w:val="0"/>
              <w:adjustRightInd w:val="0"/>
              <w:jc w:val="both"/>
              <w:rPr>
                <w:sz w:val="18"/>
                <w:szCs w:val="18"/>
              </w:rPr>
            </w:pPr>
            <w:r w:rsidRPr="00E84D74">
              <w:rPr>
                <w:sz w:val="18"/>
                <w:szCs w:val="18"/>
              </w:rPr>
              <w:t>(c) the transmission system operator shall send the message regarding the processed quantities to the respective network users no later than 12:30 UTC (winter time) or 11:30 UTC (daylight saving) on gas day D-1.</w:t>
            </w:r>
          </w:p>
          <w:p w:rsidR="00FA1673" w:rsidRPr="00E84D74" w:rsidRDefault="00FA1673" w:rsidP="00997596">
            <w:pPr>
              <w:autoSpaceDE w:val="0"/>
              <w:autoSpaceDN w:val="0"/>
              <w:adjustRightInd w:val="0"/>
              <w:jc w:val="both"/>
              <w:rPr>
                <w:sz w:val="18"/>
                <w:szCs w:val="18"/>
              </w:rPr>
            </w:pPr>
            <w:r w:rsidRPr="00E84D74">
              <w:rPr>
                <w:sz w:val="18"/>
                <w:szCs w:val="18"/>
              </w:rPr>
              <w:t>5. In the absence of a valid nomination sent by the network user before the nomination deadline,</w:t>
            </w:r>
          </w:p>
          <w:p w:rsidR="00FA1673" w:rsidRPr="00E84D74" w:rsidRDefault="00FA1673" w:rsidP="00997596">
            <w:pPr>
              <w:autoSpaceDE w:val="0"/>
              <w:autoSpaceDN w:val="0"/>
              <w:adjustRightInd w:val="0"/>
              <w:jc w:val="both"/>
              <w:rPr>
                <w:sz w:val="18"/>
                <w:szCs w:val="18"/>
              </w:rPr>
            </w:pPr>
            <w:r w:rsidRPr="00E84D74">
              <w:rPr>
                <w:sz w:val="18"/>
                <w:szCs w:val="18"/>
              </w:rPr>
              <w:t>the respective transmission system operators shall apply the default nomination rule agreed between these transmission system operators. The default nomination rule in force at an interconnection point shall be made available to the network users of the transmission system operators.</w:t>
            </w:r>
          </w:p>
          <w:p w:rsidR="00FA1673" w:rsidRPr="00E84D74" w:rsidRDefault="00FA1673" w:rsidP="00997596">
            <w:pPr>
              <w:autoSpaceDE w:val="0"/>
              <w:autoSpaceDN w:val="0"/>
              <w:adjustRightInd w:val="0"/>
              <w:jc w:val="both"/>
              <w:rPr>
                <w:b/>
                <w:bCs/>
                <w:i/>
                <w:iCs/>
                <w:sz w:val="18"/>
                <w:szCs w:val="18"/>
              </w:rPr>
            </w:pPr>
          </w:p>
        </w:tc>
      </w:tr>
      <w:tr w:rsidR="00FA1673" w:rsidRPr="00043955" w:rsidTr="00FC3840">
        <w:trPr>
          <w:trHeight w:val="1240"/>
        </w:trPr>
        <w:tc>
          <w:tcPr>
            <w:tcW w:w="5245" w:type="dxa"/>
            <w:shd w:val="clear" w:color="auto" w:fill="auto"/>
          </w:tcPr>
          <w:p w:rsidR="00856A80" w:rsidRPr="00981BD4" w:rsidRDefault="00856A80"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15</w:t>
            </w:r>
          </w:p>
          <w:p w:rsidR="00856A80" w:rsidRPr="00981BD4" w:rsidRDefault="00856A80" w:rsidP="00DA725A">
            <w:pPr>
              <w:jc w:val="center"/>
              <w:textAlignment w:val="baseline"/>
              <w:rPr>
                <w:rFonts w:ascii="Segoe UI" w:hAnsi="Segoe UI" w:cs="Segoe UI"/>
                <w:sz w:val="18"/>
                <w:szCs w:val="18"/>
                <w:lang w:val="it-IT" w:eastAsia="en-US"/>
              </w:rPr>
            </w:pPr>
            <w:r w:rsidRPr="00981BD4">
              <w:rPr>
                <w:b/>
                <w:bCs/>
                <w:sz w:val="18"/>
                <w:szCs w:val="18"/>
                <w:lang w:val="it-IT" w:eastAsia="en-US"/>
              </w:rPr>
              <w:t>Procedura de renominalizare la punctele de interconectare</w:t>
            </w: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(1)   Un utilizator al rețelei poate prezenta renominalizări pe durata perioadei de renominalizare, care începe imediat după termenul limită pentru confirmare și se încheie în decurs de minimum trei ore înainte de încheierea zilei gaziere Z. Operatorul de sistem de transport inițiază un ciclu de renominalizare la începutul fiecărei ore din perioada de renominalizare. </w:t>
            </w:r>
          </w:p>
          <w:p w:rsidR="00715AE7" w:rsidRPr="00981BD4" w:rsidRDefault="00715AE7" w:rsidP="00DA725A">
            <w:pPr>
              <w:jc w:val="both"/>
              <w:textAlignment w:val="baseline"/>
              <w:rPr>
                <w:sz w:val="18"/>
                <w:szCs w:val="18"/>
                <w:lang w:val="it-IT" w:eastAsia="en-US"/>
              </w:rPr>
            </w:pPr>
          </w:p>
          <w:p w:rsidR="00856A80" w:rsidRPr="00981BD4" w:rsidRDefault="00856A80" w:rsidP="00DA725A">
            <w:pPr>
              <w:textAlignment w:val="baseline"/>
              <w:rPr>
                <w:rFonts w:ascii="Segoe UI" w:hAnsi="Segoe UI" w:cs="Segoe UI"/>
                <w:sz w:val="18"/>
                <w:szCs w:val="18"/>
                <w:lang w:val="it-IT" w:eastAsia="en-US"/>
              </w:rPr>
            </w:pPr>
            <w:r w:rsidRPr="00981BD4">
              <w:rPr>
                <w:sz w:val="18"/>
                <w:szCs w:val="18"/>
                <w:lang w:val="it-IT" w:eastAsia="en-US"/>
              </w:rPr>
              <w:t>(2)   Ultima renominalizare primită de către operatorul de sistem de transport din partea unui utilizator al rețelei înainte de începerea ciclului de renominalizare este luată în considerare de către operatorul de sistem de transport în ciclul de renominalizare.</w:t>
            </w:r>
          </w:p>
          <w:p w:rsidR="00715AE7" w:rsidRPr="00981BD4" w:rsidRDefault="00715AE7" w:rsidP="00DA725A">
            <w:pPr>
              <w:jc w:val="both"/>
              <w:textAlignment w:val="baseline"/>
              <w:rPr>
                <w:sz w:val="18"/>
                <w:szCs w:val="18"/>
                <w:lang w:val="it-IT" w:eastAsia="en-US"/>
              </w:rPr>
            </w:pP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(3)   Operatorul de sistem de transport trimite respectivilor utilizatori ai rețelei mesajul privind cantitățile confirmate în termen de două ore de la începutul fiecărui ciclu de renominalizare. Momentul de început al modificării efective a fluxului de gaz este la două ore de la începutul ciclului de renominalizare, cu excepția cazului în care: </w:t>
            </w: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utilizatorul rețelei solicită un moment ulterior; sau </w:t>
            </w: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permite un moment anterior. </w:t>
            </w:r>
          </w:p>
          <w:p w:rsidR="00715AE7" w:rsidRPr="00981BD4" w:rsidRDefault="00715AE7" w:rsidP="00DA725A">
            <w:pPr>
              <w:jc w:val="both"/>
              <w:textAlignment w:val="baseline"/>
              <w:rPr>
                <w:sz w:val="18"/>
                <w:szCs w:val="18"/>
                <w:lang w:val="it-IT" w:eastAsia="en-US"/>
              </w:rPr>
            </w:pP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(4)   Se presupune că orice modificare a fluxului de gaze are loc la începutul fiecărei ore. </w:t>
            </w:r>
          </w:p>
          <w:p w:rsidR="00FA1673" w:rsidRPr="00981BD4" w:rsidRDefault="00FA1673" w:rsidP="00DA725A">
            <w:pPr>
              <w:jc w:val="center"/>
              <w:textAlignment w:val="baseline"/>
              <w:rPr>
                <w:b/>
                <w:bCs/>
                <w:sz w:val="18"/>
                <w:szCs w:val="18"/>
                <w:lang w:val="it-IT" w:eastAsia="en-US"/>
              </w:rPr>
            </w:pPr>
          </w:p>
        </w:tc>
        <w:tc>
          <w:tcPr>
            <w:tcW w:w="4962" w:type="dxa"/>
            <w:shd w:val="clear" w:color="auto" w:fill="auto"/>
          </w:tcPr>
          <w:p w:rsidR="00467D81" w:rsidRPr="00467D81" w:rsidRDefault="00467D81" w:rsidP="00467D81">
            <w:pPr>
              <w:jc w:val="center"/>
              <w:textAlignment w:val="baseline"/>
              <w:rPr>
                <w:b/>
                <w:bCs/>
                <w:sz w:val="18"/>
                <w:szCs w:val="18"/>
                <w:lang w:val="ro-RO" w:eastAsia="en-US"/>
              </w:rPr>
            </w:pPr>
            <w:r w:rsidRPr="00467D81">
              <w:rPr>
                <w:b/>
                <w:bCs/>
                <w:sz w:val="18"/>
                <w:szCs w:val="18"/>
                <w:lang w:val="ro-RO" w:eastAsia="en-US"/>
              </w:rPr>
              <w:t>Secţiunea 4</w:t>
            </w:r>
          </w:p>
          <w:p w:rsidR="00467D81" w:rsidRPr="00467D81" w:rsidRDefault="00467D81" w:rsidP="00467D81">
            <w:pPr>
              <w:jc w:val="center"/>
              <w:textAlignment w:val="baseline"/>
              <w:rPr>
                <w:b/>
                <w:bCs/>
                <w:sz w:val="18"/>
                <w:szCs w:val="18"/>
                <w:lang w:val="ro-RO" w:eastAsia="en-US"/>
              </w:rPr>
            </w:pPr>
            <w:r w:rsidRPr="00467D81">
              <w:rPr>
                <w:b/>
                <w:bCs/>
                <w:sz w:val="18"/>
                <w:szCs w:val="18"/>
                <w:lang w:val="ro-RO" w:eastAsia="en-US"/>
              </w:rPr>
              <w:t>Procedura de renominalizare la punctele de interconectare</w:t>
            </w:r>
          </w:p>
          <w:p w:rsidR="00467D81" w:rsidRPr="00467D81" w:rsidRDefault="00467D81" w:rsidP="00467D81">
            <w:pPr>
              <w:textAlignment w:val="baseline"/>
              <w:rPr>
                <w:bCs/>
                <w:sz w:val="18"/>
                <w:szCs w:val="18"/>
                <w:lang w:val="ro-RO" w:eastAsia="en-US"/>
              </w:rPr>
            </w:pPr>
            <w:r w:rsidRPr="00467D81">
              <w:rPr>
                <w:b/>
                <w:bCs/>
                <w:sz w:val="18"/>
                <w:szCs w:val="18"/>
                <w:lang w:val="ro-RO" w:eastAsia="en-US"/>
              </w:rPr>
              <w:t>494.</w:t>
            </w:r>
            <w:r w:rsidRPr="00467D81">
              <w:rPr>
                <w:bCs/>
                <w:sz w:val="18"/>
                <w:szCs w:val="18"/>
                <w:lang w:val="ro-RO" w:eastAsia="en-US"/>
              </w:rPr>
              <w:t xml:space="preserve"> Un utilizator de sistem poate prezenta renominalizări pe durata perioadei de renominalizare, care începe imediat după termenul limită pentru confirmare şi se încheie în decurs de minimum 3 ore înainte de încheierea zilei gaziere Z. OST iniţiază un ciclu de renominalizare la începutul fiecărei ore din perioada de renominalizare.</w:t>
            </w:r>
          </w:p>
          <w:p w:rsidR="00424FEF" w:rsidRDefault="00424FEF" w:rsidP="00467D81">
            <w:pPr>
              <w:textAlignment w:val="baseline"/>
              <w:rPr>
                <w:b/>
                <w:bCs/>
                <w:sz w:val="18"/>
                <w:szCs w:val="18"/>
                <w:lang w:val="ro-RO" w:eastAsia="en-US"/>
              </w:rPr>
            </w:pPr>
          </w:p>
          <w:p w:rsidR="00467D81" w:rsidRPr="00467D81" w:rsidRDefault="00467D81" w:rsidP="00467D81">
            <w:pPr>
              <w:textAlignment w:val="baseline"/>
              <w:rPr>
                <w:bCs/>
                <w:sz w:val="18"/>
                <w:szCs w:val="18"/>
                <w:lang w:val="ro-RO" w:eastAsia="en-US"/>
              </w:rPr>
            </w:pPr>
            <w:r w:rsidRPr="00467D81">
              <w:rPr>
                <w:b/>
                <w:bCs/>
                <w:sz w:val="18"/>
                <w:szCs w:val="18"/>
                <w:lang w:val="ro-RO" w:eastAsia="en-US"/>
              </w:rPr>
              <w:t>495.</w:t>
            </w:r>
            <w:r w:rsidRPr="00467D81">
              <w:rPr>
                <w:bCs/>
                <w:sz w:val="18"/>
                <w:szCs w:val="18"/>
                <w:lang w:val="ro-RO" w:eastAsia="en-US"/>
              </w:rPr>
              <w:t xml:space="preserve"> Ultima renominalizare primită de către OST din partea unui utilizator de sistem înainte de începerea ciclului de renominalizare este luată în considerare de către OST în ciclul de renominalizare.</w:t>
            </w:r>
          </w:p>
          <w:p w:rsidR="00424FEF" w:rsidRDefault="00424FEF" w:rsidP="00467D81">
            <w:pPr>
              <w:textAlignment w:val="baseline"/>
              <w:rPr>
                <w:b/>
                <w:bCs/>
                <w:sz w:val="18"/>
                <w:szCs w:val="18"/>
                <w:lang w:val="ro-RO" w:eastAsia="en-US"/>
              </w:rPr>
            </w:pPr>
          </w:p>
          <w:p w:rsidR="00467D81" w:rsidRPr="00467D81" w:rsidRDefault="00467D81" w:rsidP="00467D81">
            <w:pPr>
              <w:textAlignment w:val="baseline"/>
              <w:rPr>
                <w:bCs/>
                <w:sz w:val="18"/>
                <w:szCs w:val="18"/>
                <w:lang w:val="ro-RO" w:eastAsia="en-US"/>
              </w:rPr>
            </w:pPr>
            <w:r w:rsidRPr="00467D81">
              <w:rPr>
                <w:b/>
                <w:bCs/>
                <w:sz w:val="18"/>
                <w:szCs w:val="18"/>
                <w:lang w:val="ro-RO" w:eastAsia="en-US"/>
              </w:rPr>
              <w:t>496.</w:t>
            </w:r>
            <w:r w:rsidRPr="00467D81">
              <w:rPr>
                <w:bCs/>
                <w:sz w:val="18"/>
                <w:szCs w:val="18"/>
                <w:lang w:val="ro-RO" w:eastAsia="en-US"/>
              </w:rPr>
              <w:t xml:space="preserve"> OST trimite respectivilor utilizatori de sistem mesajul privind cantităţile confirmate în termen de 2 ore de la începutul fiecărui ciclu de renominalizare. Momentul de început al modificării efective a fluxului de gaze naturale este la 2 ore de la începutul ciclului de renominalizare, cu excepţia cazului în care:</w:t>
            </w:r>
          </w:p>
          <w:p w:rsidR="00467D81" w:rsidRPr="00467D81" w:rsidRDefault="00467D81" w:rsidP="00467D81">
            <w:pPr>
              <w:textAlignment w:val="baseline"/>
              <w:rPr>
                <w:bCs/>
                <w:sz w:val="18"/>
                <w:szCs w:val="18"/>
                <w:lang w:val="ro-RO" w:eastAsia="en-US"/>
              </w:rPr>
            </w:pPr>
            <w:r w:rsidRPr="00467D81">
              <w:rPr>
                <w:bCs/>
                <w:sz w:val="18"/>
                <w:szCs w:val="18"/>
                <w:lang w:val="ro-RO" w:eastAsia="en-US"/>
              </w:rPr>
              <w:t>1) utilizatorul de sistem solicită o oră ulterioară; sau</w:t>
            </w:r>
          </w:p>
          <w:p w:rsidR="00467D81" w:rsidRPr="00467D81" w:rsidRDefault="00467D81" w:rsidP="00467D81">
            <w:pPr>
              <w:textAlignment w:val="baseline"/>
              <w:rPr>
                <w:bCs/>
                <w:sz w:val="18"/>
                <w:szCs w:val="18"/>
                <w:lang w:val="ro-RO" w:eastAsia="en-US"/>
              </w:rPr>
            </w:pPr>
            <w:r w:rsidRPr="00467D81">
              <w:rPr>
                <w:bCs/>
                <w:sz w:val="18"/>
                <w:szCs w:val="18"/>
                <w:lang w:val="ro-RO" w:eastAsia="en-US"/>
              </w:rPr>
              <w:t>2) OST permite un timp anterior.</w:t>
            </w:r>
          </w:p>
          <w:p w:rsidR="00424FEF" w:rsidRDefault="00424FEF" w:rsidP="00467D81">
            <w:pPr>
              <w:textAlignment w:val="baseline"/>
              <w:rPr>
                <w:b/>
                <w:bCs/>
                <w:sz w:val="18"/>
                <w:szCs w:val="18"/>
                <w:lang w:val="ro-RO" w:eastAsia="en-US"/>
              </w:rPr>
            </w:pPr>
          </w:p>
          <w:p w:rsidR="00467D81" w:rsidRPr="00467D81" w:rsidRDefault="00467D81" w:rsidP="00467D81">
            <w:pPr>
              <w:textAlignment w:val="baseline"/>
              <w:rPr>
                <w:bCs/>
                <w:sz w:val="18"/>
                <w:szCs w:val="18"/>
                <w:lang w:val="ro-RO" w:eastAsia="en-US"/>
              </w:rPr>
            </w:pPr>
            <w:r w:rsidRPr="00467D81">
              <w:rPr>
                <w:b/>
                <w:bCs/>
                <w:sz w:val="18"/>
                <w:szCs w:val="18"/>
                <w:lang w:val="ro-RO" w:eastAsia="en-US"/>
              </w:rPr>
              <w:t>497.</w:t>
            </w:r>
            <w:r w:rsidRPr="00467D81">
              <w:rPr>
                <w:bCs/>
                <w:sz w:val="18"/>
                <w:szCs w:val="18"/>
                <w:lang w:val="ro-RO" w:eastAsia="en-US"/>
              </w:rPr>
              <w:t xml:space="preserve"> Se presupune că orice modificare a fluxului de gaze naturale are loc la începutul fiecărei ore.</w:t>
            </w:r>
          </w:p>
          <w:p w:rsidR="00FA1673" w:rsidRPr="00467D81" w:rsidRDefault="00FA1673" w:rsidP="00467D81">
            <w:pPr>
              <w:textAlignment w:val="baseline"/>
              <w:rPr>
                <w:b/>
                <w:bCs/>
                <w:sz w:val="18"/>
                <w:szCs w:val="18"/>
                <w:lang w:val="ro-RO" w:eastAsia="en-US"/>
              </w:rPr>
            </w:pPr>
          </w:p>
        </w:tc>
        <w:tc>
          <w:tcPr>
            <w:tcW w:w="1275" w:type="dxa"/>
            <w:shd w:val="clear" w:color="auto" w:fill="auto"/>
          </w:tcPr>
          <w:p w:rsidR="00FA1673" w:rsidRDefault="00FA1673" w:rsidP="00DA725A">
            <w:pPr>
              <w:jc w:val="both"/>
              <w:rPr>
                <w:b/>
                <w:sz w:val="18"/>
                <w:szCs w:val="18"/>
                <w:lang w:val="it-IT"/>
              </w:rPr>
            </w:pPr>
          </w:p>
          <w:p w:rsidR="00992E7C" w:rsidRDefault="00992E7C" w:rsidP="00DA725A">
            <w:pPr>
              <w:jc w:val="both"/>
              <w:rPr>
                <w:sz w:val="18"/>
                <w:szCs w:val="18"/>
              </w:rPr>
            </w:pPr>
            <w:r w:rsidRPr="00E55B82">
              <w:rPr>
                <w:sz w:val="18"/>
                <w:szCs w:val="18"/>
              </w:rPr>
              <w:t>Compatibil</w:t>
            </w: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793898" w:rsidRDefault="00793898" w:rsidP="00DA725A">
            <w:pPr>
              <w:jc w:val="both"/>
              <w:rPr>
                <w:sz w:val="18"/>
                <w:szCs w:val="18"/>
              </w:rPr>
            </w:pPr>
          </w:p>
          <w:p w:rsidR="00793898" w:rsidRDefault="00793898"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r w:rsidRPr="00E55B82">
              <w:rPr>
                <w:sz w:val="18"/>
                <w:szCs w:val="18"/>
              </w:rPr>
              <w:t>Compatibil</w:t>
            </w:r>
          </w:p>
          <w:p w:rsidR="00992E7C" w:rsidRDefault="00992E7C" w:rsidP="00DA725A">
            <w:pPr>
              <w:jc w:val="both"/>
              <w:rPr>
                <w:sz w:val="18"/>
                <w:szCs w:val="18"/>
              </w:rPr>
            </w:pPr>
          </w:p>
          <w:p w:rsidR="00992E7C" w:rsidRDefault="00992E7C" w:rsidP="00DA725A">
            <w:pPr>
              <w:jc w:val="both"/>
              <w:rPr>
                <w:sz w:val="18"/>
                <w:szCs w:val="18"/>
              </w:rPr>
            </w:pPr>
          </w:p>
          <w:p w:rsidR="00793898" w:rsidRDefault="00793898"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r w:rsidRPr="00E55B82">
              <w:rPr>
                <w:sz w:val="18"/>
                <w:szCs w:val="18"/>
              </w:rPr>
              <w:t>Compatibil</w:t>
            </w: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793898" w:rsidRDefault="00793898" w:rsidP="00DA725A">
            <w:pPr>
              <w:jc w:val="both"/>
              <w:rPr>
                <w:sz w:val="18"/>
                <w:szCs w:val="18"/>
              </w:rPr>
            </w:pPr>
          </w:p>
          <w:p w:rsidR="00992E7C" w:rsidRDefault="00992E7C" w:rsidP="00DA725A">
            <w:pPr>
              <w:jc w:val="both"/>
              <w:rPr>
                <w:sz w:val="18"/>
                <w:szCs w:val="18"/>
              </w:rPr>
            </w:pPr>
          </w:p>
          <w:p w:rsidR="00992E7C" w:rsidRPr="00D82EE4" w:rsidRDefault="00992E7C" w:rsidP="00DA725A">
            <w:pPr>
              <w:jc w:val="both"/>
              <w:rPr>
                <w:b/>
                <w:sz w:val="18"/>
                <w:szCs w:val="18"/>
                <w:lang w:val="it-IT"/>
              </w:rPr>
            </w:pPr>
            <w:r w:rsidRPr="00E55B82">
              <w:rPr>
                <w:sz w:val="18"/>
                <w:szCs w:val="18"/>
              </w:rPr>
              <w:t>Compatibil</w:t>
            </w:r>
          </w:p>
        </w:tc>
        <w:tc>
          <w:tcPr>
            <w:tcW w:w="4253" w:type="dxa"/>
            <w:shd w:val="clear" w:color="auto" w:fill="auto"/>
          </w:tcPr>
          <w:p w:rsidR="00856A80" w:rsidRPr="00E84D74" w:rsidRDefault="00856A80" w:rsidP="00997596">
            <w:pPr>
              <w:autoSpaceDE w:val="0"/>
              <w:autoSpaceDN w:val="0"/>
              <w:adjustRightInd w:val="0"/>
              <w:jc w:val="both"/>
              <w:rPr>
                <w:b/>
                <w:sz w:val="18"/>
                <w:szCs w:val="18"/>
              </w:rPr>
            </w:pPr>
            <w:r w:rsidRPr="00E84D74">
              <w:rPr>
                <w:b/>
                <w:sz w:val="18"/>
                <w:szCs w:val="18"/>
              </w:rPr>
              <w:t>Article 15</w:t>
            </w:r>
          </w:p>
          <w:p w:rsidR="00856A80" w:rsidRPr="00E84D74" w:rsidRDefault="00856A80" w:rsidP="00997596">
            <w:pPr>
              <w:autoSpaceDE w:val="0"/>
              <w:autoSpaceDN w:val="0"/>
              <w:adjustRightInd w:val="0"/>
              <w:jc w:val="both"/>
              <w:rPr>
                <w:b/>
                <w:sz w:val="18"/>
                <w:szCs w:val="18"/>
              </w:rPr>
            </w:pPr>
            <w:r w:rsidRPr="00E84D74">
              <w:rPr>
                <w:b/>
                <w:sz w:val="18"/>
                <w:szCs w:val="18"/>
              </w:rPr>
              <w:t>Re-nomination procedure at interconnection points</w:t>
            </w:r>
          </w:p>
          <w:p w:rsidR="00856A80" w:rsidRPr="00E84D74" w:rsidRDefault="00856A80" w:rsidP="00997596">
            <w:pPr>
              <w:autoSpaceDE w:val="0"/>
              <w:autoSpaceDN w:val="0"/>
              <w:adjustRightInd w:val="0"/>
              <w:jc w:val="both"/>
              <w:rPr>
                <w:sz w:val="18"/>
                <w:szCs w:val="18"/>
              </w:rPr>
            </w:pPr>
            <w:r w:rsidRPr="00E84D74">
              <w:rPr>
                <w:sz w:val="18"/>
                <w:szCs w:val="18"/>
              </w:rPr>
              <w:t>1. A network user shall be entitled to submit re-nominations within the re-nomination period which</w:t>
            </w:r>
          </w:p>
          <w:p w:rsidR="00856A80" w:rsidRPr="00E84D74" w:rsidRDefault="00856A80" w:rsidP="00997596">
            <w:pPr>
              <w:autoSpaceDE w:val="0"/>
              <w:autoSpaceDN w:val="0"/>
              <w:adjustRightInd w:val="0"/>
              <w:jc w:val="both"/>
              <w:rPr>
                <w:sz w:val="18"/>
                <w:szCs w:val="18"/>
              </w:rPr>
            </w:pPr>
            <w:r w:rsidRPr="00E84D74">
              <w:rPr>
                <w:sz w:val="18"/>
                <w:szCs w:val="18"/>
              </w:rPr>
              <w:t>starts immediately after the confirmation deadline and ends no earlier than three hours before the end of gas day D. The transmission system operator shall start a re-nomination cycle at the start of every hour within the re-nomination period.</w:t>
            </w:r>
          </w:p>
          <w:p w:rsidR="00856A80" w:rsidRPr="00E84D74" w:rsidRDefault="00856A80" w:rsidP="00997596">
            <w:pPr>
              <w:autoSpaceDE w:val="0"/>
              <w:autoSpaceDN w:val="0"/>
              <w:adjustRightInd w:val="0"/>
              <w:jc w:val="both"/>
              <w:rPr>
                <w:sz w:val="18"/>
                <w:szCs w:val="18"/>
              </w:rPr>
            </w:pPr>
            <w:r w:rsidRPr="00E84D74">
              <w:rPr>
                <w:sz w:val="18"/>
                <w:szCs w:val="18"/>
              </w:rPr>
              <w:t>2. The last re-nomination received by the transmission system operator from a network user before the renomination cycle starts shall be taken into account by the transmission system operator in the re-nomination cycle.</w:t>
            </w:r>
          </w:p>
          <w:p w:rsidR="00856A80" w:rsidRPr="00E84D74" w:rsidRDefault="00856A80" w:rsidP="00997596">
            <w:pPr>
              <w:autoSpaceDE w:val="0"/>
              <w:autoSpaceDN w:val="0"/>
              <w:adjustRightInd w:val="0"/>
              <w:jc w:val="both"/>
              <w:rPr>
                <w:sz w:val="18"/>
                <w:szCs w:val="18"/>
              </w:rPr>
            </w:pPr>
            <w:r w:rsidRPr="00E84D74">
              <w:rPr>
                <w:sz w:val="18"/>
                <w:szCs w:val="18"/>
              </w:rPr>
              <w:t>3. The transmission system operator shall send the message regarding the confirmed quantities to the</w:t>
            </w:r>
          </w:p>
          <w:p w:rsidR="00856A80" w:rsidRPr="00E84D74" w:rsidRDefault="00856A80" w:rsidP="00997596">
            <w:pPr>
              <w:autoSpaceDE w:val="0"/>
              <w:autoSpaceDN w:val="0"/>
              <w:adjustRightInd w:val="0"/>
              <w:jc w:val="both"/>
              <w:rPr>
                <w:sz w:val="18"/>
                <w:szCs w:val="18"/>
              </w:rPr>
            </w:pPr>
            <w:r w:rsidRPr="00E84D74">
              <w:rPr>
                <w:sz w:val="18"/>
                <w:szCs w:val="18"/>
              </w:rPr>
              <w:t>respective network users within two hours from the start of each re-nomination cycle. The start time of the effective gas flow change shall be two hours from the start of the re-nomination cycle, unless:</w:t>
            </w:r>
          </w:p>
          <w:p w:rsidR="00856A80" w:rsidRPr="00E84D74" w:rsidRDefault="00856A80" w:rsidP="00997596">
            <w:pPr>
              <w:autoSpaceDE w:val="0"/>
              <w:autoSpaceDN w:val="0"/>
              <w:adjustRightInd w:val="0"/>
              <w:jc w:val="both"/>
              <w:rPr>
                <w:sz w:val="18"/>
                <w:szCs w:val="18"/>
              </w:rPr>
            </w:pPr>
            <w:r w:rsidRPr="00E84D74">
              <w:rPr>
                <w:sz w:val="18"/>
                <w:szCs w:val="18"/>
              </w:rPr>
              <w:t>(a) a later time is requested by the network user; or</w:t>
            </w:r>
          </w:p>
          <w:p w:rsidR="00856A80" w:rsidRPr="00E84D74" w:rsidRDefault="00856A80" w:rsidP="00997596">
            <w:pPr>
              <w:autoSpaceDE w:val="0"/>
              <w:autoSpaceDN w:val="0"/>
              <w:adjustRightInd w:val="0"/>
              <w:jc w:val="both"/>
              <w:rPr>
                <w:sz w:val="18"/>
                <w:szCs w:val="18"/>
              </w:rPr>
            </w:pPr>
            <w:r w:rsidRPr="00E84D74">
              <w:rPr>
                <w:sz w:val="18"/>
                <w:szCs w:val="18"/>
              </w:rPr>
              <w:t>(b) an earlier time is allowed by the transmission system operator.</w:t>
            </w:r>
          </w:p>
          <w:p w:rsidR="00856A80" w:rsidRPr="00E84D74" w:rsidRDefault="00856A80" w:rsidP="00997596">
            <w:pPr>
              <w:autoSpaceDE w:val="0"/>
              <w:autoSpaceDN w:val="0"/>
              <w:adjustRightInd w:val="0"/>
              <w:jc w:val="both"/>
              <w:rPr>
                <w:sz w:val="18"/>
                <w:szCs w:val="18"/>
              </w:rPr>
            </w:pPr>
            <w:r w:rsidRPr="00E84D74">
              <w:rPr>
                <w:sz w:val="18"/>
                <w:szCs w:val="18"/>
              </w:rPr>
              <w:t>4. It shall be assumed that any change to the gas flow occurs at the start of each hour.</w:t>
            </w:r>
          </w:p>
          <w:p w:rsidR="00FA1673" w:rsidRPr="00E84D74" w:rsidRDefault="00FA1673" w:rsidP="00997596">
            <w:pPr>
              <w:autoSpaceDE w:val="0"/>
              <w:autoSpaceDN w:val="0"/>
              <w:adjustRightInd w:val="0"/>
              <w:jc w:val="both"/>
              <w:rPr>
                <w:b/>
                <w:bCs/>
                <w:i/>
                <w:iCs/>
                <w:sz w:val="18"/>
                <w:szCs w:val="18"/>
              </w:rPr>
            </w:pPr>
          </w:p>
        </w:tc>
      </w:tr>
      <w:tr w:rsidR="00856A80" w:rsidRPr="00043955" w:rsidTr="00FC3840">
        <w:trPr>
          <w:trHeight w:val="1240"/>
        </w:trPr>
        <w:tc>
          <w:tcPr>
            <w:tcW w:w="5245" w:type="dxa"/>
            <w:shd w:val="clear" w:color="auto" w:fill="auto"/>
          </w:tcPr>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16</w:t>
            </w:r>
          </w:p>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specifice la punctele de interconectare</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nominalizările și renominalizările zilnice și cele orare coexistă într-un punct de interconectare, operatorii de sisteme de transport sau autoritățile naționale de reglementare (după caz) pot consulta părțile interesate pentru a stabili oportunitatea prezentării nominalizărilor și renominalizărilor armonizate de ambele părți ale punctului de interconectare. Consultarea trebuie să țină cont de cel puțin următoarele: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impactul financiar asupra operatorilor de sisteme de transport și asupra utilizatorilor rețelei;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impactul asupra comerțului transfrontalier; </w:t>
            </w:r>
          </w:p>
          <w:p w:rsidR="006D13A8" w:rsidRDefault="006D13A8"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impactul asupra regimului de echilibrare zilnică în punctul (punctele) de interconectare. </w:t>
            </w:r>
          </w:p>
          <w:p w:rsidR="00793898" w:rsidRPr="00981BD4" w:rsidRDefault="00793898" w:rsidP="00DA725A">
            <w:pPr>
              <w:jc w:val="both"/>
              <w:textAlignment w:val="baseline"/>
              <w:rPr>
                <w:rFonts w:ascii="Segoe UI" w:hAnsi="Segoe UI" w:cs="Segoe UI"/>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(2)   În urma acestei consultări, modificările propuse, dacă există, sunt aprobate de autoritățile naționale de reglementare. Din momentul în care modificările propuse sunt aprobate, operatorii de sisteme de transport modifică în consecință acordurile de interconectare existente și contractele de transport sau alte acorduri cu caracter juridic obligatoriu și publică modificările respective. </w:t>
            </w:r>
          </w:p>
          <w:p w:rsidR="00856A80" w:rsidRPr="00981BD4" w:rsidRDefault="00856A80" w:rsidP="00DA725A">
            <w:pPr>
              <w:jc w:val="center"/>
              <w:textAlignment w:val="baseline"/>
              <w:rPr>
                <w:b/>
                <w:bCs/>
                <w:sz w:val="18"/>
                <w:szCs w:val="18"/>
                <w:lang w:val="it-IT" w:eastAsia="en-US"/>
              </w:rPr>
            </w:pPr>
          </w:p>
        </w:tc>
        <w:tc>
          <w:tcPr>
            <w:tcW w:w="4962" w:type="dxa"/>
            <w:shd w:val="clear" w:color="auto" w:fill="auto"/>
          </w:tcPr>
          <w:p w:rsidR="0099701D" w:rsidRPr="0099701D" w:rsidRDefault="0099701D" w:rsidP="0099701D">
            <w:pPr>
              <w:textAlignment w:val="baseline"/>
              <w:rPr>
                <w:b/>
                <w:bCs/>
                <w:sz w:val="18"/>
                <w:szCs w:val="18"/>
                <w:lang w:val="ro-RO" w:eastAsia="en-US"/>
              </w:rPr>
            </w:pPr>
            <w:r w:rsidRPr="0099701D">
              <w:rPr>
                <w:b/>
                <w:bCs/>
                <w:sz w:val="18"/>
                <w:szCs w:val="18"/>
                <w:lang w:val="ro-RO" w:eastAsia="en-US"/>
              </w:rPr>
              <w:t>Secţiunea 5</w:t>
            </w:r>
          </w:p>
          <w:p w:rsidR="0099701D" w:rsidRPr="0099701D" w:rsidRDefault="0099701D" w:rsidP="0099701D">
            <w:pPr>
              <w:textAlignment w:val="baseline"/>
              <w:rPr>
                <w:b/>
                <w:bCs/>
                <w:sz w:val="18"/>
                <w:szCs w:val="18"/>
                <w:lang w:val="ro-RO" w:eastAsia="en-US"/>
              </w:rPr>
            </w:pPr>
            <w:r w:rsidRPr="0099701D">
              <w:rPr>
                <w:b/>
                <w:bCs/>
                <w:sz w:val="18"/>
                <w:szCs w:val="18"/>
                <w:lang w:val="ro-RO" w:eastAsia="en-US"/>
              </w:rPr>
              <w:t>Dispoziţii specifice la punctele de interconectare</w:t>
            </w:r>
          </w:p>
          <w:p w:rsidR="0099701D" w:rsidRPr="0099701D" w:rsidRDefault="0099701D" w:rsidP="0099701D">
            <w:pPr>
              <w:textAlignment w:val="baseline"/>
              <w:rPr>
                <w:bCs/>
                <w:sz w:val="18"/>
                <w:szCs w:val="18"/>
                <w:lang w:val="ro-RO" w:eastAsia="en-US"/>
              </w:rPr>
            </w:pPr>
            <w:r w:rsidRPr="0099701D">
              <w:rPr>
                <w:b/>
                <w:bCs/>
                <w:sz w:val="18"/>
                <w:szCs w:val="18"/>
                <w:lang w:val="ro-RO" w:eastAsia="en-US"/>
              </w:rPr>
              <w:t>498.</w:t>
            </w:r>
            <w:r w:rsidRPr="0099701D">
              <w:rPr>
                <w:bCs/>
                <w:sz w:val="18"/>
                <w:szCs w:val="18"/>
                <w:lang w:val="ro-RO" w:eastAsia="en-US"/>
              </w:rPr>
              <w:t xml:space="preserve"> În cazul în care nominalizările şi renominalizările zilnice şi cele orare coexistă într-un punct de interconectare, OST sau autorităţile naţionale de reglementare (după caz) pot consulta părţile interesate pentru a stabili oportunitatea prezentării nominalizărilor şi renominalizărilor armonizate de ambele părţi ale punctului de interconectare. Consultarea trebuie să ţină cont de cel puţin următoarele:</w:t>
            </w:r>
          </w:p>
          <w:p w:rsidR="0099701D" w:rsidRPr="0099701D" w:rsidRDefault="0099701D" w:rsidP="0099701D">
            <w:pPr>
              <w:textAlignment w:val="baseline"/>
              <w:rPr>
                <w:bCs/>
                <w:sz w:val="18"/>
                <w:szCs w:val="18"/>
                <w:lang w:val="ro-RO" w:eastAsia="en-US"/>
              </w:rPr>
            </w:pPr>
            <w:r w:rsidRPr="0099701D">
              <w:rPr>
                <w:bCs/>
                <w:sz w:val="18"/>
                <w:szCs w:val="18"/>
                <w:lang w:val="ro-RO" w:eastAsia="en-US"/>
              </w:rPr>
              <w:t>1) impactul financiar asupra OST şi asupra utilizatorilor de sistem;</w:t>
            </w:r>
          </w:p>
          <w:p w:rsidR="0099701D" w:rsidRPr="0099701D" w:rsidRDefault="0099701D" w:rsidP="0099701D">
            <w:pPr>
              <w:textAlignment w:val="baseline"/>
              <w:rPr>
                <w:bCs/>
                <w:sz w:val="18"/>
                <w:szCs w:val="18"/>
                <w:lang w:val="ro-RO" w:eastAsia="en-US"/>
              </w:rPr>
            </w:pPr>
            <w:r w:rsidRPr="0099701D">
              <w:rPr>
                <w:bCs/>
                <w:sz w:val="18"/>
                <w:szCs w:val="18"/>
                <w:lang w:val="ro-RO" w:eastAsia="en-US"/>
              </w:rPr>
              <w:t>2) impactul asupra comerţului transfrontalier;</w:t>
            </w:r>
          </w:p>
          <w:p w:rsidR="0099701D" w:rsidRDefault="0099701D" w:rsidP="0099701D">
            <w:pPr>
              <w:textAlignment w:val="baseline"/>
              <w:rPr>
                <w:bCs/>
                <w:sz w:val="18"/>
                <w:szCs w:val="18"/>
                <w:lang w:val="ro-RO" w:eastAsia="en-US"/>
              </w:rPr>
            </w:pPr>
            <w:r w:rsidRPr="0099701D">
              <w:rPr>
                <w:bCs/>
                <w:sz w:val="18"/>
                <w:szCs w:val="18"/>
                <w:lang w:val="ro-RO" w:eastAsia="en-US"/>
              </w:rPr>
              <w:t>3) impactul asupra regimului de echilibrare zilnică în punctul (punctele) de interconectare.</w:t>
            </w:r>
          </w:p>
          <w:p w:rsidR="00793898" w:rsidRPr="0099701D" w:rsidRDefault="00793898" w:rsidP="0099701D">
            <w:pPr>
              <w:textAlignment w:val="baseline"/>
              <w:rPr>
                <w:bCs/>
                <w:sz w:val="18"/>
                <w:szCs w:val="18"/>
                <w:lang w:val="ro-RO" w:eastAsia="en-US"/>
              </w:rPr>
            </w:pPr>
          </w:p>
          <w:p w:rsidR="0099701D" w:rsidRPr="0099701D" w:rsidRDefault="0099701D" w:rsidP="0099701D">
            <w:pPr>
              <w:textAlignment w:val="baseline"/>
              <w:rPr>
                <w:bCs/>
                <w:sz w:val="18"/>
                <w:szCs w:val="18"/>
                <w:lang w:val="ro-RO" w:eastAsia="en-US"/>
              </w:rPr>
            </w:pPr>
            <w:r w:rsidRPr="0099701D">
              <w:rPr>
                <w:b/>
                <w:bCs/>
                <w:sz w:val="18"/>
                <w:szCs w:val="18"/>
                <w:lang w:val="ro-RO" w:eastAsia="en-US"/>
              </w:rPr>
              <w:t>499.</w:t>
            </w:r>
            <w:r w:rsidRPr="0099701D">
              <w:rPr>
                <w:bCs/>
                <w:sz w:val="18"/>
                <w:szCs w:val="18"/>
                <w:lang w:val="ro-RO" w:eastAsia="en-US"/>
              </w:rPr>
              <w:t xml:space="preserve"> În urma acestei consultări, modificările propuse, dacă există, sunt aprobate de Agenţie în cel mult 10 zile lucrătoare de la recepţie. Din momentul în care modificările propuse sunt aprobate, OST modifică în consecinţă acordurile de interconectare existente şi contractele pentru prestarea serviciilor de transport sau alte acorduri cu caracter juridic obligatoriu şi publică modificările respective.</w:t>
            </w:r>
          </w:p>
          <w:p w:rsidR="00856A80" w:rsidRPr="0099701D" w:rsidRDefault="00856A80" w:rsidP="00DA725A">
            <w:pPr>
              <w:jc w:val="center"/>
              <w:textAlignment w:val="baseline"/>
              <w:rPr>
                <w:b/>
                <w:bCs/>
                <w:sz w:val="18"/>
                <w:szCs w:val="18"/>
                <w:lang w:val="ro-RO" w:eastAsia="en-US"/>
              </w:rPr>
            </w:pPr>
          </w:p>
        </w:tc>
        <w:tc>
          <w:tcPr>
            <w:tcW w:w="1275" w:type="dxa"/>
            <w:shd w:val="clear" w:color="auto" w:fill="auto"/>
          </w:tcPr>
          <w:p w:rsidR="00856A80" w:rsidRPr="00380C00" w:rsidRDefault="00856A80" w:rsidP="00DA725A">
            <w:pPr>
              <w:jc w:val="both"/>
              <w:rPr>
                <w:b/>
                <w:sz w:val="18"/>
                <w:szCs w:val="18"/>
                <w:lang w:val="ro-RO"/>
              </w:rPr>
            </w:pPr>
          </w:p>
          <w:p w:rsidR="00C00FC2" w:rsidRPr="00380C00" w:rsidRDefault="00C00FC2" w:rsidP="00DA725A">
            <w:pPr>
              <w:jc w:val="both"/>
              <w:rPr>
                <w:b/>
                <w:sz w:val="18"/>
                <w:szCs w:val="18"/>
                <w:lang w:val="ro-RO"/>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793898" w:rsidRDefault="00793898" w:rsidP="00DA725A">
            <w:pPr>
              <w:jc w:val="both"/>
              <w:rPr>
                <w:sz w:val="18"/>
                <w:szCs w:val="18"/>
              </w:rPr>
            </w:pPr>
          </w:p>
          <w:p w:rsidR="00793898" w:rsidRDefault="00793898" w:rsidP="00DA725A">
            <w:pPr>
              <w:jc w:val="both"/>
              <w:rPr>
                <w:sz w:val="18"/>
                <w:szCs w:val="18"/>
              </w:rPr>
            </w:pPr>
          </w:p>
          <w:p w:rsidR="00C00FC2" w:rsidRDefault="00C00FC2" w:rsidP="00DA725A">
            <w:pPr>
              <w:jc w:val="both"/>
              <w:rPr>
                <w:sz w:val="18"/>
                <w:szCs w:val="18"/>
              </w:rPr>
            </w:pPr>
          </w:p>
          <w:p w:rsidR="00C00FC2" w:rsidRPr="00D82EE4" w:rsidRDefault="00C00FC2" w:rsidP="00DA725A">
            <w:pPr>
              <w:jc w:val="both"/>
              <w:rPr>
                <w:b/>
                <w:sz w:val="18"/>
                <w:szCs w:val="18"/>
                <w:lang w:val="it-IT"/>
              </w:rPr>
            </w:pPr>
            <w:r w:rsidRPr="00E55B82">
              <w:rPr>
                <w:sz w:val="18"/>
                <w:szCs w:val="18"/>
              </w:rPr>
              <w:t>Compatibil</w:t>
            </w:r>
          </w:p>
        </w:tc>
        <w:tc>
          <w:tcPr>
            <w:tcW w:w="4253" w:type="dxa"/>
            <w:shd w:val="clear" w:color="auto" w:fill="auto"/>
          </w:tcPr>
          <w:p w:rsidR="006D13A8" w:rsidRPr="00E84D74" w:rsidRDefault="006D13A8" w:rsidP="00DA725A">
            <w:pPr>
              <w:autoSpaceDE w:val="0"/>
              <w:autoSpaceDN w:val="0"/>
              <w:adjustRightInd w:val="0"/>
              <w:jc w:val="center"/>
              <w:rPr>
                <w:b/>
                <w:sz w:val="18"/>
                <w:szCs w:val="18"/>
              </w:rPr>
            </w:pPr>
            <w:r w:rsidRPr="00E84D74">
              <w:rPr>
                <w:b/>
                <w:sz w:val="18"/>
                <w:szCs w:val="18"/>
              </w:rPr>
              <w:t>Article 16</w:t>
            </w:r>
          </w:p>
          <w:p w:rsidR="006D13A8" w:rsidRPr="00E84D74" w:rsidRDefault="006D13A8" w:rsidP="00DA725A">
            <w:pPr>
              <w:autoSpaceDE w:val="0"/>
              <w:autoSpaceDN w:val="0"/>
              <w:adjustRightInd w:val="0"/>
              <w:jc w:val="center"/>
              <w:rPr>
                <w:b/>
                <w:sz w:val="18"/>
                <w:szCs w:val="18"/>
              </w:rPr>
            </w:pPr>
            <w:r w:rsidRPr="00E84D74">
              <w:rPr>
                <w:b/>
                <w:sz w:val="18"/>
                <w:szCs w:val="18"/>
              </w:rPr>
              <w:t>Specific provisions at interconnection points</w:t>
            </w:r>
          </w:p>
          <w:p w:rsidR="006D13A8" w:rsidRPr="00E84D74" w:rsidRDefault="006D13A8" w:rsidP="00DA725A">
            <w:pPr>
              <w:autoSpaceDE w:val="0"/>
              <w:autoSpaceDN w:val="0"/>
              <w:adjustRightInd w:val="0"/>
              <w:rPr>
                <w:sz w:val="18"/>
                <w:szCs w:val="18"/>
              </w:rPr>
            </w:pPr>
            <w:r w:rsidRPr="00E84D74">
              <w:rPr>
                <w:sz w:val="18"/>
                <w:szCs w:val="18"/>
              </w:rPr>
              <w:t>1. Where daily and hourly nominations and re-nominations co-exist at an interconnection point, the</w:t>
            </w:r>
          </w:p>
          <w:p w:rsidR="006D13A8" w:rsidRPr="00E84D74" w:rsidRDefault="006D13A8" w:rsidP="00DA725A">
            <w:pPr>
              <w:autoSpaceDE w:val="0"/>
              <w:autoSpaceDN w:val="0"/>
              <w:adjustRightInd w:val="0"/>
              <w:rPr>
                <w:sz w:val="18"/>
                <w:szCs w:val="18"/>
              </w:rPr>
            </w:pPr>
            <w:r w:rsidRPr="00E84D74">
              <w:rPr>
                <w:sz w:val="18"/>
                <w:szCs w:val="18"/>
              </w:rPr>
              <w:t>transmission system operators or national regulatory authorities (as appropriate) may consult the stakeholders for the purpose of identifying whether harmonised nominations and re-nominations should be submitted at both sides of this interconnection point. This consultation shall consider at least the following:</w:t>
            </w:r>
          </w:p>
          <w:p w:rsidR="006D13A8" w:rsidRPr="00E84D74" w:rsidRDefault="006D13A8" w:rsidP="00DA725A">
            <w:pPr>
              <w:autoSpaceDE w:val="0"/>
              <w:autoSpaceDN w:val="0"/>
              <w:adjustRightInd w:val="0"/>
              <w:rPr>
                <w:sz w:val="18"/>
                <w:szCs w:val="18"/>
              </w:rPr>
            </w:pPr>
            <w:r w:rsidRPr="00E84D74">
              <w:rPr>
                <w:sz w:val="18"/>
                <w:szCs w:val="18"/>
              </w:rPr>
              <w:t>(a) financial impact on transmission system operators and network users;</w:t>
            </w:r>
          </w:p>
          <w:p w:rsidR="006D13A8" w:rsidRPr="00E84D74" w:rsidRDefault="006D13A8" w:rsidP="00DA725A">
            <w:pPr>
              <w:autoSpaceDE w:val="0"/>
              <w:autoSpaceDN w:val="0"/>
              <w:adjustRightInd w:val="0"/>
              <w:rPr>
                <w:sz w:val="18"/>
                <w:szCs w:val="18"/>
              </w:rPr>
            </w:pPr>
            <w:r w:rsidRPr="00E84D74">
              <w:rPr>
                <w:sz w:val="18"/>
                <w:szCs w:val="18"/>
              </w:rPr>
              <w:t>(b) impact on cross-border trade;</w:t>
            </w:r>
          </w:p>
          <w:p w:rsidR="006D13A8" w:rsidRPr="00E84D74" w:rsidRDefault="006D13A8" w:rsidP="00DA725A">
            <w:pPr>
              <w:autoSpaceDE w:val="0"/>
              <w:autoSpaceDN w:val="0"/>
              <w:adjustRightInd w:val="0"/>
              <w:rPr>
                <w:sz w:val="18"/>
                <w:szCs w:val="18"/>
              </w:rPr>
            </w:pPr>
            <w:r w:rsidRPr="00E84D74">
              <w:rPr>
                <w:sz w:val="18"/>
                <w:szCs w:val="18"/>
              </w:rPr>
              <w:t>(c) impact on the daily balancing regime at the interconnection point(s).</w:t>
            </w:r>
          </w:p>
          <w:p w:rsidR="006D13A8" w:rsidRPr="00E84D74" w:rsidRDefault="006D13A8" w:rsidP="00DA725A">
            <w:pPr>
              <w:autoSpaceDE w:val="0"/>
              <w:autoSpaceDN w:val="0"/>
              <w:adjustRightInd w:val="0"/>
              <w:rPr>
                <w:sz w:val="18"/>
                <w:szCs w:val="18"/>
              </w:rPr>
            </w:pPr>
            <w:r w:rsidRPr="00E84D74">
              <w:rPr>
                <w:sz w:val="18"/>
                <w:szCs w:val="18"/>
              </w:rPr>
              <w:t>2. Following this consultation, the proposed changes, if any, shall be approved by the national regulatory</w:t>
            </w:r>
          </w:p>
          <w:p w:rsidR="006D13A8" w:rsidRPr="00E84D74" w:rsidRDefault="006D13A8" w:rsidP="00DA725A">
            <w:pPr>
              <w:autoSpaceDE w:val="0"/>
              <w:autoSpaceDN w:val="0"/>
              <w:adjustRightInd w:val="0"/>
              <w:rPr>
                <w:sz w:val="18"/>
                <w:szCs w:val="18"/>
              </w:rPr>
            </w:pPr>
            <w:r w:rsidRPr="00E84D74">
              <w:rPr>
                <w:sz w:val="18"/>
                <w:szCs w:val="18"/>
              </w:rPr>
              <w:t>authorities. Once the proposed changes are approved the transmission system operators shall amend accordingly the existing interconnection agreements and the transport contracts or other legally binding agreements and publish those changes.</w:t>
            </w:r>
          </w:p>
          <w:p w:rsidR="00856A80" w:rsidRPr="00E84D74" w:rsidRDefault="00856A80" w:rsidP="00DA725A">
            <w:pPr>
              <w:autoSpaceDE w:val="0"/>
              <w:autoSpaceDN w:val="0"/>
              <w:adjustRightInd w:val="0"/>
              <w:jc w:val="center"/>
              <w:rPr>
                <w:b/>
                <w:bCs/>
                <w:i/>
                <w:iCs/>
                <w:sz w:val="18"/>
                <w:szCs w:val="18"/>
              </w:rPr>
            </w:pPr>
          </w:p>
        </w:tc>
      </w:tr>
      <w:tr w:rsidR="00856A80" w:rsidRPr="00043955" w:rsidTr="00FC3840">
        <w:trPr>
          <w:trHeight w:val="1240"/>
        </w:trPr>
        <w:tc>
          <w:tcPr>
            <w:tcW w:w="5245" w:type="dxa"/>
            <w:shd w:val="clear" w:color="auto" w:fill="auto"/>
          </w:tcPr>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17</w:t>
            </w:r>
          </w:p>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Respingerea nominalizărilor și a renominalizărilor sau modificarea cantității de gaz solicitate la punctele de interconectare</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poate respinge: </w:t>
            </w:r>
          </w:p>
          <w:p w:rsidR="006D13A8" w:rsidRDefault="006D13A8" w:rsidP="00DA725A">
            <w:pPr>
              <w:jc w:val="both"/>
              <w:textAlignment w:val="baseline"/>
              <w:rPr>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 nominalizare sau o renominalizare cel târziu la două ore de la termenul pentru nominalizare sau de la începutul ciclului de renominalizare în următoarele cazuri: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dacă aceasta nu respectă cerințele privind conținutul; </w:t>
            </w:r>
          </w:p>
          <w:p w:rsidR="00156F0B" w:rsidRDefault="00156F0B" w:rsidP="00DA725A">
            <w:pPr>
              <w:jc w:val="both"/>
              <w:textAlignment w:val="baseline"/>
              <w:rPr>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dacă aceasta este prezentată de o altă entitate decât un utilizator al rețelei;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(iii)</w:t>
            </w:r>
            <w:r w:rsidRPr="00981BD4">
              <w:rPr>
                <w:rFonts w:ascii="Calibri" w:hAnsi="Calibri" w:cs="Calibri"/>
                <w:sz w:val="18"/>
                <w:szCs w:val="18"/>
                <w:lang w:val="it-IT" w:eastAsia="en-US"/>
              </w:rPr>
              <w:t xml:space="preserve"> </w:t>
            </w:r>
            <w:r w:rsidRPr="00981BD4">
              <w:rPr>
                <w:sz w:val="18"/>
                <w:szCs w:val="18"/>
                <w:lang w:val="it-IT" w:eastAsia="en-US"/>
              </w:rPr>
              <w:t>dacă acceptarea nominalizării sau a renominalizării zilnice ar conduce la o rată negativă a fluxului de nominalizare implicit;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(iv)</w:t>
            </w:r>
            <w:r w:rsidRPr="00981BD4">
              <w:rPr>
                <w:rFonts w:ascii="Calibri" w:hAnsi="Calibri" w:cs="Calibri"/>
                <w:sz w:val="18"/>
                <w:szCs w:val="18"/>
                <w:lang w:val="it-IT" w:eastAsia="en-US"/>
              </w:rPr>
              <w:t xml:space="preserve"> </w:t>
            </w:r>
            <w:r w:rsidRPr="00981BD4">
              <w:rPr>
                <w:sz w:val="18"/>
                <w:szCs w:val="18"/>
                <w:lang w:val="it-IT" w:eastAsia="en-US"/>
              </w:rPr>
              <w:t>dacă aceasta depășește capacitatea alocată a utilizatorului rețelei; </w:t>
            </w: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 renominalizare până cel târziu la două ore de la începutul ciclului de renominalizare în următoarele cazuri suplimentare: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dacă aceasta depășește capacitatea alocată a utilizatorului rețelei pentru orele rămase, cu excepția cazului în care renominalizarea este prezentată pentru a solicita capacitate întreruptibilă, în cazul în care operatorul de sistem de transport pune la dispoziție o astfel de capacitate; </w:t>
            </w:r>
          </w:p>
          <w:p w:rsidR="006D13A8" w:rsidRDefault="006D13A8" w:rsidP="00DA725A">
            <w:pPr>
              <w:jc w:val="both"/>
              <w:textAlignment w:val="baseline"/>
              <w:rPr>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dacă acceptarea renominalizărilor orare ar conduce la o modificare așteptată a fluxului de gaz înainte de încheierea ciclului de renominalizare. </w:t>
            </w:r>
          </w:p>
          <w:p w:rsidR="00793898" w:rsidRDefault="00793898" w:rsidP="00DA725A">
            <w:pPr>
              <w:jc w:val="both"/>
              <w:textAlignment w:val="baseline"/>
              <w:rPr>
                <w:sz w:val="18"/>
                <w:szCs w:val="18"/>
                <w:lang w:val="it-IT" w:eastAsia="en-US"/>
              </w:rPr>
            </w:pPr>
          </w:p>
          <w:p w:rsidR="00793898" w:rsidRDefault="00793898" w:rsidP="00DA725A">
            <w:pPr>
              <w:jc w:val="both"/>
              <w:textAlignment w:val="baseline"/>
              <w:rPr>
                <w:sz w:val="18"/>
                <w:szCs w:val="18"/>
                <w:lang w:val="it-IT" w:eastAsia="en-US"/>
              </w:rPr>
            </w:pPr>
          </w:p>
          <w:p w:rsidR="006D13A8" w:rsidRPr="00495CCB" w:rsidRDefault="00156F0B" w:rsidP="00156F0B">
            <w:pPr>
              <w:jc w:val="both"/>
              <w:textAlignment w:val="baseline"/>
              <w:rPr>
                <w:sz w:val="18"/>
                <w:szCs w:val="18"/>
                <w:lang w:val="it-IT" w:eastAsia="en-US"/>
              </w:rPr>
            </w:pPr>
            <w:r>
              <w:rPr>
                <w:sz w:val="18"/>
                <w:szCs w:val="18"/>
                <w:lang w:val="it-IT" w:eastAsia="en-US"/>
              </w:rPr>
              <w:t>(2)</w:t>
            </w:r>
            <w:r w:rsidR="006D13A8" w:rsidRPr="00495CCB">
              <w:rPr>
                <w:sz w:val="18"/>
                <w:szCs w:val="18"/>
                <w:lang w:val="it-IT" w:eastAsia="en-US"/>
              </w:rPr>
              <w:t>Operatorul de sistem de transport nu respinge o nominalizare sau o renominalizare a utilizatorului rețelei pentru simplul motiv că intrările estimate ale respectivului utilizator al rețelei nu sunt egale cu ieșirile estimate ale acestuia. </w:t>
            </w:r>
          </w:p>
          <w:p w:rsidR="00156F0B" w:rsidRDefault="00156F0B" w:rsidP="00156F0B">
            <w:pPr>
              <w:jc w:val="both"/>
              <w:textAlignment w:val="baseline"/>
              <w:rPr>
                <w:rFonts w:ascii="Segoe UI" w:hAnsi="Segoe UI" w:cs="Segoe UI"/>
                <w:sz w:val="18"/>
                <w:szCs w:val="18"/>
                <w:lang w:val="it-IT" w:eastAsia="en-US"/>
              </w:rPr>
            </w:pPr>
          </w:p>
          <w:p w:rsidR="00156F0B" w:rsidRDefault="00156F0B" w:rsidP="00156F0B">
            <w:pPr>
              <w:jc w:val="both"/>
              <w:textAlignment w:val="baseline"/>
              <w:rPr>
                <w:rFonts w:ascii="Segoe UI" w:hAnsi="Segoe UI" w:cs="Segoe UI"/>
                <w:sz w:val="18"/>
                <w:szCs w:val="18"/>
                <w:lang w:val="it-IT" w:eastAsia="en-US"/>
              </w:rPr>
            </w:pPr>
          </w:p>
          <w:p w:rsidR="00156F0B" w:rsidRDefault="00156F0B" w:rsidP="00156F0B">
            <w:pPr>
              <w:jc w:val="both"/>
              <w:textAlignment w:val="baseline"/>
              <w:rPr>
                <w:rFonts w:ascii="Segoe UI" w:hAnsi="Segoe UI" w:cs="Segoe UI"/>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(3)   În cazul respingerii unei renominalizări, operatorul de sistem de transport utilizează ultima cantitate confirmată a utilizatorului rețelei, dacă aceasta există. </w:t>
            </w:r>
          </w:p>
          <w:p w:rsidR="006D13A8" w:rsidRPr="00BE464B" w:rsidRDefault="006D13A8" w:rsidP="00DA725A">
            <w:pPr>
              <w:jc w:val="both"/>
              <w:textAlignment w:val="baseline"/>
              <w:rPr>
                <w:rFonts w:ascii="Segoe UI" w:hAnsi="Segoe UI" w:cs="Segoe UI"/>
                <w:sz w:val="18"/>
                <w:szCs w:val="18"/>
                <w:lang w:eastAsia="en-US"/>
              </w:rPr>
            </w:pPr>
            <w:r w:rsidRPr="00981BD4">
              <w:rPr>
                <w:sz w:val="18"/>
                <w:szCs w:val="18"/>
                <w:lang w:val="it-IT" w:eastAsia="en-US"/>
              </w:rPr>
              <w:t xml:space="preserve">(4)   Fără a aduce atingere termenilor și condițiilor specifice aplicabile în cazul capacității întreruptibile și al capacității care face obiectul normelor de gestionare a congestionării, operatorul de sistem de transport poate, în principiu, să modifice cantitatea de gaz solicitată conform unei nominalizări și unei renominalizări numai în circumstanțe excepționale și în situații de urgență, atunci când există un pericol evident la adresa securității și stabilității sistemului. </w:t>
            </w:r>
            <w:r w:rsidRPr="00BE464B">
              <w:rPr>
                <w:sz w:val="18"/>
                <w:szCs w:val="18"/>
                <w:lang w:val="en-GB" w:eastAsia="en-US"/>
              </w:rPr>
              <w:t>Operatorii de sisteme de transport notifică autorității naționale de reglementare orice acțiune întreprinsă în acest sens.</w:t>
            </w:r>
            <w:r w:rsidRPr="00BE464B">
              <w:rPr>
                <w:sz w:val="18"/>
                <w:szCs w:val="18"/>
                <w:lang w:eastAsia="en-US"/>
              </w:rPr>
              <w:t> </w:t>
            </w:r>
          </w:p>
          <w:p w:rsidR="00856A80" w:rsidRPr="006D13A8" w:rsidRDefault="00856A80" w:rsidP="00DA725A">
            <w:pPr>
              <w:jc w:val="center"/>
              <w:textAlignment w:val="baseline"/>
              <w:rPr>
                <w:b/>
                <w:bCs/>
                <w:sz w:val="18"/>
                <w:szCs w:val="18"/>
                <w:lang w:eastAsia="en-US"/>
              </w:rPr>
            </w:pPr>
          </w:p>
        </w:tc>
        <w:tc>
          <w:tcPr>
            <w:tcW w:w="4962" w:type="dxa"/>
            <w:shd w:val="clear" w:color="auto" w:fill="auto"/>
          </w:tcPr>
          <w:p w:rsidR="00665A94" w:rsidRPr="00665A94" w:rsidRDefault="00665A94" w:rsidP="00A539E5">
            <w:pPr>
              <w:jc w:val="center"/>
              <w:textAlignment w:val="baseline"/>
              <w:rPr>
                <w:b/>
                <w:bCs/>
                <w:sz w:val="18"/>
                <w:szCs w:val="18"/>
                <w:lang w:val="ro-RO" w:eastAsia="en-US"/>
              </w:rPr>
            </w:pPr>
            <w:r w:rsidRPr="00665A94">
              <w:rPr>
                <w:b/>
                <w:bCs/>
                <w:sz w:val="18"/>
                <w:szCs w:val="18"/>
                <w:lang w:val="ro-RO" w:eastAsia="en-US"/>
              </w:rPr>
              <w:lastRenderedPageBreak/>
              <w:t>Secţiunea 6</w:t>
            </w:r>
          </w:p>
          <w:p w:rsidR="00665A94" w:rsidRPr="00665A94" w:rsidRDefault="00665A94" w:rsidP="00A539E5">
            <w:pPr>
              <w:jc w:val="center"/>
              <w:textAlignment w:val="baseline"/>
              <w:rPr>
                <w:b/>
                <w:bCs/>
                <w:sz w:val="18"/>
                <w:szCs w:val="18"/>
                <w:lang w:val="ro-RO" w:eastAsia="en-US"/>
              </w:rPr>
            </w:pPr>
            <w:r w:rsidRPr="00665A94">
              <w:rPr>
                <w:b/>
                <w:bCs/>
                <w:sz w:val="18"/>
                <w:szCs w:val="18"/>
                <w:lang w:val="ro-RO" w:eastAsia="en-US"/>
              </w:rPr>
              <w:t>Respingerea nominalizărilor şi a renominalizărilor sau modificarea cantităţii</w:t>
            </w:r>
            <w:r w:rsidR="00DE3C3E" w:rsidRPr="00670674">
              <w:rPr>
                <w:b/>
                <w:bCs/>
                <w:sz w:val="18"/>
                <w:szCs w:val="18"/>
                <w:lang w:val="it-IT" w:eastAsia="en-US"/>
              </w:rPr>
              <w:t xml:space="preserve"> </w:t>
            </w:r>
            <w:r w:rsidRPr="00665A94">
              <w:rPr>
                <w:b/>
                <w:bCs/>
                <w:sz w:val="18"/>
                <w:szCs w:val="18"/>
                <w:lang w:val="ro-RO" w:eastAsia="en-US"/>
              </w:rPr>
              <w:t>de gaze naturale solicitate la punctele de interconectare</w:t>
            </w:r>
          </w:p>
          <w:p w:rsidR="00665A94" w:rsidRPr="00665A94" w:rsidRDefault="00665A94" w:rsidP="00665A94">
            <w:pPr>
              <w:textAlignment w:val="baseline"/>
              <w:rPr>
                <w:bCs/>
                <w:sz w:val="18"/>
                <w:szCs w:val="18"/>
                <w:lang w:val="ro-RO" w:eastAsia="en-US"/>
              </w:rPr>
            </w:pPr>
            <w:r w:rsidRPr="00665A94">
              <w:rPr>
                <w:b/>
                <w:bCs/>
                <w:sz w:val="18"/>
                <w:szCs w:val="18"/>
                <w:lang w:val="ro-RO" w:eastAsia="en-US"/>
              </w:rPr>
              <w:t>500.</w:t>
            </w:r>
            <w:r w:rsidRPr="00665A94">
              <w:rPr>
                <w:bCs/>
                <w:sz w:val="18"/>
                <w:szCs w:val="18"/>
                <w:lang w:val="ro-RO" w:eastAsia="en-US"/>
              </w:rPr>
              <w:t xml:space="preserve"> OST poate respinge:</w:t>
            </w:r>
          </w:p>
          <w:p w:rsidR="00665A94" w:rsidRPr="00665A94" w:rsidRDefault="00665A94" w:rsidP="00665A94">
            <w:pPr>
              <w:textAlignment w:val="baseline"/>
              <w:rPr>
                <w:bCs/>
                <w:sz w:val="18"/>
                <w:szCs w:val="18"/>
                <w:lang w:val="ro-RO" w:eastAsia="en-US"/>
              </w:rPr>
            </w:pPr>
            <w:r w:rsidRPr="00665A94">
              <w:rPr>
                <w:bCs/>
                <w:sz w:val="18"/>
                <w:szCs w:val="18"/>
                <w:lang w:val="ro-RO" w:eastAsia="en-US"/>
              </w:rPr>
              <w:t>1) o nominalizare sau o renominalizare cel târziu la 2 ore după termenul pentru nominalizare sau de la începutul ciclului de renominalizare în următoarele cazuri:</w:t>
            </w:r>
          </w:p>
          <w:p w:rsidR="00665A94" w:rsidRPr="00665A94" w:rsidRDefault="00665A94" w:rsidP="00156F0B">
            <w:pPr>
              <w:textAlignment w:val="baseline"/>
              <w:rPr>
                <w:bCs/>
                <w:sz w:val="18"/>
                <w:szCs w:val="18"/>
                <w:lang w:val="ro-RO" w:eastAsia="en-US"/>
              </w:rPr>
            </w:pPr>
            <w:r w:rsidRPr="00665A94">
              <w:rPr>
                <w:bCs/>
                <w:sz w:val="18"/>
                <w:szCs w:val="18"/>
                <w:lang w:val="ro-RO" w:eastAsia="en-US"/>
              </w:rPr>
              <w:t>a)</w:t>
            </w:r>
            <w:r w:rsidR="00156F0B" w:rsidRPr="00C51340">
              <w:rPr>
                <w:i/>
                <w:lang w:val="ro-RO"/>
              </w:rPr>
              <w:t xml:space="preserve"> a) dacă se încălcă cerințele privind </w:t>
            </w:r>
            <w:r w:rsidR="00156F0B">
              <w:rPr>
                <w:i/>
                <w:lang w:val="ro-RO"/>
              </w:rPr>
              <w:t>cuprins</w:t>
            </w:r>
            <w:r w:rsidR="00156F0B" w:rsidRPr="00C51340">
              <w:rPr>
                <w:i/>
                <w:lang w:val="ro-RO"/>
              </w:rPr>
              <w:t>ul și/sau procedura de depunere a nominalizării / renominalizării</w:t>
            </w:r>
            <w:r w:rsidRPr="00665A94">
              <w:rPr>
                <w:bCs/>
                <w:sz w:val="18"/>
                <w:szCs w:val="18"/>
                <w:lang w:val="ro-RO" w:eastAsia="en-US"/>
              </w:rPr>
              <w:t>;</w:t>
            </w:r>
          </w:p>
          <w:p w:rsidR="00665A94" w:rsidRPr="00665A94" w:rsidRDefault="00665A94" w:rsidP="00665A94">
            <w:pPr>
              <w:textAlignment w:val="baseline"/>
              <w:rPr>
                <w:bCs/>
                <w:sz w:val="18"/>
                <w:szCs w:val="18"/>
                <w:lang w:val="ro-RO" w:eastAsia="en-US"/>
              </w:rPr>
            </w:pPr>
            <w:r w:rsidRPr="00665A94">
              <w:rPr>
                <w:bCs/>
                <w:sz w:val="18"/>
                <w:szCs w:val="18"/>
                <w:lang w:val="ro-RO" w:eastAsia="en-US"/>
              </w:rPr>
              <w:t>b) dacă aceasta este prezentată de o altă entitate decât un utilizator de sistem;</w:t>
            </w:r>
          </w:p>
          <w:p w:rsidR="00665A94" w:rsidRPr="00665A94" w:rsidRDefault="00665A94" w:rsidP="00665A94">
            <w:pPr>
              <w:textAlignment w:val="baseline"/>
              <w:rPr>
                <w:bCs/>
                <w:sz w:val="18"/>
                <w:szCs w:val="18"/>
                <w:lang w:val="ro-RO" w:eastAsia="en-US"/>
              </w:rPr>
            </w:pPr>
            <w:r w:rsidRPr="00665A94">
              <w:rPr>
                <w:bCs/>
                <w:sz w:val="18"/>
                <w:szCs w:val="18"/>
                <w:lang w:val="ro-RO" w:eastAsia="en-US"/>
              </w:rPr>
              <w:t>c) dacă acceptarea nominalizării sau a renominalizării zilnice ar conduce la o rată negativă a fluxului de nominalizare implicit;</w:t>
            </w:r>
          </w:p>
          <w:p w:rsidR="00156F0B" w:rsidRDefault="00665A94" w:rsidP="00495CCB">
            <w:pPr>
              <w:tabs>
                <w:tab w:val="left" w:pos="567"/>
              </w:tabs>
              <w:jc w:val="both"/>
              <w:rPr>
                <w:bCs/>
                <w:sz w:val="18"/>
                <w:szCs w:val="18"/>
                <w:lang w:val="ro-RO" w:eastAsia="en-US"/>
              </w:rPr>
            </w:pPr>
            <w:r w:rsidRPr="00665A94">
              <w:rPr>
                <w:bCs/>
                <w:sz w:val="18"/>
                <w:szCs w:val="18"/>
                <w:lang w:val="ro-RO" w:eastAsia="en-US"/>
              </w:rPr>
              <w:t>d) dacă aceasta depăşeşte capacitatea alocată a utilizatorului de sistem;</w:t>
            </w:r>
          </w:p>
          <w:p w:rsidR="00156F0B" w:rsidRPr="00495CCB" w:rsidRDefault="00156F0B" w:rsidP="00495CCB">
            <w:pPr>
              <w:tabs>
                <w:tab w:val="left" w:pos="567"/>
              </w:tabs>
              <w:ind w:hanging="101"/>
              <w:jc w:val="both"/>
              <w:rPr>
                <w:sz w:val="18"/>
                <w:szCs w:val="18"/>
                <w:lang w:val="ro-RO"/>
              </w:rPr>
            </w:pPr>
            <w:r w:rsidRPr="00C51340">
              <w:rPr>
                <w:i/>
                <w:sz w:val="24"/>
                <w:lang w:val="ro-RO"/>
              </w:rPr>
              <w:lastRenderedPageBreak/>
              <w:t xml:space="preserve"> </w:t>
            </w:r>
            <w:r w:rsidRPr="00495CCB">
              <w:rPr>
                <w:i/>
                <w:sz w:val="18"/>
                <w:szCs w:val="18"/>
                <w:lang w:val="ro-RO"/>
              </w:rPr>
              <w:t xml:space="preserve">e) </w:t>
            </w:r>
            <w:bookmarkStart w:id="1" w:name="n1801"/>
            <w:bookmarkStart w:id="2" w:name="n1802"/>
            <w:bookmarkEnd w:id="1"/>
            <w:bookmarkEnd w:id="2"/>
            <w:r w:rsidRPr="00495CCB">
              <w:rPr>
                <w:i/>
                <w:sz w:val="18"/>
                <w:szCs w:val="18"/>
                <w:lang w:val="ro-RO"/>
              </w:rPr>
              <w:t>absența unui contract valabil privind prestarea serviciului de transport al gazelor naturale sau încălcarea termenilor acestuia</w:t>
            </w:r>
            <w:r>
              <w:rPr>
                <w:sz w:val="18"/>
                <w:szCs w:val="18"/>
                <w:lang w:val="ro-RO"/>
              </w:rPr>
              <w:t>;</w:t>
            </w:r>
          </w:p>
          <w:p w:rsidR="00665A94" w:rsidRPr="00156F0B" w:rsidRDefault="00156F0B" w:rsidP="00156F0B">
            <w:pPr>
              <w:textAlignment w:val="baseline"/>
              <w:rPr>
                <w:bCs/>
                <w:sz w:val="18"/>
                <w:szCs w:val="18"/>
                <w:lang w:val="ro-RO" w:eastAsia="en-US"/>
              </w:rPr>
            </w:pPr>
            <w:bookmarkStart w:id="3" w:name="n1803"/>
            <w:bookmarkEnd w:id="3"/>
            <w:r w:rsidRPr="00495CCB">
              <w:rPr>
                <w:i/>
                <w:sz w:val="18"/>
                <w:szCs w:val="18"/>
                <w:lang w:val="ro-RO"/>
              </w:rPr>
              <w:t xml:space="preserve">„f) </w:t>
            </w:r>
            <w:bookmarkStart w:id="4" w:name="n1804"/>
            <w:bookmarkStart w:id="5" w:name="n2444"/>
            <w:bookmarkStart w:id="6" w:name="n2445"/>
            <w:bookmarkEnd w:id="4"/>
            <w:bookmarkEnd w:id="5"/>
            <w:bookmarkEnd w:id="6"/>
            <w:r w:rsidRPr="00495CCB">
              <w:rPr>
                <w:i/>
                <w:sz w:val="18"/>
                <w:szCs w:val="18"/>
                <w:lang w:val="ro-RO"/>
              </w:rPr>
              <w:t>încălcarea condițiilor stabilite la punctul 311</w:t>
            </w:r>
            <w:r w:rsidR="00C711A2">
              <w:rPr>
                <w:i/>
                <w:sz w:val="18"/>
                <w:szCs w:val="18"/>
                <w:vertAlign w:val="superscript"/>
                <w:lang w:val="ro-RO"/>
              </w:rPr>
              <w:t>7</w:t>
            </w:r>
            <w:r>
              <w:rPr>
                <w:i/>
                <w:sz w:val="18"/>
                <w:szCs w:val="18"/>
                <w:lang w:val="ro-RO"/>
              </w:rPr>
              <w:t>.</w:t>
            </w:r>
          </w:p>
          <w:p w:rsidR="00665A94" w:rsidRPr="00665A94" w:rsidRDefault="00665A94" w:rsidP="00665A94">
            <w:pPr>
              <w:textAlignment w:val="baseline"/>
              <w:rPr>
                <w:bCs/>
                <w:sz w:val="18"/>
                <w:szCs w:val="18"/>
                <w:lang w:val="ro-RO" w:eastAsia="en-US"/>
              </w:rPr>
            </w:pPr>
            <w:r w:rsidRPr="00665A94">
              <w:rPr>
                <w:bCs/>
                <w:sz w:val="18"/>
                <w:szCs w:val="18"/>
                <w:lang w:val="ro-RO" w:eastAsia="en-US"/>
              </w:rPr>
              <w:t>2) o renominalizare până cel târziu la 2 ore după începutul ciclului de renominalizare în următoarele cazuri suplimentare:</w:t>
            </w:r>
          </w:p>
          <w:p w:rsidR="00665A94" w:rsidRPr="00665A94" w:rsidRDefault="00665A94" w:rsidP="00665A94">
            <w:pPr>
              <w:textAlignment w:val="baseline"/>
              <w:rPr>
                <w:bCs/>
                <w:sz w:val="18"/>
                <w:szCs w:val="18"/>
                <w:lang w:val="ro-RO" w:eastAsia="en-US"/>
              </w:rPr>
            </w:pPr>
            <w:r w:rsidRPr="00665A94">
              <w:rPr>
                <w:bCs/>
                <w:sz w:val="18"/>
                <w:szCs w:val="18"/>
                <w:lang w:val="ro-RO" w:eastAsia="en-US"/>
              </w:rPr>
              <w:t>a) dacă aceasta depăşeşte capacitatea alocată a utilizatorului de sistem pentru orele rămase, cu excepţia cazului în care renominalizarea este prezentată pentru a solicita capacitate întreruptibilă, în cazul în care OST pune la dispoziţie o astfel de capacitate;</w:t>
            </w:r>
          </w:p>
          <w:p w:rsidR="00665A94" w:rsidRDefault="00665A94" w:rsidP="00665A94">
            <w:pPr>
              <w:textAlignment w:val="baseline"/>
              <w:rPr>
                <w:bCs/>
                <w:sz w:val="18"/>
                <w:szCs w:val="18"/>
                <w:lang w:val="ro-RO" w:eastAsia="en-US"/>
              </w:rPr>
            </w:pPr>
            <w:r w:rsidRPr="00665A94">
              <w:rPr>
                <w:bCs/>
                <w:sz w:val="18"/>
                <w:szCs w:val="18"/>
                <w:lang w:val="ro-RO" w:eastAsia="en-US"/>
              </w:rPr>
              <w:t>b) dacă acceptarea renominalizărilor orare ar conduce la o modificare aşteptată a fluxului de gaze naturale înainte de încheierea ciclului de renominalizare.</w:t>
            </w:r>
          </w:p>
          <w:p w:rsidR="00793898" w:rsidRDefault="00793898" w:rsidP="00665A94">
            <w:pPr>
              <w:textAlignment w:val="baseline"/>
              <w:rPr>
                <w:bCs/>
                <w:sz w:val="18"/>
                <w:szCs w:val="18"/>
                <w:lang w:val="ro-RO" w:eastAsia="en-US"/>
              </w:rPr>
            </w:pPr>
          </w:p>
          <w:p w:rsidR="00665A94" w:rsidRPr="00BC2950" w:rsidRDefault="00665A94" w:rsidP="00C711A2">
            <w:pPr>
              <w:tabs>
                <w:tab w:val="left" w:pos="183"/>
              </w:tabs>
              <w:jc w:val="both"/>
              <w:textAlignment w:val="baseline"/>
              <w:rPr>
                <w:bCs/>
                <w:sz w:val="18"/>
                <w:szCs w:val="18"/>
                <w:lang w:val="ro-RO" w:eastAsia="en-US"/>
              </w:rPr>
            </w:pPr>
            <w:r w:rsidRPr="00BC2950">
              <w:rPr>
                <w:b/>
                <w:bCs/>
                <w:sz w:val="18"/>
                <w:szCs w:val="18"/>
                <w:lang w:val="ro-RO" w:eastAsia="en-US"/>
              </w:rPr>
              <w:t>501.</w:t>
            </w:r>
            <w:r w:rsidR="00156F0B" w:rsidRPr="00BC2950">
              <w:rPr>
                <w:sz w:val="18"/>
                <w:szCs w:val="18"/>
                <w:shd w:val="clear" w:color="auto" w:fill="FFFFFF"/>
                <w:lang w:val="ro-RO"/>
              </w:rPr>
              <w:t xml:space="preserve"> </w:t>
            </w:r>
            <w:r w:rsidR="00156F0B" w:rsidRPr="00BC2950">
              <w:rPr>
                <w:sz w:val="18"/>
                <w:szCs w:val="18"/>
                <w:lang w:val="ro-RO"/>
              </w:rPr>
              <w:t>OST nu are dreptul de a respinge o nominalizare / renominalizare a unui utilizator de sistem dacă cantitățile de gaze naturale planificate de a fi injectate ale respectivului utilizator de sistem nu sunt egale cu cantitățile de gaze naturale planificate de a fi retrase din rețea</w:t>
            </w:r>
            <w:r w:rsidR="00156F0B" w:rsidRPr="00BC2950">
              <w:rPr>
                <w:sz w:val="18"/>
                <w:szCs w:val="18"/>
                <w:shd w:val="clear" w:color="auto" w:fill="FFFFFF"/>
                <w:lang w:val="ro-RO"/>
              </w:rPr>
              <w:t>, cu excepția nominalizărilor / renominalizărilor depuse pentru utilizarea capacității condiționate</w:t>
            </w:r>
            <w:r w:rsidRPr="00BC2950">
              <w:rPr>
                <w:bCs/>
                <w:sz w:val="18"/>
                <w:szCs w:val="18"/>
                <w:lang w:val="ro-RO" w:eastAsia="en-US"/>
              </w:rPr>
              <w:t>.</w:t>
            </w:r>
          </w:p>
          <w:p w:rsidR="00156F0B" w:rsidRDefault="00156F0B" w:rsidP="00495CCB">
            <w:pPr>
              <w:jc w:val="both"/>
              <w:textAlignment w:val="baseline"/>
              <w:rPr>
                <w:bCs/>
                <w:sz w:val="18"/>
                <w:szCs w:val="18"/>
                <w:lang w:val="ro-RO" w:eastAsia="en-US"/>
              </w:rPr>
            </w:pPr>
          </w:p>
          <w:p w:rsidR="00665A94" w:rsidRPr="00665A94" w:rsidRDefault="00665A94" w:rsidP="00665A94">
            <w:pPr>
              <w:textAlignment w:val="baseline"/>
              <w:rPr>
                <w:bCs/>
                <w:sz w:val="18"/>
                <w:szCs w:val="18"/>
                <w:lang w:val="ro-RO" w:eastAsia="en-US"/>
              </w:rPr>
            </w:pPr>
            <w:r w:rsidRPr="00665A94">
              <w:rPr>
                <w:b/>
                <w:bCs/>
                <w:sz w:val="18"/>
                <w:szCs w:val="18"/>
                <w:lang w:val="ro-RO" w:eastAsia="en-US"/>
              </w:rPr>
              <w:t>502.</w:t>
            </w:r>
            <w:r w:rsidRPr="00665A94">
              <w:rPr>
                <w:bCs/>
                <w:sz w:val="18"/>
                <w:szCs w:val="18"/>
                <w:lang w:val="ro-RO" w:eastAsia="en-US"/>
              </w:rPr>
              <w:t xml:space="preserve"> În cazul respingerii unei renominalizări, OST utilizează ultima cantitate confirmată a utilizatorului de sistem, dacă aceasta există.</w:t>
            </w:r>
          </w:p>
          <w:p w:rsidR="00665A94" w:rsidRPr="00665A94" w:rsidRDefault="00665A94" w:rsidP="00665A94">
            <w:pPr>
              <w:textAlignment w:val="baseline"/>
              <w:rPr>
                <w:bCs/>
                <w:sz w:val="18"/>
                <w:szCs w:val="18"/>
                <w:lang w:val="ro-RO" w:eastAsia="en-US"/>
              </w:rPr>
            </w:pPr>
            <w:r w:rsidRPr="00665A94">
              <w:rPr>
                <w:b/>
                <w:bCs/>
                <w:sz w:val="18"/>
                <w:szCs w:val="18"/>
                <w:lang w:val="ro-RO" w:eastAsia="en-US"/>
              </w:rPr>
              <w:t>503.</w:t>
            </w:r>
            <w:r w:rsidRPr="00665A94">
              <w:rPr>
                <w:bCs/>
                <w:sz w:val="18"/>
                <w:szCs w:val="18"/>
                <w:lang w:val="ro-RO" w:eastAsia="en-US"/>
              </w:rPr>
              <w:t xml:space="preserve"> Fără a aduce atingere termenilor şi condiţiilor specifice aplicabile în cazul capacităţii întreruptibile şi al capacităţii care face obiectul normelor de gestionare a congestionării, OST poate, în principiu, să modifice cantitatea de gaze naturale solicitată conform unei nominalizări şi unei renominalizări numai în circumstanţe excepţionale şi în situaţii de urgenţă, atunci când există un pericol evident la adresa securităţii şi stabilităţii sistemului. OST notifică Agenţiei orice acţiune întreprinsă în acest sens.</w:t>
            </w:r>
          </w:p>
          <w:p w:rsidR="00856A80" w:rsidRPr="00BE464B" w:rsidRDefault="00856A80" w:rsidP="00DA725A">
            <w:pPr>
              <w:jc w:val="center"/>
              <w:textAlignment w:val="baseline"/>
              <w:rPr>
                <w:b/>
                <w:bCs/>
                <w:sz w:val="18"/>
                <w:szCs w:val="18"/>
                <w:lang w:val="ro-MD" w:eastAsia="en-US"/>
              </w:rPr>
            </w:pPr>
          </w:p>
        </w:tc>
        <w:tc>
          <w:tcPr>
            <w:tcW w:w="1275" w:type="dxa"/>
            <w:shd w:val="clear" w:color="auto" w:fill="auto"/>
          </w:tcPr>
          <w:p w:rsidR="00856A80" w:rsidRDefault="00856A80" w:rsidP="00DA725A">
            <w:pPr>
              <w:jc w:val="both"/>
              <w:rPr>
                <w:b/>
                <w:sz w:val="18"/>
                <w:szCs w:val="18"/>
                <w:lang w:val="it-IT"/>
              </w:rPr>
            </w:pPr>
          </w:p>
          <w:p w:rsidR="00862555" w:rsidRDefault="00862555" w:rsidP="00DA725A">
            <w:pPr>
              <w:jc w:val="both"/>
              <w:rPr>
                <w:b/>
                <w:sz w:val="18"/>
                <w:szCs w:val="18"/>
                <w:lang w:val="it-IT"/>
              </w:rPr>
            </w:pPr>
          </w:p>
          <w:p w:rsidR="00862555" w:rsidRDefault="00862555" w:rsidP="00DA725A">
            <w:pPr>
              <w:jc w:val="both"/>
              <w:rPr>
                <w:b/>
                <w:sz w:val="18"/>
                <w:szCs w:val="18"/>
                <w:lang w:val="it-IT"/>
              </w:rPr>
            </w:pPr>
          </w:p>
          <w:p w:rsidR="00862555" w:rsidRDefault="00862555" w:rsidP="00DA725A">
            <w:pPr>
              <w:jc w:val="both"/>
              <w:rPr>
                <w:b/>
                <w:sz w:val="18"/>
                <w:szCs w:val="18"/>
                <w:lang w:val="it-IT"/>
              </w:rPr>
            </w:pPr>
          </w:p>
          <w:p w:rsidR="00862555" w:rsidRDefault="00862555" w:rsidP="00DA725A">
            <w:pPr>
              <w:jc w:val="both"/>
              <w:rPr>
                <w:sz w:val="18"/>
                <w:szCs w:val="18"/>
              </w:rPr>
            </w:pPr>
            <w:r w:rsidRPr="00E55B82">
              <w:rPr>
                <w:sz w:val="18"/>
                <w:szCs w:val="18"/>
              </w:rPr>
              <w:t>Compatibil</w:t>
            </w: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A25070" w:rsidRDefault="00A25070" w:rsidP="00DA725A">
            <w:pPr>
              <w:jc w:val="both"/>
              <w:rPr>
                <w:sz w:val="18"/>
                <w:szCs w:val="18"/>
              </w:rPr>
            </w:pPr>
          </w:p>
          <w:p w:rsidR="00A25070" w:rsidRDefault="00A25070"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156F0B" w:rsidRDefault="00156F0B" w:rsidP="00DA725A">
            <w:pPr>
              <w:jc w:val="both"/>
              <w:rPr>
                <w:sz w:val="18"/>
                <w:szCs w:val="18"/>
              </w:rPr>
            </w:pPr>
          </w:p>
          <w:p w:rsidR="00862555" w:rsidRDefault="00862555" w:rsidP="00DA725A">
            <w:pPr>
              <w:jc w:val="both"/>
              <w:rPr>
                <w:sz w:val="18"/>
                <w:szCs w:val="18"/>
              </w:rPr>
            </w:pPr>
            <w:r w:rsidRPr="00E55B82">
              <w:rPr>
                <w:sz w:val="18"/>
                <w:szCs w:val="18"/>
              </w:rPr>
              <w:t>Compatibil</w:t>
            </w: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r w:rsidRPr="00E55B82">
              <w:rPr>
                <w:sz w:val="18"/>
                <w:szCs w:val="18"/>
              </w:rPr>
              <w:t>Compatibil</w:t>
            </w: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r w:rsidRPr="00E55B82">
              <w:rPr>
                <w:sz w:val="18"/>
                <w:szCs w:val="18"/>
              </w:rPr>
              <w:t>Compatibil</w:t>
            </w:r>
          </w:p>
          <w:p w:rsidR="00156F0B" w:rsidRPr="00D82EE4" w:rsidRDefault="00156F0B" w:rsidP="00DA725A">
            <w:pPr>
              <w:jc w:val="both"/>
              <w:rPr>
                <w:b/>
                <w:sz w:val="18"/>
                <w:szCs w:val="18"/>
                <w:lang w:val="it-IT"/>
              </w:rPr>
            </w:pPr>
          </w:p>
        </w:tc>
        <w:tc>
          <w:tcPr>
            <w:tcW w:w="4253" w:type="dxa"/>
            <w:shd w:val="clear" w:color="auto" w:fill="auto"/>
          </w:tcPr>
          <w:p w:rsidR="006D13A8" w:rsidRPr="00E84D74" w:rsidRDefault="006D13A8" w:rsidP="00DA725A">
            <w:pPr>
              <w:autoSpaceDE w:val="0"/>
              <w:autoSpaceDN w:val="0"/>
              <w:adjustRightInd w:val="0"/>
              <w:jc w:val="center"/>
              <w:rPr>
                <w:b/>
                <w:sz w:val="18"/>
                <w:szCs w:val="18"/>
              </w:rPr>
            </w:pPr>
            <w:r w:rsidRPr="00E84D74">
              <w:rPr>
                <w:b/>
                <w:sz w:val="18"/>
                <w:szCs w:val="18"/>
              </w:rPr>
              <w:lastRenderedPageBreak/>
              <w:t>Article 17</w:t>
            </w:r>
          </w:p>
          <w:p w:rsidR="006D13A8" w:rsidRPr="00E84D74" w:rsidRDefault="006D13A8" w:rsidP="00DA725A">
            <w:pPr>
              <w:autoSpaceDE w:val="0"/>
              <w:autoSpaceDN w:val="0"/>
              <w:adjustRightInd w:val="0"/>
              <w:jc w:val="center"/>
              <w:rPr>
                <w:b/>
                <w:sz w:val="18"/>
                <w:szCs w:val="18"/>
              </w:rPr>
            </w:pPr>
            <w:r w:rsidRPr="00E84D74">
              <w:rPr>
                <w:b/>
                <w:sz w:val="18"/>
                <w:szCs w:val="18"/>
              </w:rPr>
              <w:t>Rejection of nominations and re-nominations or amendment of the requested gas quantity at interconnection points</w:t>
            </w:r>
          </w:p>
          <w:p w:rsidR="006D13A8" w:rsidRPr="00E84D74" w:rsidRDefault="006D13A8" w:rsidP="00DA725A">
            <w:pPr>
              <w:autoSpaceDE w:val="0"/>
              <w:autoSpaceDN w:val="0"/>
              <w:adjustRightInd w:val="0"/>
              <w:rPr>
                <w:sz w:val="18"/>
                <w:szCs w:val="18"/>
              </w:rPr>
            </w:pPr>
            <w:r w:rsidRPr="00E84D74">
              <w:rPr>
                <w:sz w:val="18"/>
                <w:szCs w:val="18"/>
              </w:rPr>
              <w:t>1. The transmission system operator may reject:</w:t>
            </w:r>
          </w:p>
          <w:p w:rsidR="006D13A8" w:rsidRPr="00E84D74" w:rsidRDefault="006D13A8" w:rsidP="00DA725A">
            <w:pPr>
              <w:autoSpaceDE w:val="0"/>
              <w:autoSpaceDN w:val="0"/>
              <w:adjustRightInd w:val="0"/>
              <w:rPr>
                <w:sz w:val="18"/>
                <w:szCs w:val="18"/>
              </w:rPr>
            </w:pPr>
            <w:r w:rsidRPr="00E84D74">
              <w:rPr>
                <w:sz w:val="18"/>
                <w:szCs w:val="18"/>
              </w:rPr>
              <w:t>(a) a nomination or re-nomination no later than two hours after the nomination deadline or the beginning of the re-nomination cycle in the following cases:</w:t>
            </w:r>
          </w:p>
          <w:p w:rsidR="006D13A8" w:rsidRPr="00E84D74" w:rsidRDefault="006D13A8" w:rsidP="00DA725A">
            <w:pPr>
              <w:autoSpaceDE w:val="0"/>
              <w:autoSpaceDN w:val="0"/>
              <w:adjustRightInd w:val="0"/>
              <w:rPr>
                <w:sz w:val="18"/>
                <w:szCs w:val="18"/>
              </w:rPr>
            </w:pPr>
            <w:r w:rsidRPr="00E84D74">
              <w:rPr>
                <w:sz w:val="18"/>
                <w:szCs w:val="18"/>
              </w:rPr>
              <w:t>(i) it does not comply with the requirements as to its content;</w:t>
            </w:r>
          </w:p>
          <w:p w:rsidR="006D13A8" w:rsidRPr="00E84D74" w:rsidRDefault="006D13A8" w:rsidP="00DA725A">
            <w:pPr>
              <w:autoSpaceDE w:val="0"/>
              <w:autoSpaceDN w:val="0"/>
              <w:adjustRightInd w:val="0"/>
              <w:rPr>
                <w:sz w:val="18"/>
                <w:szCs w:val="18"/>
              </w:rPr>
            </w:pPr>
            <w:r w:rsidRPr="00E84D74">
              <w:rPr>
                <w:sz w:val="18"/>
                <w:szCs w:val="18"/>
              </w:rPr>
              <w:t>(ii) it is submitted by an entity other than a network user;</w:t>
            </w:r>
          </w:p>
          <w:p w:rsidR="006D13A8" w:rsidRPr="00E84D74" w:rsidRDefault="006D13A8" w:rsidP="00DA725A">
            <w:pPr>
              <w:autoSpaceDE w:val="0"/>
              <w:autoSpaceDN w:val="0"/>
              <w:adjustRightInd w:val="0"/>
              <w:rPr>
                <w:sz w:val="18"/>
                <w:szCs w:val="18"/>
              </w:rPr>
            </w:pPr>
            <w:r w:rsidRPr="00E84D74">
              <w:rPr>
                <w:sz w:val="18"/>
                <w:szCs w:val="18"/>
              </w:rPr>
              <w:t>(iii) the acceptance of the daily nomination or re-nomination would result in a negative implied</w:t>
            </w:r>
          </w:p>
          <w:p w:rsidR="006D13A8" w:rsidRPr="00E84D74" w:rsidRDefault="006D13A8" w:rsidP="00DA725A">
            <w:pPr>
              <w:autoSpaceDE w:val="0"/>
              <w:autoSpaceDN w:val="0"/>
              <w:adjustRightInd w:val="0"/>
              <w:rPr>
                <w:sz w:val="18"/>
                <w:szCs w:val="18"/>
              </w:rPr>
            </w:pPr>
            <w:r w:rsidRPr="00E84D74">
              <w:rPr>
                <w:sz w:val="18"/>
                <w:szCs w:val="18"/>
              </w:rPr>
              <w:t>nomination flow rate;</w:t>
            </w:r>
          </w:p>
          <w:p w:rsidR="006D13A8" w:rsidRPr="00E84D74" w:rsidRDefault="006D13A8" w:rsidP="00DA725A">
            <w:pPr>
              <w:autoSpaceDE w:val="0"/>
              <w:autoSpaceDN w:val="0"/>
              <w:adjustRightInd w:val="0"/>
              <w:rPr>
                <w:sz w:val="18"/>
                <w:szCs w:val="18"/>
              </w:rPr>
            </w:pPr>
            <w:r w:rsidRPr="00E84D74">
              <w:rPr>
                <w:sz w:val="18"/>
                <w:szCs w:val="18"/>
              </w:rPr>
              <w:t>(iv) it exceeds the network user’s allocated capacity;</w:t>
            </w: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6D13A8" w:rsidRPr="00E84D74" w:rsidRDefault="006D13A8" w:rsidP="00DA725A">
            <w:pPr>
              <w:autoSpaceDE w:val="0"/>
              <w:autoSpaceDN w:val="0"/>
              <w:adjustRightInd w:val="0"/>
              <w:rPr>
                <w:sz w:val="18"/>
                <w:szCs w:val="18"/>
              </w:rPr>
            </w:pPr>
            <w:r w:rsidRPr="00E84D74">
              <w:rPr>
                <w:sz w:val="18"/>
                <w:szCs w:val="18"/>
              </w:rPr>
              <w:t>(b) a re-nomination no later than two hours after the beginning of the re-nomination cycle in the following additional cases:</w:t>
            </w:r>
          </w:p>
          <w:p w:rsidR="006D13A8" w:rsidRPr="00E84D74" w:rsidRDefault="006D13A8" w:rsidP="00DA725A">
            <w:pPr>
              <w:autoSpaceDE w:val="0"/>
              <w:autoSpaceDN w:val="0"/>
              <w:adjustRightInd w:val="0"/>
              <w:rPr>
                <w:sz w:val="18"/>
                <w:szCs w:val="18"/>
              </w:rPr>
            </w:pPr>
            <w:r w:rsidRPr="00E84D74">
              <w:rPr>
                <w:sz w:val="18"/>
                <w:szCs w:val="18"/>
              </w:rPr>
              <w:t>(i) it exceeds the network user’s allocated capacity for the remaining hours, unless this re-nomination is submitted in order to request interruptible capacity, where offered by the transmission system operator;</w:t>
            </w:r>
          </w:p>
          <w:p w:rsidR="006D13A8" w:rsidRPr="00E84D74" w:rsidRDefault="006D13A8" w:rsidP="00DA725A">
            <w:pPr>
              <w:autoSpaceDE w:val="0"/>
              <w:autoSpaceDN w:val="0"/>
              <w:adjustRightInd w:val="0"/>
              <w:rPr>
                <w:sz w:val="18"/>
                <w:szCs w:val="18"/>
              </w:rPr>
            </w:pPr>
            <w:r w:rsidRPr="00E84D74">
              <w:rPr>
                <w:sz w:val="18"/>
                <w:szCs w:val="18"/>
              </w:rPr>
              <w:t>(ii) the acceptance of the hourly re-nomination would result in an expected gas flow change before the end of the re-nomination cycle.</w:t>
            </w:r>
          </w:p>
          <w:p w:rsidR="00A25070" w:rsidRPr="00E84D74" w:rsidRDefault="00A25070" w:rsidP="00DA725A">
            <w:pPr>
              <w:autoSpaceDE w:val="0"/>
              <w:autoSpaceDN w:val="0"/>
              <w:adjustRightInd w:val="0"/>
              <w:rPr>
                <w:sz w:val="18"/>
                <w:szCs w:val="18"/>
              </w:rPr>
            </w:pPr>
          </w:p>
          <w:p w:rsidR="006D13A8" w:rsidRPr="00E84D74" w:rsidRDefault="006D13A8" w:rsidP="00DA725A">
            <w:pPr>
              <w:autoSpaceDE w:val="0"/>
              <w:autoSpaceDN w:val="0"/>
              <w:adjustRightInd w:val="0"/>
              <w:rPr>
                <w:sz w:val="18"/>
                <w:szCs w:val="18"/>
              </w:rPr>
            </w:pPr>
            <w:r w:rsidRPr="00E84D74">
              <w:rPr>
                <w:sz w:val="18"/>
                <w:szCs w:val="18"/>
              </w:rPr>
              <w:t>2. The transmission system operator shall not reject a network user’s nomination and re-nomination on the sole ground that this network user’s intended inputs are not equal to its intended off-takes.</w:t>
            </w: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6D13A8" w:rsidRPr="00E84D74" w:rsidRDefault="006D13A8" w:rsidP="00DA725A">
            <w:pPr>
              <w:autoSpaceDE w:val="0"/>
              <w:autoSpaceDN w:val="0"/>
              <w:adjustRightInd w:val="0"/>
              <w:rPr>
                <w:sz w:val="18"/>
                <w:szCs w:val="18"/>
              </w:rPr>
            </w:pPr>
            <w:r w:rsidRPr="00E84D74">
              <w:rPr>
                <w:sz w:val="18"/>
                <w:szCs w:val="18"/>
              </w:rPr>
              <w:t>3. In case a re-nomination is rejected, the transmission system operator shall use the network user’s last confirmed quantity, if any.</w:t>
            </w:r>
          </w:p>
          <w:p w:rsidR="006D13A8" w:rsidRPr="00E84D74" w:rsidRDefault="006D13A8" w:rsidP="00DA725A">
            <w:pPr>
              <w:autoSpaceDE w:val="0"/>
              <w:autoSpaceDN w:val="0"/>
              <w:adjustRightInd w:val="0"/>
              <w:rPr>
                <w:sz w:val="18"/>
                <w:szCs w:val="18"/>
              </w:rPr>
            </w:pPr>
            <w:r w:rsidRPr="00E84D74">
              <w:rPr>
                <w:sz w:val="18"/>
                <w:szCs w:val="18"/>
              </w:rPr>
              <w:t>4. Without prejudice to the specific terms and conditions applicable to interruptible capacity and capacity subject to congestion management rules, the transmission system operator may in principle only amend the gas quantity requested under a nomination and re-nomination in exceptional events, and emergency situations when there is an evident danger to system security and stability. Transmission system operators shall notify to the national regulatory authority any such action taken.</w:t>
            </w:r>
          </w:p>
          <w:p w:rsidR="00856A80" w:rsidRPr="00E84D74" w:rsidRDefault="00856A80" w:rsidP="00DA725A">
            <w:pPr>
              <w:autoSpaceDE w:val="0"/>
              <w:autoSpaceDN w:val="0"/>
              <w:adjustRightInd w:val="0"/>
              <w:jc w:val="center"/>
              <w:rPr>
                <w:b/>
                <w:bCs/>
                <w:i/>
                <w:iCs/>
                <w:sz w:val="18"/>
                <w:szCs w:val="18"/>
              </w:rPr>
            </w:pPr>
          </w:p>
        </w:tc>
      </w:tr>
      <w:tr w:rsidR="006D13A8" w:rsidRPr="00043955" w:rsidTr="00FC3840">
        <w:trPr>
          <w:trHeight w:val="1240"/>
        </w:trPr>
        <w:tc>
          <w:tcPr>
            <w:tcW w:w="5245" w:type="dxa"/>
            <w:shd w:val="clear" w:color="auto" w:fill="auto"/>
          </w:tcPr>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18</w:t>
            </w:r>
          </w:p>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Procedura de nominalizare și de renominalizare în alte puncte decât punctele de interconectare</w:t>
            </w:r>
          </w:p>
          <w:p w:rsidR="006D13A8" w:rsidRDefault="006D13A8" w:rsidP="00DA725A">
            <w:pPr>
              <w:jc w:val="both"/>
              <w:textAlignment w:val="baseline"/>
              <w:rPr>
                <w:sz w:val="18"/>
                <w:szCs w:val="18"/>
                <w:lang w:val="it-IT" w:eastAsia="en-US"/>
              </w:rPr>
            </w:pPr>
            <w:r w:rsidRPr="00981BD4">
              <w:rPr>
                <w:sz w:val="18"/>
                <w:szCs w:val="18"/>
                <w:lang w:val="it-IT" w:eastAsia="en-US"/>
              </w:rPr>
              <w:t>(1)   Autoritatea națională de reglementare stabilește punctele, altele decât punctele de interconectare, în care este nevoie de nominalizări și renominalizări, în cazul în care aceste puncte nu au fost deja stabilite după consultarea operatorului de sistem de transport. </w:t>
            </w:r>
          </w:p>
          <w:p w:rsidR="00641B5C" w:rsidRPr="00981BD4" w:rsidRDefault="00641B5C" w:rsidP="00DA725A">
            <w:pPr>
              <w:jc w:val="both"/>
              <w:textAlignment w:val="baseline"/>
              <w:rPr>
                <w:rFonts w:ascii="Segoe UI" w:hAnsi="Segoe UI" w:cs="Segoe UI"/>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(2)   Atunci când nominalizările și renominalizările sunt necesare în alte puncte decât punctele de interconectare, se aplică următoarele principii: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utilizatorii rețelei au dreptul să prezinte renominalizări pentru ziua gazieră;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confirmă sau resping nominalizările și renominalizările transmise, ținând seama de termenele menționate la articolul 17. </w:t>
            </w:r>
          </w:p>
          <w:p w:rsidR="006D13A8" w:rsidRPr="00981BD4" w:rsidRDefault="006D13A8" w:rsidP="00DA725A">
            <w:pPr>
              <w:jc w:val="center"/>
              <w:textAlignment w:val="baseline"/>
              <w:rPr>
                <w:b/>
                <w:bCs/>
                <w:sz w:val="18"/>
                <w:szCs w:val="18"/>
                <w:lang w:val="it-IT" w:eastAsia="en-US"/>
              </w:rPr>
            </w:pPr>
          </w:p>
        </w:tc>
        <w:tc>
          <w:tcPr>
            <w:tcW w:w="4962" w:type="dxa"/>
            <w:shd w:val="clear" w:color="auto" w:fill="auto"/>
          </w:tcPr>
          <w:p w:rsidR="00665A94" w:rsidRPr="00665A94" w:rsidRDefault="00665A94" w:rsidP="00DE3C3E">
            <w:pPr>
              <w:jc w:val="center"/>
              <w:textAlignment w:val="baseline"/>
              <w:rPr>
                <w:b/>
                <w:bCs/>
                <w:sz w:val="18"/>
                <w:szCs w:val="18"/>
                <w:lang w:val="ro-RO" w:eastAsia="en-US"/>
              </w:rPr>
            </w:pPr>
            <w:r w:rsidRPr="00665A94">
              <w:rPr>
                <w:b/>
                <w:bCs/>
                <w:sz w:val="18"/>
                <w:szCs w:val="18"/>
                <w:lang w:val="ro-RO" w:eastAsia="en-US"/>
              </w:rPr>
              <w:lastRenderedPageBreak/>
              <w:t>Secţiunea 7</w:t>
            </w:r>
          </w:p>
          <w:p w:rsidR="00665A94" w:rsidRPr="00665A94" w:rsidRDefault="00665A94" w:rsidP="00DE3C3E">
            <w:pPr>
              <w:jc w:val="center"/>
              <w:textAlignment w:val="baseline"/>
              <w:rPr>
                <w:b/>
                <w:bCs/>
                <w:sz w:val="18"/>
                <w:szCs w:val="18"/>
                <w:lang w:val="ro-RO" w:eastAsia="en-US"/>
              </w:rPr>
            </w:pPr>
            <w:r w:rsidRPr="00665A94">
              <w:rPr>
                <w:b/>
                <w:bCs/>
                <w:sz w:val="18"/>
                <w:szCs w:val="18"/>
                <w:lang w:val="ro-RO" w:eastAsia="en-US"/>
              </w:rPr>
              <w:t>Procedura de nominalizare şi de renominalizare în alte puncte</w:t>
            </w:r>
          </w:p>
          <w:p w:rsidR="00665A94" w:rsidRPr="00665A94" w:rsidRDefault="00665A94" w:rsidP="00DE3C3E">
            <w:pPr>
              <w:jc w:val="center"/>
              <w:textAlignment w:val="baseline"/>
              <w:rPr>
                <w:b/>
                <w:bCs/>
                <w:sz w:val="18"/>
                <w:szCs w:val="18"/>
                <w:lang w:val="ro-RO" w:eastAsia="en-US"/>
              </w:rPr>
            </w:pPr>
            <w:r w:rsidRPr="00665A94">
              <w:rPr>
                <w:b/>
                <w:bCs/>
                <w:sz w:val="18"/>
                <w:szCs w:val="18"/>
                <w:lang w:val="ro-RO" w:eastAsia="en-US"/>
              </w:rPr>
              <w:t>decât punctele de interconectare</w:t>
            </w:r>
          </w:p>
          <w:p w:rsidR="00665A94" w:rsidRDefault="00665A94" w:rsidP="00665A94">
            <w:pPr>
              <w:jc w:val="both"/>
              <w:textAlignment w:val="baseline"/>
              <w:rPr>
                <w:bCs/>
                <w:sz w:val="18"/>
                <w:szCs w:val="18"/>
                <w:lang w:val="ro-RO" w:eastAsia="en-US"/>
              </w:rPr>
            </w:pPr>
            <w:r w:rsidRPr="00665A94">
              <w:rPr>
                <w:b/>
                <w:bCs/>
                <w:sz w:val="18"/>
                <w:szCs w:val="18"/>
                <w:lang w:val="ro-RO" w:eastAsia="en-US"/>
              </w:rPr>
              <w:t>504.</w:t>
            </w:r>
            <w:r w:rsidRPr="00665A94">
              <w:rPr>
                <w:bCs/>
                <w:sz w:val="18"/>
                <w:szCs w:val="18"/>
                <w:lang w:val="ro-RO" w:eastAsia="en-US"/>
              </w:rPr>
              <w:t xml:space="preserve"> Agenţia stabileşte punctele, altele decât punctele de interconectare, în care este nevoie de nominalizări şi renominalizări, în cazul în care aceste puncte nu au fost deja stabilite după consultarea OST.</w:t>
            </w:r>
          </w:p>
          <w:p w:rsidR="00641B5C" w:rsidRPr="00665A94" w:rsidRDefault="00641B5C" w:rsidP="00665A94">
            <w:pPr>
              <w:jc w:val="both"/>
              <w:textAlignment w:val="baseline"/>
              <w:rPr>
                <w:bCs/>
                <w:sz w:val="18"/>
                <w:szCs w:val="18"/>
                <w:lang w:val="ro-RO" w:eastAsia="en-US"/>
              </w:rPr>
            </w:pPr>
          </w:p>
          <w:p w:rsidR="00665A94" w:rsidRPr="00665A94" w:rsidRDefault="00665A94" w:rsidP="00665A94">
            <w:pPr>
              <w:jc w:val="both"/>
              <w:textAlignment w:val="baseline"/>
              <w:rPr>
                <w:bCs/>
                <w:sz w:val="18"/>
                <w:szCs w:val="18"/>
                <w:lang w:val="ro-RO" w:eastAsia="en-US"/>
              </w:rPr>
            </w:pPr>
            <w:r w:rsidRPr="00665A94">
              <w:rPr>
                <w:b/>
                <w:bCs/>
                <w:sz w:val="18"/>
                <w:szCs w:val="18"/>
                <w:lang w:val="ro-RO" w:eastAsia="en-US"/>
              </w:rPr>
              <w:t>505.</w:t>
            </w:r>
            <w:r w:rsidRPr="00665A94">
              <w:rPr>
                <w:bCs/>
                <w:sz w:val="18"/>
                <w:szCs w:val="18"/>
                <w:lang w:val="ro-RO" w:eastAsia="en-US"/>
              </w:rPr>
              <w:t xml:space="preserve"> Atunci când nominalizările şi renominalizările sunt necesare în alte puncte decât punctele de interconectare, se aplică următoarele principii:</w:t>
            </w:r>
          </w:p>
          <w:p w:rsidR="00665A94" w:rsidRPr="00665A94" w:rsidRDefault="00665A94" w:rsidP="00665A94">
            <w:pPr>
              <w:jc w:val="both"/>
              <w:textAlignment w:val="baseline"/>
              <w:rPr>
                <w:bCs/>
                <w:sz w:val="18"/>
                <w:szCs w:val="18"/>
                <w:lang w:val="ro-RO" w:eastAsia="en-US"/>
              </w:rPr>
            </w:pPr>
            <w:r w:rsidRPr="00665A94">
              <w:rPr>
                <w:bCs/>
                <w:sz w:val="18"/>
                <w:szCs w:val="18"/>
                <w:lang w:val="ro-RO" w:eastAsia="en-US"/>
              </w:rPr>
              <w:lastRenderedPageBreak/>
              <w:t>1) utilizatorii de sistem au dreptul să prezinte renominalizări pentru ziua gazieră;</w:t>
            </w:r>
          </w:p>
          <w:p w:rsidR="006D13A8" w:rsidRPr="00981BD4" w:rsidRDefault="00665A94" w:rsidP="00665A94">
            <w:pPr>
              <w:textAlignment w:val="baseline"/>
              <w:rPr>
                <w:b/>
                <w:bCs/>
                <w:sz w:val="18"/>
                <w:szCs w:val="18"/>
                <w:lang w:val="it-IT" w:eastAsia="en-US"/>
              </w:rPr>
            </w:pPr>
            <w:r w:rsidRPr="00665A94">
              <w:rPr>
                <w:bCs/>
                <w:sz w:val="18"/>
                <w:szCs w:val="18"/>
                <w:lang w:val="ro-RO" w:eastAsia="en-US"/>
              </w:rPr>
              <w:t xml:space="preserve">2) OST confirmă sau resping nominalizările şi renominalizările transmise, ţinând cont de termenele menţionate la Secţiunea 6 din prezentul Capitol. </w:t>
            </w:r>
          </w:p>
        </w:tc>
        <w:tc>
          <w:tcPr>
            <w:tcW w:w="1275" w:type="dxa"/>
            <w:shd w:val="clear" w:color="auto" w:fill="auto"/>
          </w:tcPr>
          <w:p w:rsidR="006D13A8" w:rsidRDefault="006D13A8" w:rsidP="00DA725A">
            <w:pPr>
              <w:jc w:val="both"/>
              <w:rPr>
                <w:b/>
                <w:sz w:val="18"/>
                <w:szCs w:val="18"/>
                <w:lang w:val="it-IT"/>
              </w:rPr>
            </w:pPr>
          </w:p>
          <w:p w:rsidR="00A25070" w:rsidRDefault="00A25070" w:rsidP="00DA725A">
            <w:pPr>
              <w:jc w:val="both"/>
              <w:rPr>
                <w:b/>
                <w:sz w:val="18"/>
                <w:szCs w:val="18"/>
                <w:lang w:val="it-IT"/>
              </w:rPr>
            </w:pPr>
          </w:p>
          <w:p w:rsidR="00A25070" w:rsidRDefault="00A25070" w:rsidP="00DA725A">
            <w:pPr>
              <w:jc w:val="both"/>
              <w:rPr>
                <w:b/>
                <w:sz w:val="18"/>
                <w:szCs w:val="18"/>
                <w:lang w:val="it-IT"/>
              </w:rPr>
            </w:pPr>
          </w:p>
          <w:p w:rsidR="00A25070" w:rsidRDefault="00A25070" w:rsidP="00DA725A">
            <w:pPr>
              <w:jc w:val="both"/>
              <w:rPr>
                <w:b/>
                <w:sz w:val="18"/>
                <w:szCs w:val="18"/>
                <w:lang w:val="it-IT"/>
              </w:rPr>
            </w:pPr>
          </w:p>
          <w:p w:rsidR="00A25070" w:rsidRDefault="00A25070" w:rsidP="00DA725A">
            <w:pPr>
              <w:jc w:val="both"/>
              <w:rPr>
                <w:sz w:val="18"/>
                <w:szCs w:val="18"/>
              </w:rPr>
            </w:pPr>
            <w:r w:rsidRPr="00E55B82">
              <w:rPr>
                <w:sz w:val="18"/>
                <w:szCs w:val="18"/>
              </w:rPr>
              <w:t>Compatibil</w:t>
            </w:r>
          </w:p>
          <w:p w:rsidR="00A25070" w:rsidRDefault="00A25070" w:rsidP="00DA725A">
            <w:pPr>
              <w:jc w:val="both"/>
              <w:rPr>
                <w:sz w:val="18"/>
                <w:szCs w:val="18"/>
              </w:rPr>
            </w:pPr>
          </w:p>
          <w:p w:rsidR="00A25070" w:rsidRDefault="00A25070" w:rsidP="00DA725A">
            <w:pPr>
              <w:jc w:val="both"/>
              <w:rPr>
                <w:sz w:val="18"/>
                <w:szCs w:val="18"/>
              </w:rPr>
            </w:pPr>
          </w:p>
          <w:p w:rsidR="00A25070" w:rsidRDefault="00A25070" w:rsidP="00DA725A">
            <w:pPr>
              <w:jc w:val="both"/>
              <w:rPr>
                <w:sz w:val="18"/>
                <w:szCs w:val="18"/>
              </w:rPr>
            </w:pPr>
          </w:p>
          <w:p w:rsidR="00641B5C" w:rsidRDefault="00641B5C" w:rsidP="00DA725A">
            <w:pPr>
              <w:jc w:val="both"/>
              <w:rPr>
                <w:sz w:val="18"/>
                <w:szCs w:val="18"/>
              </w:rPr>
            </w:pPr>
          </w:p>
          <w:p w:rsidR="00A25070" w:rsidRPr="00D82EE4" w:rsidRDefault="00A25070" w:rsidP="00DA725A">
            <w:pPr>
              <w:jc w:val="both"/>
              <w:rPr>
                <w:b/>
                <w:sz w:val="18"/>
                <w:szCs w:val="18"/>
                <w:lang w:val="it-IT"/>
              </w:rPr>
            </w:pPr>
            <w:r w:rsidRPr="00E55B82">
              <w:rPr>
                <w:sz w:val="18"/>
                <w:szCs w:val="18"/>
              </w:rPr>
              <w:t>Compatibil</w:t>
            </w:r>
          </w:p>
        </w:tc>
        <w:tc>
          <w:tcPr>
            <w:tcW w:w="4253" w:type="dxa"/>
            <w:shd w:val="clear" w:color="auto" w:fill="auto"/>
          </w:tcPr>
          <w:p w:rsidR="006D13A8" w:rsidRPr="00E84D74" w:rsidRDefault="006D13A8" w:rsidP="00DA725A">
            <w:pPr>
              <w:autoSpaceDE w:val="0"/>
              <w:autoSpaceDN w:val="0"/>
              <w:adjustRightInd w:val="0"/>
              <w:jc w:val="center"/>
              <w:rPr>
                <w:b/>
                <w:sz w:val="18"/>
                <w:szCs w:val="18"/>
              </w:rPr>
            </w:pPr>
            <w:r w:rsidRPr="00E84D74">
              <w:rPr>
                <w:b/>
                <w:sz w:val="18"/>
                <w:szCs w:val="18"/>
              </w:rPr>
              <w:t>Article 18</w:t>
            </w:r>
          </w:p>
          <w:p w:rsidR="006D13A8" w:rsidRPr="00E84D74" w:rsidRDefault="006D13A8" w:rsidP="00DA725A">
            <w:pPr>
              <w:autoSpaceDE w:val="0"/>
              <w:autoSpaceDN w:val="0"/>
              <w:adjustRightInd w:val="0"/>
              <w:jc w:val="center"/>
              <w:rPr>
                <w:b/>
                <w:sz w:val="18"/>
                <w:szCs w:val="18"/>
              </w:rPr>
            </w:pPr>
            <w:r w:rsidRPr="00E84D74">
              <w:rPr>
                <w:b/>
                <w:sz w:val="18"/>
                <w:szCs w:val="18"/>
              </w:rPr>
              <w:t>Nomination and re-nomination procedure at points other than interconnection points</w:t>
            </w:r>
          </w:p>
          <w:p w:rsidR="006D13A8" w:rsidRPr="00E84D74" w:rsidRDefault="006D13A8" w:rsidP="00DA725A">
            <w:pPr>
              <w:autoSpaceDE w:val="0"/>
              <w:autoSpaceDN w:val="0"/>
              <w:adjustRightInd w:val="0"/>
              <w:rPr>
                <w:sz w:val="18"/>
                <w:szCs w:val="18"/>
              </w:rPr>
            </w:pPr>
            <w:r w:rsidRPr="00E84D74">
              <w:rPr>
                <w:sz w:val="18"/>
                <w:szCs w:val="18"/>
              </w:rPr>
              <w:t>1. The national regulatory authority shall, if not determined already, after consultation of the transmission</w:t>
            </w:r>
          </w:p>
          <w:p w:rsidR="006D13A8" w:rsidRPr="00E84D74" w:rsidRDefault="006D13A8" w:rsidP="00DA725A">
            <w:pPr>
              <w:autoSpaceDE w:val="0"/>
              <w:autoSpaceDN w:val="0"/>
              <w:adjustRightInd w:val="0"/>
              <w:rPr>
                <w:sz w:val="18"/>
                <w:szCs w:val="18"/>
              </w:rPr>
            </w:pPr>
            <w:r w:rsidRPr="00E84D74">
              <w:rPr>
                <w:sz w:val="18"/>
                <w:szCs w:val="18"/>
              </w:rPr>
              <w:t>system operator, determine at which points other than interconnection points nominations</w:t>
            </w:r>
          </w:p>
          <w:p w:rsidR="006D13A8" w:rsidRPr="00E84D74" w:rsidRDefault="006D13A8" w:rsidP="00DA725A">
            <w:pPr>
              <w:autoSpaceDE w:val="0"/>
              <w:autoSpaceDN w:val="0"/>
              <w:adjustRightInd w:val="0"/>
              <w:rPr>
                <w:sz w:val="18"/>
                <w:szCs w:val="18"/>
              </w:rPr>
            </w:pPr>
            <w:r w:rsidRPr="00E84D74">
              <w:rPr>
                <w:sz w:val="18"/>
                <w:szCs w:val="18"/>
              </w:rPr>
              <w:t>and re-nominations are required.</w:t>
            </w:r>
          </w:p>
          <w:p w:rsidR="006D13A8" w:rsidRPr="00E84D74" w:rsidRDefault="006D13A8" w:rsidP="00DA725A">
            <w:pPr>
              <w:autoSpaceDE w:val="0"/>
              <w:autoSpaceDN w:val="0"/>
              <w:adjustRightInd w:val="0"/>
              <w:rPr>
                <w:sz w:val="18"/>
                <w:szCs w:val="18"/>
              </w:rPr>
            </w:pPr>
            <w:r w:rsidRPr="00E84D74">
              <w:rPr>
                <w:sz w:val="18"/>
                <w:szCs w:val="18"/>
              </w:rPr>
              <w:t>2. Where nominations and re-nominations are required at points other than interconnection points</w:t>
            </w:r>
          </w:p>
          <w:p w:rsidR="006D13A8" w:rsidRPr="00E84D74" w:rsidRDefault="006D13A8" w:rsidP="00DA725A">
            <w:pPr>
              <w:autoSpaceDE w:val="0"/>
              <w:autoSpaceDN w:val="0"/>
              <w:adjustRightInd w:val="0"/>
              <w:rPr>
                <w:sz w:val="18"/>
                <w:szCs w:val="18"/>
              </w:rPr>
            </w:pPr>
            <w:r w:rsidRPr="00E84D74">
              <w:rPr>
                <w:sz w:val="18"/>
                <w:szCs w:val="18"/>
              </w:rPr>
              <w:t>the following principles shall apply:</w:t>
            </w:r>
          </w:p>
          <w:p w:rsidR="006D13A8" w:rsidRPr="00E84D74" w:rsidRDefault="006D13A8" w:rsidP="00DA725A">
            <w:pPr>
              <w:autoSpaceDE w:val="0"/>
              <w:autoSpaceDN w:val="0"/>
              <w:adjustRightInd w:val="0"/>
              <w:rPr>
                <w:sz w:val="18"/>
                <w:szCs w:val="18"/>
              </w:rPr>
            </w:pPr>
            <w:r w:rsidRPr="00E84D74">
              <w:rPr>
                <w:sz w:val="18"/>
                <w:szCs w:val="18"/>
              </w:rPr>
              <w:lastRenderedPageBreak/>
              <w:t>(a) network users shall be entitled to submit re-nominations for the gas day;</w:t>
            </w:r>
          </w:p>
          <w:p w:rsidR="006D13A8" w:rsidRPr="00E84D74" w:rsidRDefault="006D13A8" w:rsidP="00DA725A">
            <w:pPr>
              <w:autoSpaceDE w:val="0"/>
              <w:autoSpaceDN w:val="0"/>
              <w:adjustRightInd w:val="0"/>
              <w:rPr>
                <w:sz w:val="18"/>
                <w:szCs w:val="18"/>
              </w:rPr>
            </w:pPr>
            <w:r w:rsidRPr="00E84D74">
              <w:rPr>
                <w:sz w:val="18"/>
                <w:szCs w:val="18"/>
              </w:rPr>
              <w:t>(b) the transmission system operator shall confirm or reject the submitted nominations and re-nominations</w:t>
            </w:r>
          </w:p>
          <w:p w:rsidR="006D13A8" w:rsidRPr="00E84D74" w:rsidRDefault="006D13A8" w:rsidP="00DA725A">
            <w:pPr>
              <w:autoSpaceDE w:val="0"/>
              <w:autoSpaceDN w:val="0"/>
              <w:adjustRightInd w:val="0"/>
              <w:rPr>
                <w:sz w:val="18"/>
                <w:szCs w:val="18"/>
              </w:rPr>
            </w:pPr>
            <w:r w:rsidRPr="00E84D74">
              <w:rPr>
                <w:sz w:val="18"/>
                <w:szCs w:val="18"/>
              </w:rPr>
              <w:t>considering the timelines referred to in Article 17.</w:t>
            </w:r>
          </w:p>
          <w:p w:rsidR="006D13A8" w:rsidRPr="00E84D74" w:rsidRDefault="006D13A8" w:rsidP="00DA725A">
            <w:pPr>
              <w:autoSpaceDE w:val="0"/>
              <w:autoSpaceDN w:val="0"/>
              <w:adjustRightInd w:val="0"/>
              <w:jc w:val="center"/>
              <w:rPr>
                <w:b/>
                <w:bCs/>
                <w:i/>
                <w:iCs/>
                <w:sz w:val="18"/>
                <w:szCs w:val="18"/>
              </w:rPr>
            </w:pPr>
          </w:p>
        </w:tc>
      </w:tr>
      <w:tr w:rsidR="005E3238" w:rsidRPr="00043955" w:rsidTr="00FC3840">
        <w:trPr>
          <w:trHeight w:val="267"/>
        </w:trPr>
        <w:tc>
          <w:tcPr>
            <w:tcW w:w="5245" w:type="dxa"/>
            <w:shd w:val="clear" w:color="auto" w:fill="auto"/>
          </w:tcPr>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lastRenderedPageBreak/>
              <w:t>CAPITOLUL V</w:t>
            </w:r>
            <w:r w:rsidRPr="00981BD4">
              <w:rPr>
                <w:sz w:val="18"/>
                <w:szCs w:val="18"/>
                <w:lang w:val="it-IT" w:eastAsia="en-US"/>
              </w:rPr>
              <w:t> </w:t>
            </w:r>
          </w:p>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t>TARIFE DE DEZECHILIBRU ZILNIC</w:t>
            </w:r>
            <w:r w:rsidRPr="00981BD4">
              <w:rPr>
                <w:sz w:val="18"/>
                <w:szCs w:val="18"/>
                <w:lang w:val="it-IT" w:eastAsia="en-US"/>
              </w:rPr>
              <w:t> </w:t>
            </w:r>
          </w:p>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t>Articolul 19</w:t>
            </w:r>
            <w:r w:rsidRPr="00981BD4">
              <w:rPr>
                <w:sz w:val="18"/>
                <w:szCs w:val="18"/>
                <w:lang w:val="it-IT" w:eastAsia="en-US"/>
              </w:rPr>
              <w:t> </w:t>
            </w:r>
          </w:p>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t>Dispoziții generale</w:t>
            </w:r>
            <w:r w:rsidRPr="00981BD4">
              <w:rPr>
                <w:sz w:val="18"/>
                <w:szCs w:val="18"/>
                <w:lang w:val="it-IT" w:eastAsia="en-US"/>
              </w:rPr>
              <w:t> </w:t>
            </w:r>
          </w:p>
          <w:p w:rsidR="005E3238" w:rsidRDefault="005E3238" w:rsidP="00DA725A">
            <w:pPr>
              <w:jc w:val="both"/>
              <w:textAlignment w:val="baseline"/>
              <w:rPr>
                <w:sz w:val="18"/>
                <w:szCs w:val="18"/>
                <w:lang w:val="it-IT" w:eastAsia="en-US"/>
              </w:rPr>
            </w:pPr>
            <w:r w:rsidRPr="00981BD4">
              <w:rPr>
                <w:sz w:val="18"/>
                <w:szCs w:val="18"/>
                <w:lang w:val="it-IT" w:eastAsia="en-US"/>
              </w:rPr>
              <w:t>(1)   Utilizatorii rețelei au obligația să plătească sau au dreptul să primească (după caz) tarife de dezechilibru zilnic în legătură cu cantitatea lor de dezechilibru zilnic pentru fiecare zi gazieră. </w:t>
            </w:r>
          </w:p>
          <w:p w:rsidR="00641B5C" w:rsidRPr="00981BD4" w:rsidRDefault="00641B5C" w:rsidP="00DA725A">
            <w:pPr>
              <w:jc w:val="both"/>
              <w:textAlignment w:val="baseline"/>
              <w:rPr>
                <w:rFonts w:ascii="Segoe UI" w:hAnsi="Segoe UI" w:cs="Segoe UI"/>
                <w:sz w:val="18"/>
                <w:szCs w:val="18"/>
                <w:lang w:val="it-IT" w:eastAsia="en-US"/>
              </w:rPr>
            </w:pPr>
          </w:p>
          <w:p w:rsidR="005E3238" w:rsidRDefault="005E3238" w:rsidP="00DA725A">
            <w:pPr>
              <w:jc w:val="both"/>
              <w:textAlignment w:val="baseline"/>
              <w:rPr>
                <w:sz w:val="18"/>
                <w:szCs w:val="18"/>
                <w:lang w:val="it-IT" w:eastAsia="en-US"/>
              </w:rPr>
            </w:pPr>
            <w:r w:rsidRPr="00981BD4">
              <w:rPr>
                <w:sz w:val="18"/>
                <w:szCs w:val="18"/>
                <w:lang w:val="it-IT" w:eastAsia="en-US"/>
              </w:rPr>
              <w:t>(2)   Tarifele de dezechilibru zilnic sunt identificate separat pe facturile emise de operatorul de sistem de transport către utilizatorii rețelei. </w:t>
            </w:r>
          </w:p>
          <w:p w:rsidR="00641B5C" w:rsidRPr="00981BD4" w:rsidRDefault="00641B5C" w:rsidP="00DA725A">
            <w:pPr>
              <w:jc w:val="both"/>
              <w:textAlignment w:val="baseline"/>
              <w:rPr>
                <w:rFonts w:ascii="Segoe UI" w:hAnsi="Segoe UI" w:cs="Segoe UI"/>
                <w:sz w:val="18"/>
                <w:szCs w:val="18"/>
                <w:lang w:val="it-IT" w:eastAsia="en-US"/>
              </w:rPr>
            </w:pPr>
          </w:p>
          <w:p w:rsidR="005E3238" w:rsidRPr="00981BD4" w:rsidRDefault="005E3238" w:rsidP="00DA725A">
            <w:pPr>
              <w:jc w:val="both"/>
              <w:textAlignment w:val="baseline"/>
              <w:rPr>
                <w:b/>
                <w:bCs/>
                <w:sz w:val="18"/>
                <w:szCs w:val="18"/>
                <w:lang w:val="it-IT" w:eastAsia="en-US"/>
              </w:rPr>
            </w:pPr>
            <w:r w:rsidRPr="00981BD4">
              <w:rPr>
                <w:sz w:val="18"/>
                <w:szCs w:val="18"/>
                <w:lang w:val="it-IT" w:eastAsia="en-US"/>
              </w:rPr>
              <w:t>(3)   Tariful de dezechilibru zilnic reflectă costurile și ține cont de prețurile aferente acțiunilor de echilibrare ale operatorului de sistem de transport, dacă acestea există, și de ajustarea minoră menționată la articolul 22 alineatul (6). </w:t>
            </w:r>
          </w:p>
        </w:tc>
        <w:tc>
          <w:tcPr>
            <w:tcW w:w="4962" w:type="dxa"/>
            <w:shd w:val="clear" w:color="auto" w:fill="auto"/>
          </w:tcPr>
          <w:p w:rsidR="00FF58DA" w:rsidRPr="00FF58DA" w:rsidRDefault="00FF58DA" w:rsidP="00DE3C3E">
            <w:pPr>
              <w:jc w:val="center"/>
              <w:textAlignment w:val="baseline"/>
              <w:rPr>
                <w:b/>
                <w:bCs/>
                <w:sz w:val="18"/>
                <w:szCs w:val="18"/>
                <w:lang w:val="ro-RO" w:eastAsia="en-US"/>
              </w:rPr>
            </w:pPr>
            <w:r w:rsidRPr="00FF58DA">
              <w:rPr>
                <w:b/>
                <w:bCs/>
                <w:sz w:val="18"/>
                <w:szCs w:val="18"/>
                <w:lang w:val="ro-RO" w:eastAsia="en-US"/>
              </w:rPr>
              <w:t>Capitolul V</w:t>
            </w:r>
          </w:p>
          <w:p w:rsidR="00FF58DA" w:rsidRPr="00FF58DA" w:rsidRDefault="00FF58DA" w:rsidP="00DE3C3E">
            <w:pPr>
              <w:jc w:val="center"/>
              <w:textAlignment w:val="baseline"/>
              <w:rPr>
                <w:b/>
                <w:bCs/>
                <w:sz w:val="18"/>
                <w:szCs w:val="18"/>
                <w:lang w:val="ro-RO" w:eastAsia="en-US"/>
              </w:rPr>
            </w:pPr>
            <w:r w:rsidRPr="00FF58DA">
              <w:rPr>
                <w:b/>
                <w:bCs/>
                <w:sz w:val="18"/>
                <w:szCs w:val="18"/>
                <w:lang w:val="ro-RO" w:eastAsia="en-US"/>
              </w:rPr>
              <w:t>PLĂŢILE PENTRU DEZECHILIBRU ZILNIC</w:t>
            </w:r>
          </w:p>
          <w:p w:rsidR="00FF58DA" w:rsidRPr="00FF58DA" w:rsidRDefault="00FF58DA" w:rsidP="00DE3C3E">
            <w:pPr>
              <w:jc w:val="center"/>
              <w:textAlignment w:val="baseline"/>
              <w:rPr>
                <w:b/>
                <w:bCs/>
                <w:sz w:val="18"/>
                <w:szCs w:val="18"/>
                <w:lang w:val="ro-RO" w:eastAsia="en-US"/>
              </w:rPr>
            </w:pPr>
            <w:r w:rsidRPr="00FF58DA">
              <w:rPr>
                <w:b/>
                <w:bCs/>
                <w:sz w:val="18"/>
                <w:szCs w:val="18"/>
                <w:lang w:val="ro-RO" w:eastAsia="en-US"/>
              </w:rPr>
              <w:t>Secţiunea 1</w:t>
            </w:r>
          </w:p>
          <w:p w:rsidR="00FF58DA" w:rsidRDefault="00FF58DA" w:rsidP="00DE3C3E">
            <w:pPr>
              <w:jc w:val="center"/>
              <w:textAlignment w:val="baseline"/>
              <w:rPr>
                <w:b/>
                <w:bCs/>
                <w:sz w:val="18"/>
                <w:szCs w:val="18"/>
                <w:lang w:val="ro-RO" w:eastAsia="en-US"/>
              </w:rPr>
            </w:pPr>
            <w:r w:rsidRPr="00FF58DA">
              <w:rPr>
                <w:b/>
                <w:bCs/>
                <w:sz w:val="18"/>
                <w:szCs w:val="18"/>
                <w:lang w:val="ro-RO" w:eastAsia="en-US"/>
              </w:rPr>
              <w:t>Dispoziţii generale</w:t>
            </w:r>
          </w:p>
          <w:p w:rsidR="00FF58DA" w:rsidRDefault="00FF58DA" w:rsidP="00FF58DA">
            <w:pPr>
              <w:jc w:val="both"/>
              <w:textAlignment w:val="baseline"/>
              <w:rPr>
                <w:bCs/>
                <w:sz w:val="18"/>
                <w:szCs w:val="18"/>
                <w:lang w:val="ro-RO" w:eastAsia="en-US"/>
              </w:rPr>
            </w:pPr>
            <w:r w:rsidRPr="00FF58DA">
              <w:rPr>
                <w:b/>
                <w:bCs/>
                <w:sz w:val="18"/>
                <w:szCs w:val="18"/>
                <w:lang w:val="ro-RO" w:eastAsia="en-US"/>
              </w:rPr>
              <w:t>506.</w:t>
            </w:r>
            <w:r w:rsidRPr="00FF58DA">
              <w:rPr>
                <w:bCs/>
                <w:sz w:val="18"/>
                <w:szCs w:val="18"/>
                <w:lang w:val="ro-RO" w:eastAsia="en-US"/>
              </w:rPr>
              <w:t xml:space="preserve"> Utilizatorii de sistem au obligaţia să plătească sau au dreptul să primească (după caz) plăţi pentru dezechilibru zilnic în legătură cu cantitatea lor de dezechilibru zilnic pentru fiecare zi gazieră.</w:t>
            </w:r>
          </w:p>
          <w:p w:rsidR="00641B5C" w:rsidRPr="00FF58DA" w:rsidRDefault="00641B5C" w:rsidP="00FF58DA">
            <w:pPr>
              <w:jc w:val="both"/>
              <w:textAlignment w:val="baseline"/>
              <w:rPr>
                <w:bCs/>
                <w:sz w:val="18"/>
                <w:szCs w:val="18"/>
                <w:lang w:val="ro-RO" w:eastAsia="en-US"/>
              </w:rPr>
            </w:pPr>
          </w:p>
          <w:p w:rsidR="00FF58DA" w:rsidRDefault="00FF58DA" w:rsidP="00FF58DA">
            <w:pPr>
              <w:jc w:val="both"/>
              <w:textAlignment w:val="baseline"/>
              <w:rPr>
                <w:bCs/>
                <w:sz w:val="18"/>
                <w:szCs w:val="18"/>
                <w:lang w:val="ro-RO" w:eastAsia="en-US"/>
              </w:rPr>
            </w:pPr>
            <w:r w:rsidRPr="00FF58DA">
              <w:rPr>
                <w:b/>
                <w:bCs/>
                <w:sz w:val="18"/>
                <w:szCs w:val="18"/>
                <w:lang w:val="ro-RO" w:eastAsia="en-US"/>
              </w:rPr>
              <w:t>507.</w:t>
            </w:r>
            <w:r w:rsidRPr="00FF58DA">
              <w:rPr>
                <w:bCs/>
                <w:sz w:val="18"/>
                <w:szCs w:val="18"/>
                <w:lang w:val="ro-RO" w:eastAsia="en-US"/>
              </w:rPr>
              <w:t xml:space="preserve"> Plăţile pentru dezechilibru zilnic sunt indicate separat în facturile emise de OST către utilizatorii de sistem.</w:t>
            </w:r>
          </w:p>
          <w:p w:rsidR="00641B5C" w:rsidRPr="00FF58DA" w:rsidRDefault="00641B5C" w:rsidP="00FF58DA">
            <w:pPr>
              <w:jc w:val="both"/>
              <w:textAlignment w:val="baseline"/>
              <w:rPr>
                <w:bCs/>
                <w:sz w:val="18"/>
                <w:szCs w:val="18"/>
                <w:lang w:val="ro-RO" w:eastAsia="en-US"/>
              </w:rPr>
            </w:pPr>
          </w:p>
          <w:p w:rsidR="00FF58DA" w:rsidRPr="00FF58DA" w:rsidRDefault="00FF58DA" w:rsidP="00FF58DA">
            <w:pPr>
              <w:jc w:val="both"/>
              <w:textAlignment w:val="baseline"/>
              <w:rPr>
                <w:bCs/>
                <w:sz w:val="18"/>
                <w:szCs w:val="18"/>
                <w:lang w:val="ro-RO" w:eastAsia="en-US"/>
              </w:rPr>
            </w:pPr>
            <w:r w:rsidRPr="00FF58DA">
              <w:rPr>
                <w:b/>
                <w:bCs/>
                <w:sz w:val="18"/>
                <w:szCs w:val="18"/>
                <w:lang w:val="ro-RO" w:eastAsia="en-US"/>
              </w:rPr>
              <w:t>508.</w:t>
            </w:r>
            <w:r w:rsidRPr="00FF58DA">
              <w:rPr>
                <w:bCs/>
                <w:sz w:val="18"/>
                <w:szCs w:val="18"/>
                <w:lang w:val="ro-RO" w:eastAsia="en-US"/>
              </w:rPr>
              <w:t xml:space="preserve"> Plata pentru dezechilibru zilnic trebuie să fie bazată pe costuri şi să ţină cont de preţurile aferente acţiunilor de echilibrare ale OST (dacă există) şi de ajustarea minoră stabilită la pct.522.</w:t>
            </w:r>
          </w:p>
          <w:p w:rsidR="005E3238" w:rsidRPr="00FF58DA" w:rsidRDefault="005E3238" w:rsidP="00DA725A">
            <w:pPr>
              <w:jc w:val="both"/>
              <w:textAlignment w:val="baseline"/>
              <w:rPr>
                <w:b/>
                <w:bCs/>
                <w:sz w:val="18"/>
                <w:szCs w:val="18"/>
                <w:lang w:val="ro-RO" w:eastAsia="en-US"/>
              </w:rPr>
            </w:pPr>
          </w:p>
        </w:tc>
        <w:tc>
          <w:tcPr>
            <w:tcW w:w="1275" w:type="dxa"/>
            <w:shd w:val="clear" w:color="auto" w:fill="auto"/>
          </w:tcPr>
          <w:p w:rsidR="005E3238" w:rsidRPr="00380C00" w:rsidRDefault="005E3238" w:rsidP="00DA725A">
            <w:pPr>
              <w:jc w:val="both"/>
              <w:rPr>
                <w:b/>
                <w:sz w:val="18"/>
                <w:szCs w:val="18"/>
                <w:lang w:val="ro-RO"/>
              </w:rPr>
            </w:pPr>
          </w:p>
          <w:p w:rsidR="00C00FC2" w:rsidRPr="00380C00" w:rsidRDefault="00C00FC2" w:rsidP="00DA725A">
            <w:pPr>
              <w:jc w:val="both"/>
              <w:rPr>
                <w:b/>
                <w:sz w:val="18"/>
                <w:szCs w:val="18"/>
                <w:lang w:val="ro-RO"/>
              </w:rPr>
            </w:pPr>
          </w:p>
          <w:p w:rsidR="00C00FC2" w:rsidRPr="00380C00" w:rsidRDefault="00C00FC2" w:rsidP="00DA725A">
            <w:pPr>
              <w:jc w:val="both"/>
              <w:rPr>
                <w:b/>
                <w:sz w:val="18"/>
                <w:szCs w:val="18"/>
                <w:lang w:val="ro-RO"/>
              </w:rPr>
            </w:pPr>
          </w:p>
          <w:p w:rsidR="00C00FC2" w:rsidRPr="00380C00" w:rsidRDefault="00C00FC2" w:rsidP="00DA725A">
            <w:pPr>
              <w:jc w:val="both"/>
              <w:rPr>
                <w:b/>
                <w:sz w:val="18"/>
                <w:szCs w:val="18"/>
                <w:lang w:val="ro-RO"/>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641B5C" w:rsidRDefault="00641B5C" w:rsidP="00DA725A">
            <w:pPr>
              <w:jc w:val="both"/>
              <w:rPr>
                <w:sz w:val="18"/>
                <w:szCs w:val="18"/>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641B5C" w:rsidRDefault="00641B5C" w:rsidP="00DA725A">
            <w:pPr>
              <w:jc w:val="both"/>
              <w:rPr>
                <w:sz w:val="18"/>
                <w:szCs w:val="18"/>
              </w:rPr>
            </w:pPr>
          </w:p>
          <w:p w:rsidR="00C00FC2" w:rsidRDefault="00C00FC2" w:rsidP="00DA725A">
            <w:pPr>
              <w:jc w:val="both"/>
              <w:rPr>
                <w:b/>
                <w:sz w:val="18"/>
                <w:szCs w:val="18"/>
                <w:lang w:val="it-IT"/>
              </w:rPr>
            </w:pPr>
            <w:r w:rsidRPr="00E55B82">
              <w:rPr>
                <w:sz w:val="18"/>
                <w:szCs w:val="18"/>
              </w:rPr>
              <w:t>Compatibil</w:t>
            </w:r>
          </w:p>
        </w:tc>
        <w:tc>
          <w:tcPr>
            <w:tcW w:w="4253" w:type="dxa"/>
            <w:shd w:val="clear" w:color="auto" w:fill="auto"/>
          </w:tcPr>
          <w:p w:rsidR="005E3238" w:rsidRPr="00E84D74" w:rsidRDefault="005E3238" w:rsidP="00DA725A">
            <w:pPr>
              <w:autoSpaceDE w:val="0"/>
              <w:autoSpaceDN w:val="0"/>
              <w:adjustRightInd w:val="0"/>
              <w:jc w:val="center"/>
              <w:rPr>
                <w:b/>
                <w:sz w:val="18"/>
                <w:szCs w:val="18"/>
              </w:rPr>
            </w:pPr>
            <w:r w:rsidRPr="00E84D74">
              <w:rPr>
                <w:b/>
                <w:sz w:val="18"/>
                <w:szCs w:val="18"/>
              </w:rPr>
              <w:t>CHAPTER V</w:t>
            </w:r>
          </w:p>
          <w:p w:rsidR="005E3238" w:rsidRPr="00E84D74" w:rsidRDefault="005E3238" w:rsidP="00DA725A">
            <w:pPr>
              <w:autoSpaceDE w:val="0"/>
              <w:autoSpaceDN w:val="0"/>
              <w:adjustRightInd w:val="0"/>
              <w:jc w:val="center"/>
              <w:rPr>
                <w:b/>
                <w:sz w:val="18"/>
                <w:szCs w:val="18"/>
              </w:rPr>
            </w:pPr>
            <w:r w:rsidRPr="00E84D74">
              <w:rPr>
                <w:b/>
                <w:sz w:val="18"/>
                <w:szCs w:val="18"/>
              </w:rPr>
              <w:t>DAILY IMBALANCE CHARGES</w:t>
            </w:r>
          </w:p>
          <w:p w:rsidR="005E3238" w:rsidRPr="00E84D74" w:rsidRDefault="005E3238" w:rsidP="00DA725A">
            <w:pPr>
              <w:autoSpaceDE w:val="0"/>
              <w:autoSpaceDN w:val="0"/>
              <w:adjustRightInd w:val="0"/>
              <w:jc w:val="center"/>
              <w:rPr>
                <w:b/>
                <w:sz w:val="18"/>
                <w:szCs w:val="18"/>
              </w:rPr>
            </w:pPr>
            <w:r w:rsidRPr="00E84D74">
              <w:rPr>
                <w:b/>
                <w:sz w:val="18"/>
                <w:szCs w:val="18"/>
              </w:rPr>
              <w:t>Article 19</w:t>
            </w:r>
          </w:p>
          <w:p w:rsidR="005E3238" w:rsidRPr="00E84D74" w:rsidRDefault="005E3238" w:rsidP="00DA725A">
            <w:pPr>
              <w:autoSpaceDE w:val="0"/>
              <w:autoSpaceDN w:val="0"/>
              <w:adjustRightInd w:val="0"/>
              <w:jc w:val="center"/>
              <w:rPr>
                <w:b/>
                <w:sz w:val="18"/>
                <w:szCs w:val="18"/>
              </w:rPr>
            </w:pPr>
            <w:r w:rsidRPr="00E84D74">
              <w:rPr>
                <w:b/>
                <w:sz w:val="18"/>
                <w:szCs w:val="18"/>
              </w:rPr>
              <w:t>General provisions</w:t>
            </w:r>
          </w:p>
          <w:p w:rsidR="005E3238" w:rsidRPr="00E84D74" w:rsidRDefault="005E3238" w:rsidP="00983016">
            <w:pPr>
              <w:autoSpaceDE w:val="0"/>
              <w:autoSpaceDN w:val="0"/>
              <w:adjustRightInd w:val="0"/>
              <w:jc w:val="both"/>
              <w:rPr>
                <w:sz w:val="18"/>
                <w:szCs w:val="18"/>
              </w:rPr>
            </w:pPr>
            <w:r w:rsidRPr="00E84D74">
              <w:rPr>
                <w:sz w:val="18"/>
                <w:szCs w:val="18"/>
              </w:rPr>
              <w:t>1. Network users shall be bound to pay or be entitled to receive (as appropriate) daily imbalance</w:t>
            </w:r>
            <w:r w:rsidR="00496B13" w:rsidRPr="00E84D74">
              <w:rPr>
                <w:sz w:val="18"/>
                <w:szCs w:val="18"/>
              </w:rPr>
              <w:t xml:space="preserve"> </w:t>
            </w:r>
            <w:r w:rsidRPr="00E84D74">
              <w:rPr>
                <w:sz w:val="18"/>
                <w:szCs w:val="18"/>
              </w:rPr>
              <w:t>charges in relation to their daily imbalance quantity for each gas day.</w:t>
            </w:r>
          </w:p>
          <w:p w:rsidR="005E3238" w:rsidRPr="00E84D74" w:rsidRDefault="005E3238" w:rsidP="00983016">
            <w:pPr>
              <w:autoSpaceDE w:val="0"/>
              <w:autoSpaceDN w:val="0"/>
              <w:adjustRightInd w:val="0"/>
              <w:jc w:val="both"/>
              <w:rPr>
                <w:sz w:val="18"/>
                <w:szCs w:val="18"/>
              </w:rPr>
            </w:pPr>
            <w:r w:rsidRPr="00E84D74">
              <w:rPr>
                <w:sz w:val="18"/>
                <w:szCs w:val="18"/>
              </w:rPr>
              <w:t>2. Daily imbalance charges shall be identified separately on the transmission system operator’s invoices</w:t>
            </w:r>
          </w:p>
          <w:p w:rsidR="005E3238" w:rsidRPr="00E84D74" w:rsidRDefault="005E3238" w:rsidP="00983016">
            <w:pPr>
              <w:autoSpaceDE w:val="0"/>
              <w:autoSpaceDN w:val="0"/>
              <w:adjustRightInd w:val="0"/>
              <w:jc w:val="both"/>
              <w:rPr>
                <w:sz w:val="18"/>
                <w:szCs w:val="18"/>
              </w:rPr>
            </w:pPr>
            <w:r w:rsidRPr="00E84D74">
              <w:rPr>
                <w:sz w:val="18"/>
                <w:szCs w:val="18"/>
              </w:rPr>
              <w:t>to network users.</w:t>
            </w:r>
          </w:p>
          <w:p w:rsidR="005E3238" w:rsidRPr="00E84D74" w:rsidRDefault="005E3238" w:rsidP="00983016">
            <w:pPr>
              <w:autoSpaceDE w:val="0"/>
              <w:autoSpaceDN w:val="0"/>
              <w:adjustRightInd w:val="0"/>
              <w:jc w:val="both"/>
              <w:rPr>
                <w:b/>
                <w:sz w:val="18"/>
                <w:szCs w:val="18"/>
              </w:rPr>
            </w:pPr>
            <w:r w:rsidRPr="00E84D74">
              <w:rPr>
                <w:sz w:val="18"/>
                <w:szCs w:val="18"/>
              </w:rPr>
              <w:t>3. The daily imbalance charge shall be cost reflective and shall take account of the prices associated with transmission system operator’s balancing actions, if any, and of the small adjustment referred to in Article 22(6).</w:t>
            </w:r>
          </w:p>
        </w:tc>
      </w:tr>
      <w:tr w:rsidR="00822DFB" w:rsidRPr="00043955" w:rsidTr="00FC3840">
        <w:trPr>
          <w:trHeight w:val="1240"/>
        </w:trPr>
        <w:tc>
          <w:tcPr>
            <w:tcW w:w="5245" w:type="dxa"/>
            <w:shd w:val="clear" w:color="auto" w:fill="auto"/>
          </w:tcPr>
          <w:p w:rsidR="00822DFB" w:rsidRPr="00981BD4" w:rsidRDefault="00822DFB"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20</w:t>
            </w:r>
          </w:p>
          <w:p w:rsidR="00822DFB" w:rsidRPr="00981BD4" w:rsidRDefault="00822DFB" w:rsidP="00DA725A">
            <w:pPr>
              <w:jc w:val="center"/>
              <w:textAlignment w:val="baseline"/>
              <w:rPr>
                <w:rFonts w:ascii="Segoe UI" w:hAnsi="Segoe UI" w:cs="Segoe UI"/>
                <w:sz w:val="18"/>
                <w:szCs w:val="18"/>
                <w:lang w:val="it-IT" w:eastAsia="en-US"/>
              </w:rPr>
            </w:pPr>
            <w:r w:rsidRPr="00981BD4">
              <w:rPr>
                <w:b/>
                <w:bCs/>
                <w:sz w:val="18"/>
                <w:szCs w:val="18"/>
                <w:lang w:val="it-IT" w:eastAsia="en-US"/>
              </w:rPr>
              <w:t>Metodologia de calculare a tarifului de dezechilibru zilnic</w:t>
            </w: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prezintă autorității naționale de reglementare, spre aprobare, metodologia de calculare a tarifului de dezechilibru zilnic care urmează să fie aplicată în zona sa de echilibrare. </w:t>
            </w:r>
          </w:p>
          <w:p w:rsidR="00822DFB" w:rsidRDefault="00822DFB" w:rsidP="00DA725A">
            <w:pPr>
              <w:jc w:val="both"/>
              <w:textAlignment w:val="baseline"/>
              <w:rPr>
                <w:sz w:val="18"/>
                <w:szCs w:val="18"/>
                <w:lang w:val="it-IT" w:eastAsia="en-US"/>
              </w:rPr>
            </w:pPr>
            <w:r w:rsidRPr="00981BD4">
              <w:rPr>
                <w:sz w:val="18"/>
                <w:szCs w:val="18"/>
                <w:lang w:val="it-IT" w:eastAsia="en-US"/>
              </w:rPr>
              <w:t>(2)   Odată aprobată, metodologia de calculare a tarifului de dezechilibru zilnic se publică pe site-ul internet relevant. Orice actualizare a acesteia se publică în timp util. </w:t>
            </w:r>
          </w:p>
          <w:p w:rsidR="00D00AB9" w:rsidRPr="00981BD4" w:rsidRDefault="00D00AB9" w:rsidP="00DA725A">
            <w:pPr>
              <w:jc w:val="both"/>
              <w:textAlignment w:val="baseline"/>
              <w:rPr>
                <w:rFonts w:ascii="Segoe UI" w:hAnsi="Segoe UI" w:cs="Segoe UI"/>
                <w:sz w:val="18"/>
                <w:szCs w:val="18"/>
                <w:lang w:val="it-IT" w:eastAsia="en-US"/>
              </w:rPr>
            </w:pP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(3)   Metodologia de calculare a tarifului de dezechilibru zilnic definește: </w:t>
            </w: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calcularea cantității de dezechilibru zilnic menționată la articolul 21; </w:t>
            </w: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derivarea prețului aplicabil prevăzut la articolul 22; precum și </w:t>
            </w:r>
          </w:p>
          <w:p w:rsidR="00822DFB" w:rsidRPr="00981BD4" w:rsidRDefault="00822DFB" w:rsidP="00DA725A">
            <w:pPr>
              <w:jc w:val="both"/>
              <w:textAlignment w:val="baseline"/>
              <w:rPr>
                <w:b/>
                <w:bCs/>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oricare alt parametru necesar. </w:t>
            </w:r>
          </w:p>
        </w:tc>
        <w:tc>
          <w:tcPr>
            <w:tcW w:w="4962" w:type="dxa"/>
            <w:shd w:val="clear" w:color="auto" w:fill="auto"/>
          </w:tcPr>
          <w:p w:rsidR="00083BCC" w:rsidRPr="00083BCC" w:rsidRDefault="00083BCC" w:rsidP="00083BCC">
            <w:pPr>
              <w:jc w:val="center"/>
              <w:textAlignment w:val="baseline"/>
              <w:rPr>
                <w:b/>
                <w:bCs/>
                <w:sz w:val="18"/>
                <w:szCs w:val="18"/>
                <w:lang w:val="ro-RO" w:eastAsia="en-US"/>
              </w:rPr>
            </w:pPr>
            <w:r w:rsidRPr="00083BCC">
              <w:rPr>
                <w:b/>
                <w:bCs/>
                <w:sz w:val="18"/>
                <w:szCs w:val="18"/>
                <w:lang w:val="ro-RO" w:eastAsia="en-US"/>
              </w:rPr>
              <w:t>Secţiunea 2</w:t>
            </w:r>
          </w:p>
          <w:p w:rsidR="00083BCC" w:rsidRPr="00083BCC" w:rsidRDefault="00083BCC" w:rsidP="00083BCC">
            <w:pPr>
              <w:jc w:val="center"/>
              <w:textAlignment w:val="baseline"/>
              <w:rPr>
                <w:b/>
                <w:bCs/>
                <w:sz w:val="18"/>
                <w:szCs w:val="18"/>
                <w:lang w:val="ro-RO" w:eastAsia="en-US"/>
              </w:rPr>
            </w:pPr>
            <w:r w:rsidRPr="00083BCC">
              <w:rPr>
                <w:b/>
                <w:bCs/>
                <w:sz w:val="18"/>
                <w:szCs w:val="18"/>
                <w:lang w:val="ro-RO" w:eastAsia="en-US"/>
              </w:rPr>
              <w:t>Metoda de calculare a plăţii pentru dezechilibru zilnic</w:t>
            </w:r>
          </w:p>
          <w:p w:rsidR="00083BCC" w:rsidRDefault="00083BCC" w:rsidP="00083BCC">
            <w:pPr>
              <w:textAlignment w:val="baseline"/>
              <w:rPr>
                <w:bCs/>
                <w:sz w:val="18"/>
                <w:szCs w:val="18"/>
                <w:lang w:val="ro-RO" w:eastAsia="en-US"/>
              </w:rPr>
            </w:pPr>
            <w:r w:rsidRPr="00083BCC">
              <w:rPr>
                <w:b/>
                <w:bCs/>
                <w:sz w:val="18"/>
                <w:szCs w:val="18"/>
                <w:lang w:val="ro-RO" w:eastAsia="en-US"/>
              </w:rPr>
              <w:t>509.</w:t>
            </w:r>
            <w:r w:rsidRPr="00083BCC">
              <w:rPr>
                <w:bCs/>
                <w:sz w:val="18"/>
                <w:szCs w:val="18"/>
                <w:lang w:val="ro-RO" w:eastAsia="en-US"/>
              </w:rPr>
              <w:t xml:space="preserve"> OST elaborează şi prezintă Agenţiei pentru aprobare, metoda de calculare a plăţii pentru dezechilibru zilnic care urmează să fie aplicată în zona sa de echilibrare.</w:t>
            </w:r>
          </w:p>
          <w:p w:rsidR="00D00AB9" w:rsidRPr="00083BCC" w:rsidRDefault="00D00AB9" w:rsidP="00083BCC">
            <w:pPr>
              <w:textAlignment w:val="baseline"/>
              <w:rPr>
                <w:bCs/>
                <w:sz w:val="18"/>
                <w:szCs w:val="18"/>
                <w:lang w:val="ro-RO" w:eastAsia="en-US"/>
              </w:rPr>
            </w:pPr>
          </w:p>
          <w:p w:rsidR="00083BCC" w:rsidRDefault="00083BCC" w:rsidP="00083BCC">
            <w:pPr>
              <w:textAlignment w:val="baseline"/>
              <w:rPr>
                <w:bCs/>
                <w:sz w:val="18"/>
                <w:szCs w:val="18"/>
                <w:lang w:val="ro-RO" w:eastAsia="en-US"/>
              </w:rPr>
            </w:pPr>
            <w:r w:rsidRPr="00083BCC">
              <w:rPr>
                <w:b/>
                <w:bCs/>
                <w:sz w:val="18"/>
                <w:szCs w:val="18"/>
                <w:lang w:val="ro-RO" w:eastAsia="en-US"/>
              </w:rPr>
              <w:t>510.</w:t>
            </w:r>
            <w:r w:rsidRPr="00083BCC">
              <w:rPr>
                <w:bCs/>
                <w:sz w:val="18"/>
                <w:szCs w:val="18"/>
                <w:lang w:val="ro-RO" w:eastAsia="en-US"/>
              </w:rPr>
              <w:t xml:space="preserve"> Odată aprobată, metoda de calculare a plăţii pentru dezechilibru zilnic, şi orice modificări ulterioare se publică pe pagina electronică a OST. </w:t>
            </w:r>
          </w:p>
          <w:p w:rsidR="00D00AB9" w:rsidRPr="00083BCC" w:rsidRDefault="00D00AB9" w:rsidP="00083BCC">
            <w:pPr>
              <w:textAlignment w:val="baseline"/>
              <w:rPr>
                <w:bCs/>
                <w:sz w:val="18"/>
                <w:szCs w:val="18"/>
                <w:lang w:val="ro-RO" w:eastAsia="en-US"/>
              </w:rPr>
            </w:pPr>
          </w:p>
          <w:p w:rsidR="00083BCC" w:rsidRPr="00083BCC" w:rsidRDefault="00083BCC" w:rsidP="00083BCC">
            <w:pPr>
              <w:textAlignment w:val="baseline"/>
              <w:rPr>
                <w:bCs/>
                <w:sz w:val="18"/>
                <w:szCs w:val="18"/>
                <w:lang w:val="ro-RO" w:eastAsia="en-US"/>
              </w:rPr>
            </w:pPr>
            <w:r w:rsidRPr="00083BCC">
              <w:rPr>
                <w:b/>
                <w:bCs/>
                <w:sz w:val="18"/>
                <w:szCs w:val="18"/>
                <w:lang w:val="ro-RO" w:eastAsia="en-US"/>
              </w:rPr>
              <w:t>511.</w:t>
            </w:r>
            <w:r w:rsidRPr="00083BCC">
              <w:rPr>
                <w:bCs/>
                <w:sz w:val="18"/>
                <w:szCs w:val="18"/>
                <w:lang w:val="ro-RO" w:eastAsia="en-US"/>
              </w:rPr>
              <w:t xml:space="preserve"> Metoda de calculare a plăţii pentru dezechilibru zilnic stabileşte:</w:t>
            </w:r>
          </w:p>
          <w:p w:rsidR="00083BCC" w:rsidRPr="00083BCC" w:rsidRDefault="00083BCC" w:rsidP="00083BCC">
            <w:pPr>
              <w:textAlignment w:val="baseline"/>
              <w:rPr>
                <w:bCs/>
                <w:sz w:val="18"/>
                <w:szCs w:val="18"/>
                <w:lang w:val="ro-RO" w:eastAsia="en-US"/>
              </w:rPr>
            </w:pPr>
            <w:r w:rsidRPr="00083BCC">
              <w:rPr>
                <w:bCs/>
                <w:sz w:val="18"/>
                <w:szCs w:val="18"/>
                <w:lang w:val="ro-RO" w:eastAsia="en-US"/>
              </w:rPr>
              <w:t>1) calcularea cantităţii de dezechilibru zilnic menţionată la Secţiunea 3 din prezentul Capitol;</w:t>
            </w:r>
          </w:p>
          <w:p w:rsidR="00083BCC" w:rsidRPr="00083BCC" w:rsidRDefault="00083BCC" w:rsidP="00083BCC">
            <w:pPr>
              <w:textAlignment w:val="baseline"/>
              <w:rPr>
                <w:bCs/>
                <w:sz w:val="18"/>
                <w:szCs w:val="18"/>
                <w:lang w:val="ro-RO" w:eastAsia="en-US"/>
              </w:rPr>
            </w:pPr>
            <w:r w:rsidRPr="00083BCC">
              <w:rPr>
                <w:bCs/>
                <w:sz w:val="18"/>
                <w:szCs w:val="18"/>
                <w:lang w:val="ro-RO" w:eastAsia="en-US"/>
              </w:rPr>
              <w:t>2) derivarea/preţului aplicabil prevăzut în Secţiunea 4 din prezentul Capitol;</w:t>
            </w:r>
          </w:p>
          <w:p w:rsidR="00083BCC" w:rsidRPr="00083BCC" w:rsidRDefault="00083BCC" w:rsidP="00083BCC">
            <w:pPr>
              <w:textAlignment w:val="baseline"/>
              <w:rPr>
                <w:bCs/>
                <w:sz w:val="18"/>
                <w:szCs w:val="18"/>
                <w:lang w:val="ro-RO" w:eastAsia="en-US"/>
              </w:rPr>
            </w:pPr>
            <w:r w:rsidRPr="00083BCC">
              <w:rPr>
                <w:bCs/>
                <w:sz w:val="18"/>
                <w:szCs w:val="18"/>
                <w:lang w:val="ro-RO" w:eastAsia="en-US"/>
              </w:rPr>
              <w:t>precum şi</w:t>
            </w:r>
          </w:p>
          <w:p w:rsidR="00822DFB" w:rsidRPr="00B50DA1" w:rsidRDefault="00083BCC" w:rsidP="00083BCC">
            <w:pPr>
              <w:textAlignment w:val="baseline"/>
              <w:rPr>
                <w:b/>
                <w:bCs/>
                <w:sz w:val="18"/>
                <w:szCs w:val="18"/>
                <w:lang w:val="ro-RO" w:eastAsia="en-US"/>
              </w:rPr>
            </w:pPr>
            <w:r w:rsidRPr="00083BCC">
              <w:rPr>
                <w:bCs/>
                <w:sz w:val="18"/>
                <w:szCs w:val="18"/>
                <w:lang w:val="ro-RO" w:eastAsia="en-US"/>
              </w:rPr>
              <w:t>3) oricare alt parametru necesar.</w:t>
            </w:r>
          </w:p>
        </w:tc>
        <w:tc>
          <w:tcPr>
            <w:tcW w:w="1275" w:type="dxa"/>
            <w:shd w:val="clear" w:color="auto" w:fill="auto"/>
          </w:tcPr>
          <w:p w:rsidR="00822DFB" w:rsidRDefault="00822DFB" w:rsidP="00DA725A">
            <w:pPr>
              <w:jc w:val="both"/>
              <w:rPr>
                <w:b/>
                <w:sz w:val="18"/>
                <w:szCs w:val="18"/>
                <w:lang w:val="it-IT"/>
              </w:rPr>
            </w:pPr>
          </w:p>
          <w:p w:rsidR="00C00FC2" w:rsidRDefault="00C00FC2" w:rsidP="00DA725A">
            <w:pPr>
              <w:jc w:val="both"/>
              <w:rPr>
                <w:b/>
                <w:sz w:val="18"/>
                <w:szCs w:val="18"/>
                <w:lang w:val="it-IT"/>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D00AB9" w:rsidRDefault="00D00AB9" w:rsidP="00DA725A">
            <w:pPr>
              <w:jc w:val="both"/>
              <w:rPr>
                <w:sz w:val="18"/>
                <w:szCs w:val="18"/>
              </w:rPr>
            </w:pPr>
          </w:p>
          <w:p w:rsidR="00C00FC2" w:rsidRDefault="00C00FC2" w:rsidP="00DA725A">
            <w:pPr>
              <w:jc w:val="both"/>
              <w:rPr>
                <w:sz w:val="18"/>
                <w:szCs w:val="18"/>
              </w:rPr>
            </w:pPr>
          </w:p>
          <w:p w:rsidR="00C00FC2" w:rsidRDefault="00C00FC2" w:rsidP="00DA725A">
            <w:pPr>
              <w:jc w:val="both"/>
              <w:rPr>
                <w:b/>
                <w:sz w:val="18"/>
                <w:szCs w:val="18"/>
                <w:lang w:val="it-IT"/>
              </w:rPr>
            </w:pPr>
            <w:r w:rsidRPr="00E55B82">
              <w:rPr>
                <w:sz w:val="18"/>
                <w:szCs w:val="18"/>
              </w:rPr>
              <w:t>Compatibil</w:t>
            </w:r>
          </w:p>
        </w:tc>
        <w:tc>
          <w:tcPr>
            <w:tcW w:w="4253" w:type="dxa"/>
            <w:shd w:val="clear" w:color="auto" w:fill="auto"/>
          </w:tcPr>
          <w:p w:rsidR="00822DFB" w:rsidRPr="00E84D74" w:rsidRDefault="00822DFB" w:rsidP="00DA725A">
            <w:pPr>
              <w:autoSpaceDE w:val="0"/>
              <w:autoSpaceDN w:val="0"/>
              <w:adjustRightInd w:val="0"/>
              <w:jc w:val="center"/>
              <w:rPr>
                <w:b/>
                <w:sz w:val="18"/>
                <w:szCs w:val="18"/>
              </w:rPr>
            </w:pPr>
            <w:r w:rsidRPr="00E84D74">
              <w:rPr>
                <w:b/>
                <w:sz w:val="18"/>
                <w:szCs w:val="18"/>
              </w:rPr>
              <w:t>Article 20</w:t>
            </w:r>
          </w:p>
          <w:p w:rsidR="00822DFB" w:rsidRPr="00E84D74" w:rsidRDefault="00822DFB" w:rsidP="00DA725A">
            <w:pPr>
              <w:autoSpaceDE w:val="0"/>
              <w:autoSpaceDN w:val="0"/>
              <w:adjustRightInd w:val="0"/>
              <w:jc w:val="center"/>
              <w:rPr>
                <w:b/>
                <w:sz w:val="18"/>
                <w:szCs w:val="18"/>
              </w:rPr>
            </w:pPr>
            <w:r w:rsidRPr="00E84D74">
              <w:rPr>
                <w:b/>
                <w:sz w:val="18"/>
                <w:szCs w:val="18"/>
              </w:rPr>
              <w:t>Daily imbalance charge calculation methodology</w:t>
            </w:r>
          </w:p>
          <w:p w:rsidR="00822DFB" w:rsidRPr="00E84D74" w:rsidRDefault="00822DFB" w:rsidP="00DA725A">
            <w:pPr>
              <w:autoSpaceDE w:val="0"/>
              <w:autoSpaceDN w:val="0"/>
              <w:adjustRightInd w:val="0"/>
              <w:rPr>
                <w:sz w:val="18"/>
                <w:szCs w:val="18"/>
              </w:rPr>
            </w:pPr>
            <w:r w:rsidRPr="00E84D74">
              <w:rPr>
                <w:sz w:val="18"/>
                <w:szCs w:val="18"/>
              </w:rPr>
              <w:t>1. The transmission system operator shall submit the daily imbalance charge calculation methodology to be applied in its balancing zone to the national regulatory authority for approval.</w:t>
            </w:r>
          </w:p>
          <w:p w:rsidR="00822DFB" w:rsidRPr="00E84D74" w:rsidRDefault="00822DFB" w:rsidP="00DA725A">
            <w:pPr>
              <w:autoSpaceDE w:val="0"/>
              <w:autoSpaceDN w:val="0"/>
              <w:adjustRightInd w:val="0"/>
              <w:rPr>
                <w:sz w:val="18"/>
                <w:szCs w:val="18"/>
              </w:rPr>
            </w:pPr>
            <w:r w:rsidRPr="00E84D74">
              <w:rPr>
                <w:sz w:val="18"/>
                <w:szCs w:val="18"/>
              </w:rPr>
              <w:t>2. Once approved, the daily imbalance charge calculation methodology shall be published on the relevant website. Any update thereof shall be published in a timely manner.</w:t>
            </w:r>
          </w:p>
          <w:p w:rsidR="00822DFB" w:rsidRPr="00E84D74" w:rsidRDefault="00822DFB" w:rsidP="00DA725A">
            <w:pPr>
              <w:autoSpaceDE w:val="0"/>
              <w:autoSpaceDN w:val="0"/>
              <w:adjustRightInd w:val="0"/>
              <w:rPr>
                <w:sz w:val="18"/>
                <w:szCs w:val="18"/>
              </w:rPr>
            </w:pPr>
            <w:r w:rsidRPr="00E84D74">
              <w:rPr>
                <w:sz w:val="18"/>
                <w:szCs w:val="18"/>
              </w:rPr>
              <w:t>3. The daily imbalance charge calculation methodology shall define:</w:t>
            </w:r>
          </w:p>
          <w:p w:rsidR="00822DFB" w:rsidRPr="00E84D74" w:rsidRDefault="00822DFB" w:rsidP="00DA725A">
            <w:pPr>
              <w:autoSpaceDE w:val="0"/>
              <w:autoSpaceDN w:val="0"/>
              <w:adjustRightInd w:val="0"/>
              <w:rPr>
                <w:sz w:val="18"/>
                <w:szCs w:val="18"/>
              </w:rPr>
            </w:pPr>
            <w:r w:rsidRPr="00E84D74">
              <w:rPr>
                <w:sz w:val="18"/>
                <w:szCs w:val="18"/>
              </w:rPr>
              <w:t>(a) the calculation of the daily imbalance quantity referred to in Article 21;</w:t>
            </w:r>
          </w:p>
          <w:p w:rsidR="00822DFB" w:rsidRPr="00E84D74" w:rsidRDefault="00822DFB" w:rsidP="00083BCC">
            <w:pPr>
              <w:autoSpaceDE w:val="0"/>
              <w:autoSpaceDN w:val="0"/>
              <w:adjustRightInd w:val="0"/>
              <w:rPr>
                <w:b/>
                <w:sz w:val="18"/>
                <w:szCs w:val="18"/>
              </w:rPr>
            </w:pPr>
            <w:r w:rsidRPr="00E84D74">
              <w:rPr>
                <w:sz w:val="18"/>
                <w:szCs w:val="18"/>
              </w:rPr>
              <w:t>(b) the derivation of the applicable price referred to in Article 22; and (c) any other necessary parameter.</w:t>
            </w:r>
          </w:p>
        </w:tc>
      </w:tr>
      <w:tr w:rsidR="006D13A8" w:rsidRPr="00043955" w:rsidTr="00FC3840">
        <w:trPr>
          <w:trHeight w:val="1240"/>
        </w:trPr>
        <w:tc>
          <w:tcPr>
            <w:tcW w:w="5245" w:type="dxa"/>
            <w:shd w:val="clear" w:color="auto" w:fill="auto"/>
          </w:tcPr>
          <w:p w:rsidR="0066475F" w:rsidRPr="00981BD4" w:rsidRDefault="0066475F" w:rsidP="00DA725A">
            <w:pPr>
              <w:jc w:val="center"/>
              <w:textAlignment w:val="baseline"/>
              <w:rPr>
                <w:rFonts w:ascii="Segoe UI" w:hAnsi="Segoe UI" w:cs="Segoe UI"/>
                <w:sz w:val="18"/>
                <w:szCs w:val="18"/>
                <w:lang w:val="it-IT" w:eastAsia="en-US"/>
              </w:rPr>
            </w:pPr>
            <w:r w:rsidRPr="00981BD4">
              <w:rPr>
                <w:sz w:val="18"/>
                <w:szCs w:val="18"/>
                <w:lang w:val="it-IT" w:eastAsia="en-US"/>
              </w:rPr>
              <w:t>A</w:t>
            </w:r>
            <w:r w:rsidRPr="00981BD4">
              <w:rPr>
                <w:b/>
                <w:bCs/>
                <w:sz w:val="18"/>
                <w:szCs w:val="18"/>
                <w:lang w:val="it-IT" w:eastAsia="en-US"/>
              </w:rPr>
              <w:t>rticolul 21</w:t>
            </w:r>
          </w:p>
          <w:p w:rsidR="0066475F" w:rsidRPr="00981BD4" w:rsidRDefault="0066475F" w:rsidP="00DA725A">
            <w:pPr>
              <w:jc w:val="both"/>
              <w:textAlignment w:val="baseline"/>
              <w:rPr>
                <w:rFonts w:ascii="Segoe UI" w:hAnsi="Segoe UI" w:cs="Segoe UI"/>
                <w:sz w:val="18"/>
                <w:szCs w:val="18"/>
                <w:lang w:val="it-IT" w:eastAsia="en-US"/>
              </w:rPr>
            </w:pPr>
            <w:r w:rsidRPr="00981BD4">
              <w:rPr>
                <w:b/>
                <w:bCs/>
                <w:sz w:val="18"/>
                <w:szCs w:val="18"/>
                <w:lang w:val="it-IT" w:eastAsia="en-US"/>
              </w:rPr>
              <w:t>Calcularea cantității de dezechilibru zilnic</w:t>
            </w:r>
            <w:r w:rsidRPr="00981BD4">
              <w:rPr>
                <w:sz w:val="18"/>
                <w:szCs w:val="18"/>
                <w:lang w:val="it-IT" w:eastAsia="en-US"/>
              </w:rPr>
              <w:t>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calculează o cantitate de dezechilibru zilnic pentru fiecare portofoliu de echilibrare al utilizatorului rețelei pentru fiecare zi gazieră în conformitate cu următoarea formulă: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cantitatea de dezechilibru zilnic = intrări - ieșiri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(2)   Calcularea cantității de dezechilibru zilnic se adaptează în consecință în cazul în care: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se oferă un serviciu de flexibilitate prin stocare în conductă; și/sau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există orice alt tip de înțelegere prin care utilizatorii rețelei furnizează gaz, inclusiv gaz în natură, pentru a acoperi: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gazul care nu figurează ca fiind preluat din sistem, cum ar fi pierderile, erorile de contorizare; și/sau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gazul utilizat de operatorul de sistem de transport pentru exploatarea sistemului, precum combustibil gazos.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6475F" w:rsidRDefault="0066475F" w:rsidP="00DA725A">
            <w:pPr>
              <w:jc w:val="both"/>
              <w:textAlignment w:val="baseline"/>
              <w:rPr>
                <w:sz w:val="18"/>
                <w:szCs w:val="18"/>
                <w:lang w:val="it-IT" w:eastAsia="en-US"/>
              </w:rPr>
            </w:pPr>
            <w:r w:rsidRPr="00981BD4">
              <w:rPr>
                <w:sz w:val="18"/>
                <w:szCs w:val="18"/>
                <w:lang w:val="it-IT" w:eastAsia="en-US"/>
              </w:rPr>
              <w:t>(3)   Dacă suma intrărilor unui utilizator al rețelei pentru ziua gazieră este egală cu suma ieșirilor sale pentru ziua gazieră respectivă, utilizatorul rețelei este considerat a fi echilibrat pentru ziua gazieră respectivă. </w:t>
            </w:r>
          </w:p>
          <w:p w:rsidR="000A2FDC" w:rsidRDefault="000A2FDC" w:rsidP="00DA725A">
            <w:pPr>
              <w:jc w:val="both"/>
              <w:textAlignment w:val="baseline"/>
              <w:rPr>
                <w:rFonts w:ascii="Segoe UI" w:hAnsi="Segoe UI" w:cs="Segoe UI"/>
                <w:sz w:val="18"/>
                <w:szCs w:val="18"/>
                <w:lang w:val="it-IT" w:eastAsia="en-US"/>
              </w:rPr>
            </w:pPr>
          </w:p>
          <w:p w:rsidR="000A2FDC" w:rsidRDefault="000A2FDC" w:rsidP="00DA725A">
            <w:pPr>
              <w:jc w:val="both"/>
              <w:textAlignment w:val="baseline"/>
              <w:rPr>
                <w:rFonts w:ascii="Segoe UI" w:hAnsi="Segoe UI" w:cs="Segoe UI"/>
                <w:sz w:val="18"/>
                <w:szCs w:val="18"/>
                <w:lang w:val="it-IT" w:eastAsia="en-US"/>
              </w:rPr>
            </w:pPr>
          </w:p>
          <w:p w:rsidR="000A2FDC" w:rsidRPr="00981BD4" w:rsidRDefault="000A2FDC" w:rsidP="00DA725A">
            <w:pPr>
              <w:jc w:val="both"/>
              <w:textAlignment w:val="baseline"/>
              <w:rPr>
                <w:rFonts w:ascii="Segoe UI" w:hAnsi="Segoe UI" w:cs="Segoe UI"/>
                <w:sz w:val="18"/>
                <w:szCs w:val="18"/>
                <w:lang w:val="it-IT" w:eastAsia="en-US"/>
              </w:rPr>
            </w:pP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(4)   Dacă suma intrărilor unui utilizator al rețelei pentru ziua gazieră nu este egală cu suma ieșirilor sale pentru ziua gazieră respectivă, utilizatorul rețelei este considerat a fi dezechilibrat pentru ziua gazieră respectivă și se aplică tarife de dezechilibru zilnic în conformitate cu articolul 23. </w:t>
            </w:r>
          </w:p>
          <w:p w:rsidR="0066475F" w:rsidRDefault="0066475F" w:rsidP="00DA725A">
            <w:pPr>
              <w:jc w:val="both"/>
              <w:textAlignment w:val="baseline"/>
              <w:rPr>
                <w:sz w:val="18"/>
                <w:szCs w:val="18"/>
                <w:lang w:val="it-IT" w:eastAsia="en-US"/>
              </w:rPr>
            </w:pPr>
            <w:r w:rsidRPr="00981BD4">
              <w:rPr>
                <w:sz w:val="18"/>
                <w:szCs w:val="18"/>
                <w:lang w:val="it-IT" w:eastAsia="en-US"/>
              </w:rPr>
              <w:t> </w:t>
            </w:r>
          </w:p>
          <w:p w:rsidR="000A2FDC" w:rsidRDefault="000A2FDC" w:rsidP="00DA725A">
            <w:pPr>
              <w:jc w:val="both"/>
              <w:textAlignment w:val="baseline"/>
              <w:rPr>
                <w:sz w:val="18"/>
                <w:szCs w:val="18"/>
                <w:lang w:val="it-IT" w:eastAsia="en-US"/>
              </w:rPr>
            </w:pPr>
          </w:p>
          <w:p w:rsidR="000A2FDC" w:rsidRPr="00981BD4" w:rsidRDefault="000A2FDC" w:rsidP="00DA725A">
            <w:pPr>
              <w:jc w:val="both"/>
              <w:textAlignment w:val="baseline"/>
              <w:rPr>
                <w:rFonts w:ascii="Segoe UI" w:hAnsi="Segoe UI" w:cs="Segoe UI"/>
                <w:sz w:val="18"/>
                <w:szCs w:val="18"/>
                <w:lang w:val="it-IT" w:eastAsia="en-US"/>
              </w:rPr>
            </w:pP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(5)   Operatorul de sistem de transport furnizează unui utilizator al rețelei cantitățile sale de dezechilibru zilnic inițiale și finale, în conformitate cu articolul 37. </w:t>
            </w:r>
          </w:p>
          <w:p w:rsidR="006D13A8"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(6)   Tariful de dezechilibru zilnic se bazează pe cantitatea finală de dezechilibru zilnic. </w:t>
            </w:r>
          </w:p>
        </w:tc>
        <w:tc>
          <w:tcPr>
            <w:tcW w:w="4962" w:type="dxa"/>
            <w:shd w:val="clear" w:color="auto" w:fill="auto"/>
          </w:tcPr>
          <w:p w:rsidR="00F51B84" w:rsidRPr="00F51B84" w:rsidRDefault="00F51B84" w:rsidP="00F51B84">
            <w:pPr>
              <w:textAlignment w:val="baseline"/>
              <w:rPr>
                <w:b/>
                <w:bCs/>
                <w:sz w:val="18"/>
                <w:szCs w:val="18"/>
                <w:lang w:val="ro-RO" w:eastAsia="en-US"/>
              </w:rPr>
            </w:pPr>
            <w:r w:rsidRPr="00F51B84">
              <w:rPr>
                <w:b/>
                <w:bCs/>
                <w:sz w:val="18"/>
                <w:szCs w:val="18"/>
                <w:lang w:val="ro-RO" w:eastAsia="en-US"/>
              </w:rPr>
              <w:lastRenderedPageBreak/>
              <w:t>Secţiunea 3</w:t>
            </w:r>
          </w:p>
          <w:p w:rsidR="00F51B84" w:rsidRPr="00F51B84" w:rsidRDefault="00F51B84" w:rsidP="00F51B84">
            <w:pPr>
              <w:textAlignment w:val="baseline"/>
              <w:rPr>
                <w:b/>
                <w:bCs/>
                <w:sz w:val="18"/>
                <w:szCs w:val="18"/>
                <w:lang w:val="ro-RO" w:eastAsia="en-US"/>
              </w:rPr>
            </w:pPr>
            <w:r w:rsidRPr="00F51B84">
              <w:rPr>
                <w:b/>
                <w:bCs/>
                <w:sz w:val="18"/>
                <w:szCs w:val="18"/>
                <w:lang w:val="ro-RO" w:eastAsia="en-US"/>
              </w:rPr>
              <w:t>Calcularea cantităţii de dezechilibru zilnic</w:t>
            </w:r>
          </w:p>
          <w:p w:rsidR="00F51B84" w:rsidRPr="00F51B84" w:rsidRDefault="00F51B84" w:rsidP="00F51B84">
            <w:pPr>
              <w:textAlignment w:val="baseline"/>
              <w:rPr>
                <w:bCs/>
                <w:sz w:val="18"/>
                <w:szCs w:val="18"/>
                <w:lang w:val="ro-RO" w:eastAsia="en-US"/>
              </w:rPr>
            </w:pPr>
            <w:r w:rsidRPr="00F51B84">
              <w:rPr>
                <w:b/>
                <w:bCs/>
                <w:sz w:val="18"/>
                <w:szCs w:val="18"/>
                <w:lang w:val="ro-RO" w:eastAsia="en-US"/>
              </w:rPr>
              <w:t>512.</w:t>
            </w:r>
            <w:r w:rsidRPr="00F51B84">
              <w:rPr>
                <w:bCs/>
                <w:sz w:val="18"/>
                <w:szCs w:val="18"/>
                <w:lang w:val="ro-RO" w:eastAsia="en-US"/>
              </w:rPr>
              <w:t xml:space="preserve"> OST calculează o cantitate de dezechilibru zilnic pentru fiecare portofoliu de echilibrare al utilizatorului de sistem, pentru fiecare zi gazieră, în conformitate cu următoarea formulă:</w:t>
            </w:r>
          </w:p>
          <w:p w:rsidR="00F51B84" w:rsidRPr="00F51B84" w:rsidRDefault="00F51B84" w:rsidP="00F51B84">
            <w:pPr>
              <w:textAlignment w:val="baseline"/>
              <w:rPr>
                <w:bCs/>
                <w:sz w:val="18"/>
                <w:szCs w:val="18"/>
                <w:lang w:val="ro-RO" w:eastAsia="en-US"/>
              </w:rPr>
            </w:pPr>
            <w:r w:rsidRPr="00F51B84">
              <w:rPr>
                <w:bCs/>
                <w:sz w:val="18"/>
                <w:szCs w:val="18"/>
                <w:lang w:val="ro-RO" w:eastAsia="en-US"/>
              </w:rPr>
              <w:t>cantitatea de dezechilibru zilnic = intrări – ieşiri</w:t>
            </w:r>
          </w:p>
          <w:p w:rsidR="00F51B84" w:rsidRPr="00F51B84" w:rsidRDefault="00F51B84" w:rsidP="00F51B84">
            <w:pPr>
              <w:textAlignment w:val="baseline"/>
              <w:rPr>
                <w:bCs/>
                <w:sz w:val="18"/>
                <w:szCs w:val="18"/>
                <w:lang w:val="ro-RO" w:eastAsia="en-US"/>
              </w:rPr>
            </w:pPr>
            <w:r w:rsidRPr="00F51B84">
              <w:rPr>
                <w:b/>
                <w:bCs/>
                <w:sz w:val="18"/>
                <w:szCs w:val="18"/>
                <w:lang w:val="ro-RO" w:eastAsia="en-US"/>
              </w:rPr>
              <w:lastRenderedPageBreak/>
              <w:t>513.</w:t>
            </w:r>
            <w:r w:rsidRPr="00F51B84">
              <w:rPr>
                <w:bCs/>
                <w:sz w:val="18"/>
                <w:szCs w:val="18"/>
                <w:lang w:val="ro-RO" w:eastAsia="en-US"/>
              </w:rPr>
              <w:t xml:space="preserve"> Calcularea cantităţii de dezechilibru zilnic se adaptează, în cazul în care:</w:t>
            </w:r>
          </w:p>
          <w:p w:rsidR="00F51B84" w:rsidRPr="00F51B84" w:rsidRDefault="00F51B84" w:rsidP="00F51B84">
            <w:pPr>
              <w:textAlignment w:val="baseline"/>
              <w:rPr>
                <w:bCs/>
                <w:sz w:val="18"/>
                <w:szCs w:val="18"/>
                <w:lang w:val="ro-RO" w:eastAsia="en-US"/>
              </w:rPr>
            </w:pPr>
            <w:r w:rsidRPr="00F51B84">
              <w:rPr>
                <w:bCs/>
                <w:sz w:val="18"/>
                <w:szCs w:val="18"/>
                <w:lang w:val="ro-RO" w:eastAsia="en-US"/>
              </w:rPr>
              <w:t xml:space="preserve">1) se oferă un serviciu de flexibilitate prin stocare în conductă; </w:t>
            </w:r>
          </w:p>
          <w:p w:rsidR="00F51B84" w:rsidRPr="00F51B84" w:rsidRDefault="00F51B84" w:rsidP="00F51B84">
            <w:pPr>
              <w:textAlignment w:val="baseline"/>
              <w:rPr>
                <w:bCs/>
                <w:sz w:val="18"/>
                <w:szCs w:val="18"/>
                <w:lang w:val="ro-RO" w:eastAsia="en-US"/>
              </w:rPr>
            </w:pPr>
            <w:r w:rsidRPr="00F51B84">
              <w:rPr>
                <w:bCs/>
                <w:sz w:val="18"/>
                <w:szCs w:val="18"/>
                <w:lang w:val="ro-RO" w:eastAsia="en-US"/>
              </w:rPr>
              <w:t>2) există orice alt tip de contract prin care utilizatorii de sistem furnizează gaze naturale, inclusiv gaze naturale, pentru a acoperi;</w:t>
            </w:r>
          </w:p>
          <w:p w:rsidR="00F51B84" w:rsidRPr="00F51B84" w:rsidRDefault="00F51B84" w:rsidP="00F51B84">
            <w:pPr>
              <w:textAlignment w:val="baseline"/>
              <w:rPr>
                <w:bCs/>
                <w:sz w:val="18"/>
                <w:szCs w:val="18"/>
                <w:lang w:val="ro-RO" w:eastAsia="en-US"/>
              </w:rPr>
            </w:pPr>
            <w:r w:rsidRPr="00F51B84">
              <w:rPr>
                <w:bCs/>
                <w:sz w:val="18"/>
                <w:szCs w:val="18"/>
                <w:lang w:val="ro-RO" w:eastAsia="en-US"/>
              </w:rPr>
              <w:t>a) cantitatea de gaze naturale care nu figurează ca fiind preluată din sistem, cum ar fi pierderile, erorile de măsurare; şi/sau</w:t>
            </w:r>
          </w:p>
          <w:p w:rsidR="00F51B84" w:rsidRDefault="00F51B84" w:rsidP="00F51B84">
            <w:pPr>
              <w:textAlignment w:val="baseline"/>
              <w:rPr>
                <w:bCs/>
                <w:sz w:val="18"/>
                <w:szCs w:val="18"/>
                <w:lang w:val="ro-RO" w:eastAsia="en-US"/>
              </w:rPr>
            </w:pPr>
            <w:r w:rsidRPr="00F51B84">
              <w:rPr>
                <w:bCs/>
                <w:sz w:val="18"/>
                <w:szCs w:val="18"/>
                <w:lang w:val="ro-RO" w:eastAsia="en-US"/>
              </w:rPr>
              <w:t>b) gazele naturale utilizate de OST pentru exploatarea sistemului, precum combustibil gazos.</w:t>
            </w:r>
          </w:p>
          <w:p w:rsidR="00592D75" w:rsidRPr="00F51B84" w:rsidRDefault="00592D75" w:rsidP="00F51B84">
            <w:pPr>
              <w:textAlignment w:val="baseline"/>
              <w:rPr>
                <w:bCs/>
                <w:sz w:val="18"/>
                <w:szCs w:val="18"/>
                <w:lang w:val="ro-RO" w:eastAsia="en-US"/>
              </w:rPr>
            </w:pPr>
          </w:p>
          <w:p w:rsidR="00F51B84" w:rsidRDefault="00F51B84" w:rsidP="00F51B84">
            <w:pPr>
              <w:textAlignment w:val="baseline"/>
              <w:rPr>
                <w:bCs/>
                <w:sz w:val="18"/>
                <w:szCs w:val="18"/>
                <w:lang w:val="ro-RO" w:eastAsia="en-US"/>
              </w:rPr>
            </w:pPr>
            <w:r w:rsidRPr="00F51B84">
              <w:rPr>
                <w:b/>
                <w:bCs/>
                <w:sz w:val="18"/>
                <w:szCs w:val="18"/>
                <w:lang w:val="ro-RO" w:eastAsia="en-US"/>
              </w:rPr>
              <w:t>514.</w:t>
            </w:r>
            <w:r w:rsidRPr="00F51B84">
              <w:rPr>
                <w:bCs/>
                <w:sz w:val="18"/>
                <w:szCs w:val="18"/>
                <w:lang w:val="ro-RO" w:eastAsia="en-US"/>
              </w:rPr>
              <w:t xml:space="preserve"> Dacă suma cantităţilor de gaze naturale ale utilizatorului de sitem intrate în reţeaua de transport al gazelor naturale (intrările) este egală cu suma cantităţilor de gaze naturale ale utilizatorului de sistem ieşite din reţeaua de transport al gazelor naturale (ieşirile) în ziua gazieră respectivă, utilizatorul de sistem este considerat a fi echilibrat pentru ziua gazieră respectivă.</w:t>
            </w:r>
          </w:p>
          <w:p w:rsidR="00592D75" w:rsidRPr="00F51B84" w:rsidRDefault="00592D75" w:rsidP="00F51B84">
            <w:pPr>
              <w:textAlignment w:val="baseline"/>
              <w:rPr>
                <w:bCs/>
                <w:sz w:val="18"/>
                <w:szCs w:val="18"/>
                <w:lang w:val="ro-RO" w:eastAsia="en-US"/>
              </w:rPr>
            </w:pPr>
          </w:p>
          <w:p w:rsidR="00F51B84" w:rsidRPr="00F51B84" w:rsidRDefault="00F51B84" w:rsidP="00F51B84">
            <w:pPr>
              <w:textAlignment w:val="baseline"/>
              <w:rPr>
                <w:bCs/>
                <w:sz w:val="18"/>
                <w:szCs w:val="18"/>
                <w:lang w:val="ro-RO" w:eastAsia="en-US"/>
              </w:rPr>
            </w:pPr>
            <w:r w:rsidRPr="00F51B84">
              <w:rPr>
                <w:b/>
                <w:bCs/>
                <w:sz w:val="18"/>
                <w:szCs w:val="18"/>
                <w:lang w:val="ro-RO" w:eastAsia="en-US"/>
              </w:rPr>
              <w:t>515.</w:t>
            </w:r>
            <w:r w:rsidRPr="00F51B84">
              <w:rPr>
                <w:bCs/>
                <w:sz w:val="18"/>
                <w:szCs w:val="18"/>
                <w:lang w:val="ro-RO" w:eastAsia="en-US"/>
              </w:rPr>
              <w:t xml:space="preserve"> Dacă suma cantităţilor de gaze naturale ale utilizatorului de sistem intrate în reţeaua de transport al gazelor naturale în ziua gazieră (intrările) nu este egală cu suma cantităţilor de gaze naturale ale utilizatorului de sistem ieşite din reţeaua de transport al gazelor naturale (ieşirile), din ziua gazieră respectivă, utilizatorul de sistem se consideră în dezechilibru negativ pentru ziua gazieră respectivă şi se aplică plăţii pentru dezechilibru zilnic în conformitate cu Secţiunea 5 din prezentul Capitol.</w:t>
            </w:r>
          </w:p>
          <w:p w:rsidR="00F51B84" w:rsidRPr="00F51B84" w:rsidRDefault="00F51B84" w:rsidP="00F51B84">
            <w:pPr>
              <w:textAlignment w:val="baseline"/>
              <w:rPr>
                <w:bCs/>
                <w:sz w:val="18"/>
                <w:szCs w:val="18"/>
                <w:lang w:val="ro-RO" w:eastAsia="en-US"/>
              </w:rPr>
            </w:pPr>
            <w:r w:rsidRPr="00F51B84">
              <w:rPr>
                <w:b/>
                <w:bCs/>
                <w:sz w:val="18"/>
                <w:szCs w:val="18"/>
                <w:lang w:val="ro-RO" w:eastAsia="en-US"/>
              </w:rPr>
              <w:t>516.</w:t>
            </w:r>
            <w:r w:rsidRPr="00F51B84">
              <w:rPr>
                <w:bCs/>
                <w:sz w:val="18"/>
                <w:szCs w:val="18"/>
                <w:lang w:val="ro-RO" w:eastAsia="en-US"/>
              </w:rPr>
              <w:t xml:space="preserve"> OST transmite unui utilizator de sistem cantităţile sale de dezechilibru zilnic iniţiale şi finale, în conformitate cu Secţiunea 6 din prezentul Capitolul.</w:t>
            </w:r>
          </w:p>
          <w:p w:rsidR="00F51B84" w:rsidRPr="00F51B84" w:rsidRDefault="00F51B84" w:rsidP="00F51B84">
            <w:pPr>
              <w:textAlignment w:val="baseline"/>
              <w:rPr>
                <w:bCs/>
                <w:sz w:val="18"/>
                <w:szCs w:val="18"/>
                <w:lang w:val="ro-RO" w:eastAsia="en-US"/>
              </w:rPr>
            </w:pPr>
            <w:r w:rsidRPr="00F51B84">
              <w:rPr>
                <w:b/>
                <w:bCs/>
                <w:sz w:val="18"/>
                <w:szCs w:val="18"/>
                <w:lang w:val="ro-RO" w:eastAsia="en-US"/>
              </w:rPr>
              <w:t>517.</w:t>
            </w:r>
            <w:r w:rsidRPr="00F51B84">
              <w:rPr>
                <w:bCs/>
                <w:sz w:val="18"/>
                <w:szCs w:val="18"/>
                <w:lang w:val="ro-RO" w:eastAsia="en-US"/>
              </w:rPr>
              <w:t xml:space="preserve"> Plata pentru dezechilibru zilnic se bazează pe cantitatea finală de dezechilibru zilnic.</w:t>
            </w:r>
          </w:p>
          <w:p w:rsidR="006D13A8" w:rsidRPr="001D23C5" w:rsidRDefault="006D13A8" w:rsidP="00F51B84">
            <w:pPr>
              <w:textAlignment w:val="baseline"/>
              <w:rPr>
                <w:b/>
                <w:bCs/>
                <w:sz w:val="18"/>
                <w:szCs w:val="18"/>
                <w:lang w:val="ro-RO" w:eastAsia="en-US"/>
              </w:rPr>
            </w:pPr>
          </w:p>
        </w:tc>
        <w:tc>
          <w:tcPr>
            <w:tcW w:w="1275" w:type="dxa"/>
            <w:shd w:val="clear" w:color="auto" w:fill="auto"/>
          </w:tcPr>
          <w:p w:rsidR="003B7970" w:rsidRDefault="003B7970" w:rsidP="00DA725A">
            <w:pPr>
              <w:jc w:val="both"/>
              <w:rPr>
                <w:b/>
                <w:sz w:val="18"/>
                <w:szCs w:val="18"/>
                <w:lang w:val="it-IT"/>
              </w:rPr>
            </w:pPr>
          </w:p>
          <w:p w:rsidR="00C00FC2" w:rsidRDefault="00C00FC2" w:rsidP="00DA725A">
            <w:pPr>
              <w:jc w:val="both"/>
              <w:rPr>
                <w:b/>
                <w:sz w:val="18"/>
                <w:szCs w:val="18"/>
                <w:lang w:val="it-IT"/>
              </w:rPr>
            </w:pPr>
          </w:p>
          <w:p w:rsidR="00C00FC2" w:rsidRPr="00981BD4" w:rsidRDefault="00C00FC2" w:rsidP="00DA725A">
            <w:pPr>
              <w:jc w:val="both"/>
              <w:rPr>
                <w:sz w:val="18"/>
                <w:szCs w:val="18"/>
                <w:lang w:val="it-IT"/>
              </w:rPr>
            </w:pPr>
            <w:r w:rsidRPr="00981BD4">
              <w:rPr>
                <w:sz w:val="18"/>
                <w:szCs w:val="18"/>
                <w:lang w:val="it-IT"/>
              </w:rPr>
              <w:t>Compatibil</w:t>
            </w:r>
          </w:p>
          <w:p w:rsidR="00C00FC2" w:rsidRPr="00981BD4" w:rsidRDefault="00C00FC2" w:rsidP="00DA725A">
            <w:pPr>
              <w:jc w:val="both"/>
              <w:rPr>
                <w:sz w:val="18"/>
                <w:szCs w:val="18"/>
                <w:lang w:val="it-IT"/>
              </w:rPr>
            </w:pPr>
          </w:p>
          <w:p w:rsidR="00C00FC2" w:rsidRPr="00981BD4" w:rsidRDefault="00C00FC2" w:rsidP="00DA725A">
            <w:pPr>
              <w:jc w:val="both"/>
              <w:rPr>
                <w:sz w:val="18"/>
                <w:szCs w:val="18"/>
                <w:lang w:val="it-IT"/>
              </w:rPr>
            </w:pPr>
          </w:p>
          <w:p w:rsidR="00C00FC2" w:rsidRDefault="00C00FC2" w:rsidP="00DA725A">
            <w:pPr>
              <w:jc w:val="both"/>
              <w:rPr>
                <w:sz w:val="18"/>
                <w:szCs w:val="18"/>
                <w:lang w:val="it-IT"/>
              </w:rPr>
            </w:pPr>
          </w:p>
          <w:p w:rsidR="000A2FDC" w:rsidRPr="00981BD4" w:rsidRDefault="000A2FDC" w:rsidP="00DA725A">
            <w:pPr>
              <w:jc w:val="both"/>
              <w:rPr>
                <w:sz w:val="18"/>
                <w:szCs w:val="18"/>
                <w:lang w:val="it-IT"/>
              </w:rPr>
            </w:pPr>
          </w:p>
          <w:p w:rsidR="00C00FC2" w:rsidRPr="00981BD4" w:rsidRDefault="00C00FC2" w:rsidP="00DA725A">
            <w:pPr>
              <w:jc w:val="both"/>
              <w:rPr>
                <w:sz w:val="18"/>
                <w:szCs w:val="18"/>
                <w:lang w:val="it-IT"/>
              </w:rPr>
            </w:pPr>
            <w:r w:rsidRPr="00981BD4">
              <w:rPr>
                <w:sz w:val="18"/>
                <w:szCs w:val="18"/>
                <w:lang w:val="it-IT"/>
              </w:rPr>
              <w:lastRenderedPageBreak/>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D31118" w:rsidRPr="00981BD4" w:rsidRDefault="00D31118" w:rsidP="00DA725A">
            <w:pPr>
              <w:jc w:val="both"/>
              <w:rPr>
                <w:sz w:val="18"/>
                <w:szCs w:val="18"/>
                <w:lang w:val="it-IT"/>
              </w:rPr>
            </w:pPr>
          </w:p>
          <w:p w:rsidR="00D31118" w:rsidRPr="00981BD4" w:rsidRDefault="00D31118" w:rsidP="00DA725A">
            <w:pPr>
              <w:jc w:val="both"/>
              <w:rPr>
                <w:sz w:val="18"/>
                <w:szCs w:val="18"/>
                <w:lang w:val="it-IT"/>
              </w:rPr>
            </w:pPr>
          </w:p>
          <w:p w:rsidR="00D31118" w:rsidRPr="00981BD4" w:rsidRDefault="00D31118"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r w:rsidRPr="00981BD4">
              <w:rPr>
                <w:sz w:val="18"/>
                <w:szCs w:val="18"/>
                <w:lang w:val="it-IT"/>
              </w:rPr>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Default="005508F1" w:rsidP="00DA725A">
            <w:pPr>
              <w:jc w:val="both"/>
              <w:rPr>
                <w:sz w:val="18"/>
                <w:szCs w:val="18"/>
                <w:lang w:val="it-IT"/>
              </w:rPr>
            </w:pPr>
          </w:p>
          <w:p w:rsidR="000A2FDC" w:rsidRDefault="000A2FDC" w:rsidP="00DA725A">
            <w:pPr>
              <w:jc w:val="both"/>
              <w:rPr>
                <w:sz w:val="18"/>
                <w:szCs w:val="18"/>
                <w:lang w:val="it-IT"/>
              </w:rPr>
            </w:pPr>
          </w:p>
          <w:p w:rsidR="000A2FDC" w:rsidRPr="00981BD4" w:rsidRDefault="000A2FDC" w:rsidP="00DA725A">
            <w:pPr>
              <w:jc w:val="both"/>
              <w:rPr>
                <w:sz w:val="18"/>
                <w:szCs w:val="18"/>
                <w:lang w:val="it-IT"/>
              </w:rPr>
            </w:pPr>
          </w:p>
          <w:p w:rsidR="005508F1" w:rsidRPr="00981BD4" w:rsidRDefault="005508F1" w:rsidP="00DA725A">
            <w:pPr>
              <w:jc w:val="both"/>
              <w:rPr>
                <w:sz w:val="18"/>
                <w:szCs w:val="18"/>
                <w:lang w:val="it-IT"/>
              </w:rPr>
            </w:pPr>
            <w:r w:rsidRPr="00981BD4">
              <w:rPr>
                <w:sz w:val="18"/>
                <w:szCs w:val="18"/>
                <w:lang w:val="it-IT"/>
              </w:rPr>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Default="005508F1" w:rsidP="00DA725A">
            <w:pPr>
              <w:jc w:val="both"/>
              <w:rPr>
                <w:sz w:val="18"/>
                <w:szCs w:val="18"/>
                <w:lang w:val="it-IT"/>
              </w:rPr>
            </w:pPr>
          </w:p>
          <w:p w:rsidR="003942C7" w:rsidRDefault="003942C7" w:rsidP="00DA725A">
            <w:pPr>
              <w:jc w:val="both"/>
              <w:rPr>
                <w:sz w:val="18"/>
                <w:szCs w:val="18"/>
                <w:lang w:val="it-IT"/>
              </w:rPr>
            </w:pPr>
          </w:p>
          <w:p w:rsidR="003942C7" w:rsidRDefault="003942C7" w:rsidP="00DA725A">
            <w:pPr>
              <w:jc w:val="both"/>
              <w:rPr>
                <w:sz w:val="18"/>
                <w:szCs w:val="18"/>
                <w:lang w:val="it-IT"/>
              </w:rPr>
            </w:pPr>
          </w:p>
          <w:p w:rsidR="000A2FDC" w:rsidRDefault="000A2FDC" w:rsidP="00DA725A">
            <w:pPr>
              <w:jc w:val="both"/>
              <w:rPr>
                <w:sz w:val="18"/>
                <w:szCs w:val="18"/>
                <w:lang w:val="it-IT"/>
              </w:rPr>
            </w:pPr>
          </w:p>
          <w:p w:rsidR="000A2FDC" w:rsidRDefault="000A2FDC" w:rsidP="00DA725A">
            <w:pPr>
              <w:jc w:val="both"/>
              <w:rPr>
                <w:sz w:val="18"/>
                <w:szCs w:val="18"/>
                <w:lang w:val="it-IT"/>
              </w:rPr>
            </w:pPr>
          </w:p>
          <w:p w:rsidR="005508F1" w:rsidRPr="00981BD4" w:rsidRDefault="005508F1" w:rsidP="00DA725A">
            <w:pPr>
              <w:jc w:val="both"/>
              <w:rPr>
                <w:sz w:val="18"/>
                <w:szCs w:val="18"/>
                <w:lang w:val="it-IT"/>
              </w:rPr>
            </w:pPr>
            <w:r w:rsidRPr="00981BD4">
              <w:rPr>
                <w:sz w:val="18"/>
                <w:szCs w:val="18"/>
                <w:lang w:val="it-IT"/>
              </w:rPr>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D82EE4" w:rsidRDefault="005508F1" w:rsidP="00DA725A">
            <w:pPr>
              <w:jc w:val="both"/>
              <w:rPr>
                <w:b/>
                <w:sz w:val="18"/>
                <w:szCs w:val="18"/>
                <w:lang w:val="it-IT"/>
              </w:rPr>
            </w:pPr>
            <w:r w:rsidRPr="00981BD4">
              <w:rPr>
                <w:sz w:val="18"/>
                <w:szCs w:val="18"/>
                <w:lang w:val="it-IT"/>
              </w:rPr>
              <w:t>Compatibil</w:t>
            </w:r>
          </w:p>
        </w:tc>
        <w:tc>
          <w:tcPr>
            <w:tcW w:w="4253" w:type="dxa"/>
            <w:shd w:val="clear" w:color="auto" w:fill="auto"/>
          </w:tcPr>
          <w:p w:rsidR="0066475F" w:rsidRPr="00E84D74" w:rsidRDefault="0066475F" w:rsidP="00DA725A">
            <w:pPr>
              <w:autoSpaceDE w:val="0"/>
              <w:autoSpaceDN w:val="0"/>
              <w:adjustRightInd w:val="0"/>
              <w:jc w:val="center"/>
              <w:rPr>
                <w:b/>
                <w:sz w:val="18"/>
                <w:szCs w:val="18"/>
              </w:rPr>
            </w:pPr>
            <w:r w:rsidRPr="00E84D74">
              <w:rPr>
                <w:b/>
                <w:sz w:val="18"/>
                <w:szCs w:val="18"/>
              </w:rPr>
              <w:lastRenderedPageBreak/>
              <w:t>Article 21</w:t>
            </w:r>
          </w:p>
          <w:p w:rsidR="0066475F" w:rsidRPr="00E84D74" w:rsidRDefault="0066475F" w:rsidP="00DA725A">
            <w:pPr>
              <w:autoSpaceDE w:val="0"/>
              <w:autoSpaceDN w:val="0"/>
              <w:adjustRightInd w:val="0"/>
              <w:jc w:val="center"/>
              <w:rPr>
                <w:b/>
                <w:sz w:val="18"/>
                <w:szCs w:val="18"/>
              </w:rPr>
            </w:pPr>
            <w:r w:rsidRPr="00E84D74">
              <w:rPr>
                <w:b/>
                <w:sz w:val="18"/>
                <w:szCs w:val="18"/>
              </w:rPr>
              <w:t>Daily imbalance quantity calculation</w:t>
            </w:r>
          </w:p>
          <w:p w:rsidR="0066475F" w:rsidRPr="00E84D74" w:rsidRDefault="0066475F" w:rsidP="00DA725A">
            <w:pPr>
              <w:autoSpaceDE w:val="0"/>
              <w:autoSpaceDN w:val="0"/>
              <w:adjustRightInd w:val="0"/>
              <w:rPr>
                <w:sz w:val="18"/>
                <w:szCs w:val="18"/>
              </w:rPr>
            </w:pPr>
            <w:r w:rsidRPr="00E84D74">
              <w:rPr>
                <w:sz w:val="18"/>
                <w:szCs w:val="18"/>
              </w:rPr>
              <w:t>1. The transmission system operator shall calculate a daily imbalance quantity for each network user’s</w:t>
            </w:r>
            <w:r w:rsidR="00B6531F" w:rsidRPr="00E84D74">
              <w:rPr>
                <w:sz w:val="18"/>
                <w:szCs w:val="18"/>
              </w:rPr>
              <w:t xml:space="preserve"> </w:t>
            </w:r>
            <w:r w:rsidRPr="00E84D74">
              <w:rPr>
                <w:sz w:val="18"/>
                <w:szCs w:val="18"/>
              </w:rPr>
              <w:t xml:space="preserve">balancing portfolio for each gas day in accordance with the </w:t>
            </w:r>
            <w:r w:rsidR="00B6531F" w:rsidRPr="00E84D74">
              <w:rPr>
                <w:sz w:val="18"/>
                <w:szCs w:val="18"/>
              </w:rPr>
              <w:t xml:space="preserve"> </w:t>
            </w:r>
            <w:r w:rsidRPr="00E84D74">
              <w:rPr>
                <w:sz w:val="18"/>
                <w:szCs w:val="18"/>
              </w:rPr>
              <w:t>following formula:</w:t>
            </w:r>
          </w:p>
          <w:p w:rsidR="0066475F" w:rsidRPr="00E84D74" w:rsidRDefault="0066475F" w:rsidP="00DA725A">
            <w:pPr>
              <w:autoSpaceDE w:val="0"/>
              <w:autoSpaceDN w:val="0"/>
              <w:adjustRightInd w:val="0"/>
              <w:rPr>
                <w:sz w:val="18"/>
                <w:szCs w:val="18"/>
              </w:rPr>
            </w:pPr>
            <w:r w:rsidRPr="00E84D74">
              <w:rPr>
                <w:sz w:val="18"/>
                <w:szCs w:val="18"/>
              </w:rPr>
              <w:t>daily imbalance quantity = inputs – off-takes</w:t>
            </w:r>
          </w:p>
          <w:p w:rsidR="0066475F" w:rsidRPr="00E84D74" w:rsidRDefault="0066475F" w:rsidP="00DA725A">
            <w:pPr>
              <w:autoSpaceDE w:val="0"/>
              <w:autoSpaceDN w:val="0"/>
              <w:adjustRightInd w:val="0"/>
              <w:rPr>
                <w:sz w:val="18"/>
                <w:szCs w:val="18"/>
              </w:rPr>
            </w:pPr>
            <w:r w:rsidRPr="00E84D74">
              <w:rPr>
                <w:sz w:val="18"/>
                <w:szCs w:val="18"/>
              </w:rPr>
              <w:lastRenderedPageBreak/>
              <w:t>2. The daily imbalance quantity calculation shall be adapted accordingly where:</w:t>
            </w:r>
          </w:p>
          <w:p w:rsidR="0066475F" w:rsidRPr="00E84D74" w:rsidRDefault="0066475F" w:rsidP="00DA725A">
            <w:pPr>
              <w:autoSpaceDE w:val="0"/>
              <w:autoSpaceDN w:val="0"/>
              <w:adjustRightInd w:val="0"/>
              <w:rPr>
                <w:sz w:val="18"/>
                <w:szCs w:val="18"/>
              </w:rPr>
            </w:pPr>
            <w:r w:rsidRPr="00E84D74">
              <w:rPr>
                <w:sz w:val="18"/>
                <w:szCs w:val="18"/>
              </w:rPr>
              <w:t>(a) a linepack flexibility service is offered; and/or</w:t>
            </w:r>
          </w:p>
          <w:p w:rsidR="0066475F" w:rsidRPr="00E84D74" w:rsidRDefault="0066475F" w:rsidP="00DA725A">
            <w:pPr>
              <w:autoSpaceDE w:val="0"/>
              <w:autoSpaceDN w:val="0"/>
              <w:adjustRightInd w:val="0"/>
              <w:rPr>
                <w:sz w:val="18"/>
                <w:szCs w:val="18"/>
              </w:rPr>
            </w:pPr>
            <w:r w:rsidRPr="00E84D74">
              <w:rPr>
                <w:sz w:val="18"/>
                <w:szCs w:val="18"/>
              </w:rPr>
              <w:t>(b) any arrangement is in place whereby network users provide gas, including gas in kind, to cover:</w:t>
            </w:r>
          </w:p>
          <w:p w:rsidR="0066475F" w:rsidRPr="00E84D74" w:rsidRDefault="0066475F" w:rsidP="00DA725A">
            <w:pPr>
              <w:autoSpaceDE w:val="0"/>
              <w:autoSpaceDN w:val="0"/>
              <w:adjustRightInd w:val="0"/>
              <w:rPr>
                <w:sz w:val="18"/>
                <w:szCs w:val="18"/>
              </w:rPr>
            </w:pPr>
            <w:r w:rsidRPr="00E84D74">
              <w:rPr>
                <w:sz w:val="18"/>
                <w:szCs w:val="18"/>
              </w:rPr>
              <w:t>(i) gas unaccounted for as off taken from the system, such as losses, metering errors; and/or</w:t>
            </w:r>
          </w:p>
          <w:p w:rsidR="0066475F" w:rsidRDefault="0066475F" w:rsidP="00DA725A">
            <w:pPr>
              <w:autoSpaceDE w:val="0"/>
              <w:autoSpaceDN w:val="0"/>
              <w:adjustRightInd w:val="0"/>
              <w:rPr>
                <w:sz w:val="18"/>
                <w:szCs w:val="18"/>
              </w:rPr>
            </w:pPr>
            <w:r w:rsidRPr="00E84D74">
              <w:rPr>
                <w:sz w:val="18"/>
                <w:szCs w:val="18"/>
              </w:rPr>
              <w:t xml:space="preserve">(ii) gas used by the transmission system operator for the operation of the system, such as fuel gas </w:t>
            </w:r>
          </w:p>
          <w:p w:rsidR="000A2FDC" w:rsidRPr="00E84D74" w:rsidRDefault="000A2FDC" w:rsidP="00DA725A">
            <w:pPr>
              <w:autoSpaceDE w:val="0"/>
              <w:autoSpaceDN w:val="0"/>
              <w:adjustRightInd w:val="0"/>
              <w:rPr>
                <w:sz w:val="18"/>
                <w:szCs w:val="18"/>
              </w:rPr>
            </w:pPr>
          </w:p>
          <w:p w:rsidR="0066475F" w:rsidRPr="00E84D74" w:rsidRDefault="0066475F" w:rsidP="00DA725A">
            <w:pPr>
              <w:autoSpaceDE w:val="0"/>
              <w:autoSpaceDN w:val="0"/>
              <w:adjustRightInd w:val="0"/>
              <w:rPr>
                <w:sz w:val="18"/>
                <w:szCs w:val="18"/>
              </w:rPr>
            </w:pPr>
            <w:r w:rsidRPr="00E84D74">
              <w:rPr>
                <w:sz w:val="18"/>
                <w:szCs w:val="18"/>
              </w:rPr>
              <w:t>3. Where the sum of a network user’s inputs for the gas day is equal to the sum of its off-takes for</w:t>
            </w:r>
            <w:r w:rsidR="00E40628" w:rsidRPr="00E84D74">
              <w:rPr>
                <w:sz w:val="18"/>
                <w:szCs w:val="18"/>
              </w:rPr>
              <w:t xml:space="preserve"> </w:t>
            </w:r>
            <w:r w:rsidRPr="00E84D74">
              <w:rPr>
                <w:sz w:val="18"/>
                <w:szCs w:val="18"/>
              </w:rPr>
              <w:t>this gas day, a network user is deemed balanced for this gas day.</w:t>
            </w:r>
          </w:p>
          <w:p w:rsidR="005E3238" w:rsidRDefault="005E3238" w:rsidP="00DA725A">
            <w:pPr>
              <w:autoSpaceDE w:val="0"/>
              <w:autoSpaceDN w:val="0"/>
              <w:adjustRightInd w:val="0"/>
              <w:rPr>
                <w:sz w:val="18"/>
                <w:szCs w:val="18"/>
              </w:rPr>
            </w:pPr>
          </w:p>
          <w:p w:rsidR="000A2FDC" w:rsidRDefault="000A2FDC" w:rsidP="00DA725A">
            <w:pPr>
              <w:autoSpaceDE w:val="0"/>
              <w:autoSpaceDN w:val="0"/>
              <w:adjustRightInd w:val="0"/>
              <w:rPr>
                <w:sz w:val="18"/>
                <w:szCs w:val="18"/>
              </w:rPr>
            </w:pPr>
          </w:p>
          <w:p w:rsidR="000A2FDC" w:rsidRDefault="000A2FDC" w:rsidP="00DA725A">
            <w:pPr>
              <w:autoSpaceDE w:val="0"/>
              <w:autoSpaceDN w:val="0"/>
              <w:adjustRightInd w:val="0"/>
              <w:rPr>
                <w:sz w:val="18"/>
                <w:szCs w:val="18"/>
              </w:rPr>
            </w:pPr>
          </w:p>
          <w:p w:rsidR="000A2FDC" w:rsidRPr="00E84D74" w:rsidRDefault="000A2FDC" w:rsidP="00DA725A">
            <w:pPr>
              <w:autoSpaceDE w:val="0"/>
              <w:autoSpaceDN w:val="0"/>
              <w:adjustRightInd w:val="0"/>
              <w:rPr>
                <w:sz w:val="18"/>
                <w:szCs w:val="18"/>
              </w:rPr>
            </w:pPr>
          </w:p>
          <w:p w:rsidR="0066475F" w:rsidRPr="00E84D74" w:rsidRDefault="0066475F" w:rsidP="00DA725A">
            <w:pPr>
              <w:autoSpaceDE w:val="0"/>
              <w:autoSpaceDN w:val="0"/>
              <w:adjustRightInd w:val="0"/>
              <w:rPr>
                <w:sz w:val="18"/>
                <w:szCs w:val="18"/>
              </w:rPr>
            </w:pPr>
            <w:r w:rsidRPr="00E84D74">
              <w:rPr>
                <w:sz w:val="18"/>
                <w:szCs w:val="18"/>
              </w:rPr>
              <w:t>4. Where the sum of a network user’s inputs for the gas day is not equal to the sum of its off-takes</w:t>
            </w:r>
          </w:p>
          <w:p w:rsidR="0066475F" w:rsidRPr="00E84D74" w:rsidRDefault="0066475F" w:rsidP="00DA725A">
            <w:pPr>
              <w:autoSpaceDE w:val="0"/>
              <w:autoSpaceDN w:val="0"/>
              <w:adjustRightInd w:val="0"/>
              <w:rPr>
                <w:sz w:val="18"/>
                <w:szCs w:val="18"/>
              </w:rPr>
            </w:pPr>
            <w:r w:rsidRPr="00E84D74">
              <w:rPr>
                <w:sz w:val="18"/>
                <w:szCs w:val="18"/>
              </w:rPr>
              <w:t>for this gas day, a network user is deemed imbalanced for this gas day and daily imbalance charges shall be applied in accordance with Article 23.</w:t>
            </w:r>
          </w:p>
          <w:p w:rsidR="005E3238" w:rsidRDefault="005E3238" w:rsidP="00DA725A">
            <w:pPr>
              <w:autoSpaceDE w:val="0"/>
              <w:autoSpaceDN w:val="0"/>
              <w:adjustRightInd w:val="0"/>
              <w:rPr>
                <w:sz w:val="18"/>
                <w:szCs w:val="18"/>
              </w:rPr>
            </w:pPr>
          </w:p>
          <w:p w:rsidR="000A2FDC" w:rsidRDefault="000A2FDC" w:rsidP="00DA725A">
            <w:pPr>
              <w:autoSpaceDE w:val="0"/>
              <w:autoSpaceDN w:val="0"/>
              <w:adjustRightInd w:val="0"/>
              <w:rPr>
                <w:sz w:val="18"/>
                <w:szCs w:val="18"/>
              </w:rPr>
            </w:pPr>
          </w:p>
          <w:p w:rsidR="000A2FDC" w:rsidRPr="00E84D74" w:rsidRDefault="000A2FDC" w:rsidP="00DA725A">
            <w:pPr>
              <w:autoSpaceDE w:val="0"/>
              <w:autoSpaceDN w:val="0"/>
              <w:adjustRightInd w:val="0"/>
              <w:rPr>
                <w:sz w:val="18"/>
                <w:szCs w:val="18"/>
              </w:rPr>
            </w:pPr>
          </w:p>
          <w:p w:rsidR="0066475F" w:rsidRPr="00E84D74" w:rsidRDefault="0066475F" w:rsidP="00DA725A">
            <w:pPr>
              <w:autoSpaceDE w:val="0"/>
              <w:autoSpaceDN w:val="0"/>
              <w:adjustRightInd w:val="0"/>
              <w:rPr>
                <w:sz w:val="18"/>
                <w:szCs w:val="18"/>
              </w:rPr>
            </w:pPr>
            <w:r w:rsidRPr="00E84D74">
              <w:rPr>
                <w:sz w:val="18"/>
                <w:szCs w:val="18"/>
              </w:rPr>
              <w:t>5. The transmission system operator shall provide a network user with its initial and its final daily imbalance quantities in accordance with Article 37.</w:t>
            </w:r>
          </w:p>
          <w:p w:rsidR="0066475F" w:rsidRPr="00E84D74" w:rsidRDefault="0066475F" w:rsidP="00DA725A">
            <w:pPr>
              <w:autoSpaceDE w:val="0"/>
              <w:autoSpaceDN w:val="0"/>
              <w:adjustRightInd w:val="0"/>
              <w:rPr>
                <w:b/>
                <w:sz w:val="18"/>
                <w:szCs w:val="18"/>
              </w:rPr>
            </w:pPr>
            <w:r w:rsidRPr="00E84D74">
              <w:rPr>
                <w:sz w:val="18"/>
                <w:szCs w:val="18"/>
              </w:rPr>
              <w:t>6. The daily imbalance charge shall be based on the final daily imbalance quantity.</w:t>
            </w:r>
          </w:p>
          <w:p w:rsidR="0066475F" w:rsidRPr="00E84D74" w:rsidRDefault="0066475F" w:rsidP="00DA725A">
            <w:pPr>
              <w:autoSpaceDE w:val="0"/>
              <w:autoSpaceDN w:val="0"/>
              <w:adjustRightInd w:val="0"/>
              <w:jc w:val="center"/>
              <w:rPr>
                <w:b/>
                <w:sz w:val="18"/>
                <w:szCs w:val="18"/>
              </w:rPr>
            </w:pPr>
          </w:p>
          <w:p w:rsidR="006D13A8" w:rsidRPr="00E84D74" w:rsidRDefault="006D13A8" w:rsidP="00DA725A">
            <w:pPr>
              <w:autoSpaceDE w:val="0"/>
              <w:autoSpaceDN w:val="0"/>
              <w:adjustRightInd w:val="0"/>
              <w:rPr>
                <w:b/>
                <w:bCs/>
                <w:i/>
                <w:iCs/>
                <w:sz w:val="18"/>
                <w:szCs w:val="18"/>
              </w:rPr>
            </w:pPr>
          </w:p>
        </w:tc>
      </w:tr>
      <w:tr w:rsidR="00D249AF" w:rsidRPr="00043955" w:rsidTr="00FC3840">
        <w:trPr>
          <w:trHeight w:val="1240"/>
        </w:trPr>
        <w:tc>
          <w:tcPr>
            <w:tcW w:w="5245" w:type="dxa"/>
            <w:shd w:val="clear" w:color="auto" w:fill="auto"/>
          </w:tcPr>
          <w:p w:rsidR="00D249AF" w:rsidRPr="00981BD4" w:rsidRDefault="00D249AF"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22</w:t>
            </w:r>
          </w:p>
          <w:p w:rsidR="00D249AF" w:rsidRPr="00981BD4" w:rsidRDefault="00D249AF" w:rsidP="00DA725A">
            <w:pPr>
              <w:jc w:val="center"/>
              <w:textAlignment w:val="baseline"/>
              <w:rPr>
                <w:rFonts w:ascii="Segoe UI" w:hAnsi="Segoe UI" w:cs="Segoe UI"/>
                <w:sz w:val="18"/>
                <w:szCs w:val="18"/>
                <w:lang w:val="it-IT" w:eastAsia="en-US"/>
              </w:rPr>
            </w:pPr>
            <w:r w:rsidRPr="00981BD4">
              <w:rPr>
                <w:b/>
                <w:bCs/>
                <w:sz w:val="18"/>
                <w:szCs w:val="18"/>
                <w:lang w:val="it-IT" w:eastAsia="en-US"/>
              </w:rPr>
              <w:t>Prețul aplicabil</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(1)   În vederea calculării tarifului de dezechilibru zilnic prevăzut la articolul 23, prețul aplicabil se determină după cum urmează: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prețul de vânzare marginal, atunci când cantitatea de dezechilibru zilnic este pozitivă (intrările utilizatorului rețelei pentru ziua gazieră respectivă depășesc ieșirile sale pentru aceeași zi); sau </w:t>
            </w:r>
          </w:p>
          <w:p w:rsidR="00D249AF" w:rsidRDefault="00D249AF"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prețul de cumpărare marginal, atunci când cantitatea de dezechilibru zilnic este negativă (ieșirile utilizatorului rețelei pentru ziua gazieră respectivă depășesc intrările sale pentru aceeași zi). </w:t>
            </w:r>
          </w:p>
          <w:p w:rsidR="0055152A" w:rsidRDefault="0055152A" w:rsidP="00DA725A">
            <w:pPr>
              <w:jc w:val="both"/>
              <w:textAlignment w:val="baseline"/>
              <w:rPr>
                <w:sz w:val="18"/>
                <w:szCs w:val="18"/>
                <w:lang w:val="it-IT" w:eastAsia="en-US"/>
              </w:rPr>
            </w:pPr>
          </w:p>
          <w:p w:rsidR="0055152A" w:rsidRDefault="0055152A" w:rsidP="00DA725A">
            <w:pPr>
              <w:jc w:val="both"/>
              <w:textAlignment w:val="baseline"/>
              <w:rPr>
                <w:sz w:val="18"/>
                <w:szCs w:val="18"/>
                <w:lang w:val="it-IT" w:eastAsia="en-US"/>
              </w:rPr>
            </w:pP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(2)   Prețul de vânzare marginal și prețul de cumpărare marginal se calculează pentru fiecare zi gazieră astfel: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un preț de vânzare marginal este cea mai mică valoare dintre: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(i)</w:t>
            </w:r>
            <w:r w:rsidRPr="00981BD4">
              <w:rPr>
                <w:rFonts w:ascii="Calibri" w:hAnsi="Calibri" w:cs="Calibri"/>
                <w:sz w:val="18"/>
                <w:szCs w:val="18"/>
                <w:lang w:val="it-IT" w:eastAsia="en-US"/>
              </w:rPr>
              <w:t xml:space="preserve"> </w:t>
            </w:r>
            <w:r w:rsidRPr="00981BD4">
              <w:rPr>
                <w:sz w:val="18"/>
                <w:szCs w:val="18"/>
                <w:lang w:val="it-IT" w:eastAsia="en-US"/>
              </w:rPr>
              <w:t>cel mai mic preț al tuturor vânzărilor de produse titlu în care este implicat operatorul de sistem de transport în ziua gazieră respectivă; sau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prețul mediu ponderat al gazului în ziua gazieră respectivă, minus o ajustare minoră;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un preț de cumpărare marginal este cea mai mare valoare dintre: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cel mai mare preț al tuturor achizițiilor de produse titlu în care este implicat operatorul de sistem de transport în ziua gazieră respectivă; sau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prețul mediu ponderat al gazului în ziua gazieră respectivă, plus o ajustare minoră. </w:t>
            </w:r>
          </w:p>
          <w:p w:rsidR="0055152A" w:rsidRDefault="00D249AF" w:rsidP="00DA725A">
            <w:pPr>
              <w:jc w:val="both"/>
              <w:textAlignment w:val="baseline"/>
              <w:rPr>
                <w:sz w:val="18"/>
                <w:szCs w:val="18"/>
                <w:lang w:val="it-IT" w:eastAsia="en-US"/>
              </w:rPr>
            </w:pPr>
            <w:r w:rsidRPr="00981BD4">
              <w:rPr>
                <w:sz w:val="18"/>
                <w:szCs w:val="18"/>
                <w:lang w:val="it-IT" w:eastAsia="en-US"/>
              </w:rPr>
              <w:t>(3)   În scopul determinării prețului de vânzare marginal, a prețului de cumpărare marginal și a prețului mediu ponderat, tranzacțiile aferente se realizează pe platforme de tranzacționare care sunt identificate în prealabil de către operatorul de sistem de transport și aprobate de autoritatea națională de reglementare. Prețul mediu ponderat este prețul mediu ponderat al energiei aferent tranzacțiilor cu produse titlu efectuate în punctul de tranzacționare virtual cu privire la o zi gazieră;</w:t>
            </w:r>
          </w:p>
          <w:p w:rsidR="0055152A" w:rsidRDefault="0055152A" w:rsidP="00DA725A">
            <w:pPr>
              <w:jc w:val="both"/>
              <w:textAlignment w:val="baseline"/>
              <w:rPr>
                <w:sz w:val="18"/>
                <w:szCs w:val="18"/>
                <w:lang w:val="it-IT" w:eastAsia="en-US"/>
              </w:rPr>
            </w:pPr>
          </w:p>
          <w:p w:rsidR="0055152A" w:rsidRDefault="0055152A" w:rsidP="00DA725A">
            <w:pPr>
              <w:jc w:val="both"/>
              <w:textAlignment w:val="baseline"/>
              <w:rPr>
                <w:sz w:val="18"/>
                <w:szCs w:val="18"/>
                <w:lang w:val="it-IT" w:eastAsia="en-US"/>
              </w:rPr>
            </w:pPr>
          </w:p>
          <w:p w:rsidR="0055152A" w:rsidRDefault="0055152A" w:rsidP="00DA725A">
            <w:pPr>
              <w:jc w:val="both"/>
              <w:textAlignment w:val="baseline"/>
              <w:rPr>
                <w:sz w:val="18"/>
                <w:szCs w:val="18"/>
                <w:lang w:val="it-IT" w:eastAsia="en-US"/>
              </w:rPr>
            </w:pP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D249AF" w:rsidRDefault="00D249AF" w:rsidP="00DA725A">
            <w:pPr>
              <w:jc w:val="both"/>
              <w:textAlignment w:val="baseline"/>
              <w:rPr>
                <w:color w:val="000000"/>
                <w:sz w:val="18"/>
                <w:szCs w:val="18"/>
                <w:lang w:val="it-IT" w:eastAsia="en-US"/>
              </w:rPr>
            </w:pPr>
            <w:r w:rsidRPr="00981BD4">
              <w:rPr>
                <w:color w:val="1F497D"/>
                <w:sz w:val="18"/>
                <w:szCs w:val="18"/>
                <w:lang w:val="it-IT" w:eastAsia="en-US"/>
              </w:rPr>
              <w:t>(</w:t>
            </w:r>
            <w:r w:rsidRPr="00981BD4">
              <w:rPr>
                <w:color w:val="000000"/>
                <w:sz w:val="18"/>
                <w:szCs w:val="18"/>
                <w:lang w:val="it-IT" w:eastAsia="en-US"/>
              </w:rPr>
              <w:t>4)   În cazul în care dispozițiile de la alineatul (2) literele (a) și (b) nu permit calcularea unui preț de vânzare marginal și/sau a unui preț de cumpărare marginal, se stabilește o normă standard. </w:t>
            </w:r>
          </w:p>
          <w:p w:rsidR="0055152A" w:rsidRDefault="0055152A" w:rsidP="00DA725A">
            <w:pPr>
              <w:jc w:val="both"/>
              <w:textAlignment w:val="baseline"/>
              <w:rPr>
                <w:color w:val="000000"/>
                <w:sz w:val="18"/>
                <w:szCs w:val="18"/>
                <w:lang w:val="it-IT" w:eastAsia="en-US"/>
              </w:rPr>
            </w:pPr>
          </w:p>
          <w:p w:rsidR="0055152A" w:rsidRDefault="0055152A" w:rsidP="00DA725A">
            <w:pPr>
              <w:jc w:val="both"/>
              <w:textAlignment w:val="baseline"/>
              <w:rPr>
                <w:color w:val="000000"/>
                <w:sz w:val="18"/>
                <w:szCs w:val="18"/>
                <w:lang w:val="it-IT" w:eastAsia="en-US"/>
              </w:rPr>
            </w:pPr>
          </w:p>
          <w:p w:rsidR="0055152A" w:rsidRPr="00981BD4" w:rsidRDefault="0055152A" w:rsidP="00DA725A">
            <w:pPr>
              <w:jc w:val="both"/>
              <w:textAlignment w:val="baseline"/>
              <w:rPr>
                <w:rFonts w:ascii="Segoe UI" w:hAnsi="Segoe UI" w:cs="Segoe UI"/>
                <w:sz w:val="18"/>
                <w:szCs w:val="18"/>
                <w:lang w:val="it-IT" w:eastAsia="en-US"/>
              </w:rPr>
            </w:pP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(5)   Sub rezerva aprobării de către autoritatea națională de reglementare, prețul produselor localizate poate fi luat în considerare în scopul determinării prețului de vânzare marginal, a prețului de cumpărare marginal și a prețului mediu ponderat, atunci când operatorul de sistem de transport propune acest lucru, ținându-se seama în mod corespunzător de măsura în care operatorul de sistem de transport utilizează produse localizate.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(6)   Ajustarea minoră: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stimulează utilizatorii rețelei în vederea echilibrării intrărilor și ieșirilor lor;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este elaborată și aplicată în mod nediscriminatoriu pentru: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a nu descuraja intrarea pe piață;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a nu împiedica dezvoltarea de piețe concurențiale;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nu are un impact negativ asupra comerțului transfrontalier;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nu conduce la o expunere financiară excesivă a utilizatorilor rețelei la tarife de dezechilibru zilnic. </w:t>
            </w:r>
          </w:p>
          <w:p w:rsidR="00D249AF" w:rsidRPr="00981BD4" w:rsidRDefault="00D249AF" w:rsidP="00814BEA">
            <w:pPr>
              <w:textAlignment w:val="baseline"/>
              <w:rPr>
                <w:sz w:val="18"/>
                <w:szCs w:val="18"/>
                <w:lang w:val="it-IT" w:eastAsia="en-US"/>
              </w:rPr>
            </w:pPr>
            <w:r w:rsidRPr="00981BD4">
              <w:rPr>
                <w:sz w:val="18"/>
                <w:szCs w:val="18"/>
                <w:lang w:val="it-IT" w:eastAsia="en-US"/>
              </w:rPr>
              <w:lastRenderedPageBreak/>
              <w:t>(7)   Valoarea ajustării minore poate fi diferită în momentul determinării prețului de cumpărare marginal și a prețului de vânzare marginal. Valoarea ajustării minore nu trebuie să depășească zece procente din prețul mediu ponderat, cu excepția cazului în care operatorul de sistem de transport în cauză poate prezenta autorității naționale de reglementare o deviere de la această regulă și pentru care poate obține o aprobare din partea acesteia în conformitate cu articolul 20. </w:t>
            </w:r>
          </w:p>
        </w:tc>
        <w:tc>
          <w:tcPr>
            <w:tcW w:w="4962" w:type="dxa"/>
            <w:shd w:val="clear" w:color="auto" w:fill="auto"/>
          </w:tcPr>
          <w:p w:rsidR="00F51B84" w:rsidRPr="00F51B84" w:rsidRDefault="00F51B84" w:rsidP="00F51B84">
            <w:pPr>
              <w:jc w:val="center"/>
              <w:textAlignment w:val="baseline"/>
              <w:rPr>
                <w:b/>
                <w:bCs/>
                <w:sz w:val="18"/>
                <w:szCs w:val="18"/>
                <w:lang w:val="ro-RO" w:eastAsia="en-US"/>
              </w:rPr>
            </w:pPr>
            <w:r w:rsidRPr="00F51B84">
              <w:rPr>
                <w:b/>
                <w:bCs/>
                <w:sz w:val="18"/>
                <w:szCs w:val="18"/>
                <w:lang w:val="ro-RO" w:eastAsia="en-US"/>
              </w:rPr>
              <w:lastRenderedPageBreak/>
              <w:t>Secţiunea 4</w:t>
            </w:r>
          </w:p>
          <w:p w:rsidR="00F51B84" w:rsidRPr="00F51B84" w:rsidRDefault="00F51B84" w:rsidP="00F51B84">
            <w:pPr>
              <w:jc w:val="center"/>
              <w:textAlignment w:val="baseline"/>
              <w:rPr>
                <w:b/>
                <w:bCs/>
                <w:sz w:val="18"/>
                <w:szCs w:val="18"/>
                <w:lang w:val="ro-RO" w:eastAsia="en-US"/>
              </w:rPr>
            </w:pPr>
            <w:r w:rsidRPr="00F51B84">
              <w:rPr>
                <w:b/>
                <w:bCs/>
                <w:sz w:val="18"/>
                <w:szCs w:val="18"/>
                <w:lang w:val="ro-RO" w:eastAsia="en-US"/>
              </w:rPr>
              <w:t>Preţul aplicabil</w:t>
            </w: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518.</w:t>
            </w:r>
            <w:r w:rsidRPr="00F51B84">
              <w:rPr>
                <w:bCs/>
                <w:sz w:val="18"/>
                <w:szCs w:val="18"/>
                <w:lang w:val="ro-RO" w:eastAsia="en-US"/>
              </w:rPr>
              <w:t xml:space="preserve"> În vederea calculării plăţii pentru dezechilibru zilnic prevăzut în pct.518 – 519, preţul aplicabil se determină după cum urmează: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1) preţul marginal de vânzare, atunci când cantitatea de dezechilibru zilnic este pozitivă (intrările utilizatorului de sistem pentru ziua gazieră respectivă depăşesc ieşirile sale pentru aceeaşi zi); sau</w:t>
            </w:r>
          </w:p>
          <w:p w:rsidR="00F51B84" w:rsidRDefault="00F51B84" w:rsidP="0055152A">
            <w:pPr>
              <w:jc w:val="both"/>
              <w:textAlignment w:val="baseline"/>
              <w:rPr>
                <w:bCs/>
                <w:sz w:val="18"/>
                <w:szCs w:val="18"/>
                <w:lang w:val="ro-RO" w:eastAsia="en-US"/>
              </w:rPr>
            </w:pPr>
            <w:r w:rsidRPr="00F51B84">
              <w:rPr>
                <w:bCs/>
                <w:sz w:val="18"/>
                <w:szCs w:val="18"/>
                <w:lang w:val="ro-RO" w:eastAsia="en-US"/>
              </w:rPr>
              <w:t>2) preţul marginal de cumpărare, atunci când cantitatea de dezechilibru zilnic este negativă (ieşirile utilizatorului de sistem pentru ziua gazieră respectivă depăşesc intrările sale pentru aceeaşi zi).</w:t>
            </w: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519.</w:t>
            </w:r>
            <w:r w:rsidRPr="00F51B84">
              <w:rPr>
                <w:bCs/>
                <w:sz w:val="18"/>
                <w:szCs w:val="18"/>
                <w:lang w:val="ro-RO" w:eastAsia="en-US"/>
              </w:rPr>
              <w:t xml:space="preserve"> Preţul marginal de vânzare şi preţul marginal de cumpărare se calculează pentru fiecare zi gazieră astfel:</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1) preţul marginal de vânzare este cea mai mică valoare dintre:</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lastRenderedPageBreak/>
              <w:t>a) cel mai mic preţ dintre toate vânzările de produse titlu la care a participat OST în ziua gazieră respectivă; sau</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b) preţul de referinţă pentru ziua gazieră în cauză minus o ajustare minoră.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2) un preţ marginal de cumpărare este cea mai mare valoare dintre cele 2 preţuri de mai jos:</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a) cel mai mare preţ dintre toate achiziţiilor de produse titlu la care a participat OST în ziua gazieră respectivă; sau</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b) preţul de referinţă în ziua gazieră respectivă la care se adaugă o ajustare minoră.</w:t>
            </w:r>
          </w:p>
          <w:p w:rsidR="00083BCC" w:rsidRDefault="00083BCC" w:rsidP="0055152A">
            <w:pPr>
              <w:jc w:val="both"/>
              <w:textAlignment w:val="baseline"/>
              <w:rPr>
                <w:b/>
                <w:bCs/>
                <w:sz w:val="18"/>
                <w:szCs w:val="18"/>
                <w:lang w:val="ro-RO" w:eastAsia="en-US"/>
              </w:rPr>
            </w:pPr>
          </w:p>
          <w:p w:rsidR="0055152A" w:rsidRDefault="0055152A" w:rsidP="0055152A">
            <w:pPr>
              <w:jc w:val="both"/>
              <w:textAlignment w:val="baseline"/>
              <w:rPr>
                <w:b/>
                <w:bCs/>
                <w:sz w:val="18"/>
                <w:szCs w:val="18"/>
                <w:lang w:val="ro-RO" w:eastAsia="en-US"/>
              </w:rPr>
            </w:pP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520.</w:t>
            </w:r>
            <w:r w:rsidRPr="00F51B84">
              <w:rPr>
                <w:bCs/>
                <w:sz w:val="18"/>
                <w:szCs w:val="18"/>
                <w:lang w:val="ro-RO" w:eastAsia="en-US"/>
              </w:rPr>
              <w:t xml:space="preserve"> În scopul determinării preţului marginal de vânzare, a preţului marginal de cumpărare şi a preţului de referinţă, tranzacţiile aferente se realizează pe platforme de tranzacţionare, care sunt identificate în prealabil de către OST şi aprobate de Agenţie. Preţul de referinţă este preţul mediu ponderat al gazelor naturale aferent tranzacţiilor cu gaze naturale cu produse titlu efectuate în punctul de tranzacţionare virtual cu privire la o zi gazieră.</w:t>
            </w:r>
          </w:p>
          <w:p w:rsidR="00F51B84" w:rsidRDefault="00F51B84" w:rsidP="0055152A">
            <w:pPr>
              <w:jc w:val="both"/>
              <w:textAlignment w:val="baseline"/>
              <w:rPr>
                <w:bCs/>
                <w:sz w:val="18"/>
                <w:szCs w:val="18"/>
                <w:lang w:val="ro-RO" w:eastAsia="en-US"/>
              </w:rPr>
            </w:pPr>
            <w:r w:rsidRPr="00F51B84">
              <w:rPr>
                <w:bCs/>
                <w:sz w:val="18"/>
                <w:szCs w:val="18"/>
                <w:lang w:val="ro-RO" w:eastAsia="en-US"/>
              </w:rPr>
              <w:t>În cazul în care dispoziţiile de la pct.519</w:t>
            </w:r>
            <w:r w:rsidRPr="00F51B84">
              <w:rPr>
                <w:bCs/>
                <w:sz w:val="18"/>
                <w:szCs w:val="18"/>
                <w:vertAlign w:val="superscript"/>
                <w:lang w:val="ro-RO" w:eastAsia="en-US"/>
              </w:rPr>
              <w:t xml:space="preserve"> </w:t>
            </w:r>
            <w:r w:rsidRPr="00F51B84">
              <w:rPr>
                <w:bCs/>
                <w:sz w:val="18"/>
                <w:szCs w:val="18"/>
                <w:lang w:val="ro-RO" w:eastAsia="en-US"/>
              </w:rPr>
              <w:t>subpunctele 1) şi 2) nu permit calcularea unui preţ marginal de vânzare şi/sau a unui preţ marginal de cumpărare, se stabileşte o normă standard.</w:t>
            </w:r>
          </w:p>
          <w:p w:rsidR="00777172" w:rsidRPr="00F51B84" w:rsidRDefault="00777172" w:rsidP="0055152A">
            <w:pPr>
              <w:jc w:val="both"/>
              <w:textAlignment w:val="baseline"/>
              <w:rPr>
                <w:bCs/>
                <w:sz w:val="18"/>
                <w:szCs w:val="18"/>
                <w:lang w:val="ro-RO" w:eastAsia="en-US"/>
              </w:rPr>
            </w:pP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521.</w:t>
            </w:r>
            <w:r w:rsidRPr="00F51B84">
              <w:rPr>
                <w:bCs/>
                <w:sz w:val="18"/>
                <w:szCs w:val="18"/>
                <w:lang w:val="ro-RO" w:eastAsia="en-US"/>
              </w:rPr>
              <w:t xml:space="preserve"> Sub rezerva aprobării de către Agenţie, preţul produselor localizate poate fi luat în considerare în scopul determinării preţului marginal de vânzare, a preţului marginal de cumpărare şi a preţului de referinţă, atunci când OST propune acest lucru, ţinându-se cont în mod corespunzător de măsura în care OST utilizează produse de localizare.</w:t>
            </w: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522.</w:t>
            </w:r>
            <w:r w:rsidRPr="00F51B84">
              <w:rPr>
                <w:bCs/>
                <w:sz w:val="18"/>
                <w:szCs w:val="18"/>
                <w:lang w:val="ro-RO" w:eastAsia="en-US"/>
              </w:rPr>
              <w:t xml:space="preserve"> Ajustarea minoră: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1) stimulează utilizatorii de sistem în vederea echilibrării intrărilor şi ieşirilor lor;</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2) este elaborată şi aplicată în mod nediscriminatoriu pentru:</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a) a nu descuraja intrarea pe piaţă;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b) a nu împiedica dezvoltarea de pieţe concurenţiale;</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3) nu are un impact negativ asupra comerţului transfrontalier;</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4) nu conduce la o expunere financiară excesivă a utilizatorilor de sistem la preţuri de dezechilibru zilnic.</w:t>
            </w:r>
          </w:p>
          <w:p w:rsidR="00C971D4" w:rsidRPr="00C971D4" w:rsidRDefault="00F51B84" w:rsidP="0055152A">
            <w:pPr>
              <w:jc w:val="both"/>
              <w:textAlignment w:val="baseline"/>
              <w:rPr>
                <w:bCs/>
                <w:sz w:val="18"/>
                <w:szCs w:val="18"/>
                <w:lang w:val="ro-RO" w:eastAsia="en-US"/>
              </w:rPr>
            </w:pPr>
            <w:r w:rsidRPr="00F51B84">
              <w:rPr>
                <w:b/>
                <w:bCs/>
                <w:sz w:val="18"/>
                <w:szCs w:val="18"/>
                <w:lang w:val="ro-RO" w:eastAsia="en-US"/>
              </w:rPr>
              <w:t>523.</w:t>
            </w:r>
            <w:r w:rsidRPr="00F51B84">
              <w:rPr>
                <w:bCs/>
                <w:sz w:val="18"/>
                <w:szCs w:val="18"/>
                <w:lang w:val="ro-RO" w:eastAsia="en-US"/>
              </w:rPr>
              <w:t xml:space="preserve"> Valoarea ajustării minore poate varia în funcţie de preţul marginal de cumpărare şi a preţului marginal de vânzare. Valoarea ajustării minore nu trebuie să depăşească 10% din preţul de referinţă, cu excepţia cazului în care OST în cauză poate prezenta Agenţiei o deviere de la această regulă şi pentru care poate obţine o aprobare din partea acesteia în conformitate cu Secţiunea 2 din prezentul Capitol.</w:t>
            </w:r>
          </w:p>
          <w:p w:rsidR="00D249AF" w:rsidRPr="00C971D4" w:rsidRDefault="00D249AF" w:rsidP="00DA725A">
            <w:pPr>
              <w:textAlignment w:val="baseline"/>
              <w:rPr>
                <w:b/>
                <w:bCs/>
                <w:sz w:val="18"/>
                <w:szCs w:val="18"/>
                <w:lang w:val="ro-RO" w:eastAsia="en-US"/>
              </w:rPr>
            </w:pPr>
          </w:p>
        </w:tc>
        <w:tc>
          <w:tcPr>
            <w:tcW w:w="1275" w:type="dxa"/>
            <w:shd w:val="clear" w:color="auto" w:fill="auto"/>
          </w:tcPr>
          <w:p w:rsidR="00D249AF" w:rsidRPr="00380C00" w:rsidRDefault="00D249AF" w:rsidP="00DA725A">
            <w:pPr>
              <w:jc w:val="both"/>
              <w:rPr>
                <w:b/>
                <w:sz w:val="18"/>
                <w:szCs w:val="18"/>
                <w:lang w:val="ro-RO"/>
              </w:rPr>
            </w:pPr>
          </w:p>
          <w:p w:rsidR="004B018E" w:rsidRPr="00380C00" w:rsidRDefault="004B018E" w:rsidP="00DA725A">
            <w:pPr>
              <w:jc w:val="both"/>
              <w:rPr>
                <w:b/>
                <w:sz w:val="18"/>
                <w:szCs w:val="18"/>
                <w:lang w:val="ro-RO"/>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Default="004B018E" w:rsidP="00DA725A">
            <w:pPr>
              <w:jc w:val="both"/>
              <w:rPr>
                <w:sz w:val="18"/>
                <w:szCs w:val="18"/>
                <w:lang w:val="it-IT"/>
              </w:rPr>
            </w:pPr>
          </w:p>
          <w:p w:rsidR="0055152A" w:rsidRDefault="0055152A" w:rsidP="00DA725A">
            <w:pPr>
              <w:jc w:val="both"/>
              <w:rPr>
                <w:sz w:val="18"/>
                <w:szCs w:val="18"/>
                <w:lang w:val="it-IT"/>
              </w:rPr>
            </w:pPr>
          </w:p>
          <w:p w:rsidR="0055152A" w:rsidRDefault="0055152A"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Default="004B018E" w:rsidP="00DA725A">
            <w:pPr>
              <w:jc w:val="both"/>
              <w:rPr>
                <w:sz w:val="18"/>
                <w:szCs w:val="18"/>
                <w:lang w:val="it-IT"/>
              </w:rPr>
            </w:pPr>
          </w:p>
          <w:p w:rsidR="00950DE6" w:rsidRDefault="00950DE6" w:rsidP="00DA725A">
            <w:pPr>
              <w:jc w:val="both"/>
              <w:rPr>
                <w:sz w:val="18"/>
                <w:szCs w:val="18"/>
                <w:lang w:val="it-IT"/>
              </w:rPr>
            </w:pPr>
          </w:p>
          <w:p w:rsidR="00950DE6" w:rsidRPr="00981BD4" w:rsidRDefault="00950DE6"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Default="004B018E" w:rsidP="00DA725A">
            <w:pPr>
              <w:jc w:val="both"/>
              <w:rPr>
                <w:sz w:val="18"/>
                <w:szCs w:val="18"/>
                <w:lang w:val="it-IT"/>
              </w:rPr>
            </w:pPr>
          </w:p>
          <w:p w:rsidR="0055152A" w:rsidRPr="00981BD4" w:rsidRDefault="0055152A"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7A512E" w:rsidRDefault="007A512E" w:rsidP="00DA725A">
            <w:pPr>
              <w:jc w:val="both"/>
              <w:rPr>
                <w:sz w:val="18"/>
                <w:szCs w:val="18"/>
                <w:lang w:val="it-IT"/>
              </w:rPr>
            </w:pPr>
          </w:p>
          <w:p w:rsidR="0055152A" w:rsidRDefault="0055152A" w:rsidP="00DA725A">
            <w:pPr>
              <w:jc w:val="both"/>
              <w:rPr>
                <w:sz w:val="18"/>
                <w:szCs w:val="18"/>
                <w:lang w:val="it-IT"/>
              </w:rPr>
            </w:pPr>
          </w:p>
          <w:p w:rsidR="0055152A" w:rsidRDefault="0055152A" w:rsidP="00DA725A">
            <w:pPr>
              <w:jc w:val="both"/>
              <w:rPr>
                <w:sz w:val="18"/>
                <w:szCs w:val="18"/>
                <w:lang w:val="it-IT"/>
              </w:rPr>
            </w:pPr>
          </w:p>
          <w:p w:rsidR="0055152A" w:rsidRPr="00981BD4" w:rsidRDefault="0055152A" w:rsidP="00DA725A">
            <w:pPr>
              <w:jc w:val="both"/>
              <w:rPr>
                <w:sz w:val="18"/>
                <w:szCs w:val="18"/>
                <w:lang w:val="it-IT"/>
              </w:rPr>
            </w:pPr>
          </w:p>
          <w:p w:rsidR="007A512E" w:rsidRDefault="007A512E"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Default="004B018E"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4B018E" w:rsidRDefault="004B018E" w:rsidP="00DA725A">
            <w:pPr>
              <w:jc w:val="both"/>
              <w:rPr>
                <w:sz w:val="18"/>
                <w:szCs w:val="18"/>
                <w:lang w:val="it-IT"/>
              </w:rPr>
            </w:pPr>
          </w:p>
          <w:p w:rsidR="0055152A" w:rsidRPr="00981BD4" w:rsidRDefault="0055152A"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D82EE4" w:rsidRDefault="004B018E" w:rsidP="00DA725A">
            <w:pPr>
              <w:jc w:val="both"/>
              <w:rPr>
                <w:b/>
                <w:sz w:val="18"/>
                <w:szCs w:val="18"/>
                <w:lang w:val="it-IT"/>
              </w:rPr>
            </w:pPr>
          </w:p>
        </w:tc>
        <w:tc>
          <w:tcPr>
            <w:tcW w:w="4253" w:type="dxa"/>
            <w:shd w:val="clear" w:color="auto" w:fill="auto"/>
          </w:tcPr>
          <w:p w:rsidR="00D249AF" w:rsidRPr="00E84D74" w:rsidRDefault="00D249AF" w:rsidP="0055152A">
            <w:pPr>
              <w:autoSpaceDE w:val="0"/>
              <w:autoSpaceDN w:val="0"/>
              <w:adjustRightInd w:val="0"/>
              <w:jc w:val="both"/>
              <w:rPr>
                <w:b/>
                <w:sz w:val="18"/>
                <w:szCs w:val="18"/>
              </w:rPr>
            </w:pPr>
            <w:r w:rsidRPr="00E84D74">
              <w:rPr>
                <w:b/>
                <w:sz w:val="18"/>
                <w:szCs w:val="18"/>
              </w:rPr>
              <w:lastRenderedPageBreak/>
              <w:t>Article 22</w:t>
            </w:r>
          </w:p>
          <w:p w:rsidR="00D249AF" w:rsidRPr="00E84D74" w:rsidRDefault="00D249AF" w:rsidP="0055152A">
            <w:pPr>
              <w:autoSpaceDE w:val="0"/>
              <w:autoSpaceDN w:val="0"/>
              <w:adjustRightInd w:val="0"/>
              <w:jc w:val="both"/>
              <w:rPr>
                <w:b/>
                <w:sz w:val="18"/>
                <w:szCs w:val="18"/>
              </w:rPr>
            </w:pPr>
            <w:r w:rsidRPr="00E84D74">
              <w:rPr>
                <w:b/>
                <w:sz w:val="18"/>
                <w:szCs w:val="18"/>
              </w:rPr>
              <w:t>Applicable price</w:t>
            </w:r>
          </w:p>
          <w:p w:rsidR="00D249AF" w:rsidRPr="00E84D74" w:rsidRDefault="00D249AF" w:rsidP="0055152A">
            <w:pPr>
              <w:autoSpaceDE w:val="0"/>
              <w:autoSpaceDN w:val="0"/>
              <w:adjustRightInd w:val="0"/>
              <w:jc w:val="both"/>
              <w:rPr>
                <w:sz w:val="18"/>
                <w:szCs w:val="18"/>
              </w:rPr>
            </w:pPr>
            <w:r w:rsidRPr="00E84D74">
              <w:rPr>
                <w:sz w:val="18"/>
                <w:szCs w:val="18"/>
              </w:rPr>
              <w:t>1. For the purpose of daily imbalance charge calculation as provided in Article 23 the applicable price shall be determined as follows:</w:t>
            </w:r>
          </w:p>
          <w:p w:rsidR="00D249AF" w:rsidRDefault="00D249AF" w:rsidP="0055152A">
            <w:pPr>
              <w:autoSpaceDE w:val="0"/>
              <w:autoSpaceDN w:val="0"/>
              <w:adjustRightInd w:val="0"/>
              <w:jc w:val="both"/>
              <w:rPr>
                <w:sz w:val="18"/>
                <w:szCs w:val="18"/>
              </w:rPr>
            </w:pPr>
            <w:r w:rsidRPr="00E84D74">
              <w:rPr>
                <w:sz w:val="18"/>
                <w:szCs w:val="18"/>
              </w:rPr>
              <w:t>(a) marginal sell price where the daily imbalance quantity is positive (i.e. the network user’s inputs for that gas day exceed its off-takes for that gas day); or (b) marginal buy price where the daily imbalance quantity is negative (i.e. the network user’s off-takes for that gas day exceed its inputs for that gas day).</w:t>
            </w:r>
          </w:p>
          <w:p w:rsidR="0055152A" w:rsidRPr="00E84D74" w:rsidRDefault="0055152A"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2. A marginal sell price and a marginal buy price shall be calculated for each gas day pursuant to the following:</w:t>
            </w:r>
          </w:p>
          <w:p w:rsidR="00D249AF" w:rsidRPr="00E84D74" w:rsidRDefault="00D249AF" w:rsidP="0055152A">
            <w:pPr>
              <w:autoSpaceDE w:val="0"/>
              <w:autoSpaceDN w:val="0"/>
              <w:adjustRightInd w:val="0"/>
              <w:jc w:val="both"/>
              <w:rPr>
                <w:sz w:val="18"/>
                <w:szCs w:val="18"/>
              </w:rPr>
            </w:pPr>
            <w:r w:rsidRPr="00E84D74">
              <w:rPr>
                <w:sz w:val="18"/>
                <w:szCs w:val="18"/>
              </w:rPr>
              <w:t xml:space="preserve">(a) a marginal sell price is the lower of: </w:t>
            </w:r>
          </w:p>
          <w:p w:rsidR="00D249AF" w:rsidRPr="00E84D74" w:rsidRDefault="00D249AF" w:rsidP="0055152A">
            <w:pPr>
              <w:autoSpaceDE w:val="0"/>
              <w:autoSpaceDN w:val="0"/>
              <w:adjustRightInd w:val="0"/>
              <w:jc w:val="both"/>
              <w:rPr>
                <w:sz w:val="18"/>
                <w:szCs w:val="18"/>
              </w:rPr>
            </w:pPr>
            <w:r w:rsidRPr="00E84D74">
              <w:rPr>
                <w:sz w:val="18"/>
                <w:szCs w:val="18"/>
              </w:rPr>
              <w:lastRenderedPageBreak/>
              <w:t>(i) the lowest price of any sales of title products in which the transmission system operator is</w:t>
            </w:r>
            <w:r w:rsidR="008B395A" w:rsidRPr="00E84D74">
              <w:rPr>
                <w:sz w:val="18"/>
                <w:szCs w:val="18"/>
              </w:rPr>
              <w:t xml:space="preserve"> </w:t>
            </w:r>
            <w:r w:rsidRPr="00E84D74">
              <w:rPr>
                <w:sz w:val="18"/>
                <w:szCs w:val="18"/>
              </w:rPr>
              <w:t>involved in respect of the gas day; or (ii) the weighted average price of gas in respect of that gas day, minus a small adjustment.</w:t>
            </w:r>
          </w:p>
          <w:p w:rsidR="00D249AF" w:rsidRPr="00E84D74" w:rsidRDefault="00D249AF" w:rsidP="0055152A">
            <w:pPr>
              <w:autoSpaceDE w:val="0"/>
              <w:autoSpaceDN w:val="0"/>
              <w:adjustRightInd w:val="0"/>
              <w:jc w:val="both"/>
              <w:rPr>
                <w:sz w:val="18"/>
                <w:szCs w:val="18"/>
              </w:rPr>
            </w:pPr>
            <w:r w:rsidRPr="00E84D74">
              <w:rPr>
                <w:sz w:val="18"/>
                <w:szCs w:val="18"/>
              </w:rPr>
              <w:t xml:space="preserve">(b) a marginal buy price is the higher of: </w:t>
            </w:r>
          </w:p>
          <w:p w:rsidR="00D249AF" w:rsidRPr="00E84D74" w:rsidRDefault="00D249AF" w:rsidP="0055152A">
            <w:pPr>
              <w:autoSpaceDE w:val="0"/>
              <w:autoSpaceDN w:val="0"/>
              <w:adjustRightInd w:val="0"/>
              <w:jc w:val="both"/>
              <w:rPr>
                <w:sz w:val="18"/>
                <w:szCs w:val="18"/>
              </w:rPr>
            </w:pPr>
            <w:r w:rsidRPr="00E84D74">
              <w:rPr>
                <w:sz w:val="18"/>
                <w:szCs w:val="18"/>
              </w:rPr>
              <w:t>(i) the highest price of any purchases of title products in which the transmission system operator</w:t>
            </w:r>
            <w:r w:rsidR="008B395A" w:rsidRPr="00E84D74">
              <w:rPr>
                <w:sz w:val="18"/>
                <w:szCs w:val="18"/>
              </w:rPr>
              <w:t xml:space="preserve"> </w:t>
            </w:r>
            <w:r w:rsidRPr="00E84D74">
              <w:rPr>
                <w:sz w:val="18"/>
                <w:szCs w:val="18"/>
              </w:rPr>
              <w:t>is involved in respect of the gas day; or</w:t>
            </w:r>
          </w:p>
          <w:p w:rsidR="00D249AF" w:rsidRDefault="00D249AF" w:rsidP="0055152A">
            <w:pPr>
              <w:autoSpaceDE w:val="0"/>
              <w:autoSpaceDN w:val="0"/>
              <w:adjustRightInd w:val="0"/>
              <w:jc w:val="both"/>
              <w:rPr>
                <w:sz w:val="18"/>
                <w:szCs w:val="18"/>
              </w:rPr>
            </w:pPr>
            <w:r w:rsidRPr="00E84D74">
              <w:rPr>
                <w:sz w:val="18"/>
                <w:szCs w:val="18"/>
              </w:rPr>
              <w:t>(ii) the weighted average price of gas in respect of that gas day, plus a small adjustment.</w:t>
            </w:r>
          </w:p>
          <w:p w:rsidR="0055152A" w:rsidRDefault="0055152A" w:rsidP="0055152A">
            <w:pPr>
              <w:autoSpaceDE w:val="0"/>
              <w:autoSpaceDN w:val="0"/>
              <w:adjustRightInd w:val="0"/>
              <w:jc w:val="both"/>
              <w:rPr>
                <w:sz w:val="18"/>
                <w:szCs w:val="18"/>
              </w:rPr>
            </w:pPr>
          </w:p>
          <w:p w:rsidR="0055152A" w:rsidRPr="00E84D74" w:rsidRDefault="0055152A" w:rsidP="0055152A">
            <w:pPr>
              <w:autoSpaceDE w:val="0"/>
              <w:autoSpaceDN w:val="0"/>
              <w:adjustRightInd w:val="0"/>
              <w:jc w:val="both"/>
              <w:rPr>
                <w:sz w:val="18"/>
                <w:szCs w:val="18"/>
              </w:rPr>
            </w:pPr>
          </w:p>
          <w:p w:rsidR="00D249AF" w:rsidRPr="0055152A" w:rsidRDefault="00D249AF" w:rsidP="0055152A">
            <w:pPr>
              <w:pStyle w:val="ListParagraph"/>
              <w:numPr>
                <w:ilvl w:val="0"/>
                <w:numId w:val="49"/>
              </w:numPr>
              <w:autoSpaceDE w:val="0"/>
              <w:autoSpaceDN w:val="0"/>
              <w:adjustRightInd w:val="0"/>
              <w:jc w:val="both"/>
              <w:rPr>
                <w:sz w:val="18"/>
                <w:szCs w:val="18"/>
              </w:rPr>
            </w:pPr>
            <w:r w:rsidRPr="0055152A">
              <w:rPr>
                <w:sz w:val="18"/>
                <w:szCs w:val="18"/>
              </w:rPr>
              <w:t>For the purpose of determining the marginal sell price, the marginal buy price and the weighted average price, the related trades shall be made on trading platforms that are pre-identified by the transmission system operator and approved by the national regulatory authority. The weighted average price shall be the energy weighted average price of trades in title products carried out at the virtual trading point in respect of a gas day.</w:t>
            </w:r>
          </w:p>
          <w:p w:rsidR="0055152A" w:rsidRDefault="0055152A" w:rsidP="0055152A">
            <w:pPr>
              <w:autoSpaceDE w:val="0"/>
              <w:autoSpaceDN w:val="0"/>
              <w:adjustRightInd w:val="0"/>
              <w:jc w:val="both"/>
              <w:rPr>
                <w:sz w:val="18"/>
                <w:szCs w:val="18"/>
              </w:rPr>
            </w:pPr>
          </w:p>
          <w:p w:rsidR="0055152A" w:rsidRPr="0055152A" w:rsidRDefault="0055152A"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4. A default rule shall be defined in case paragraph 2(a) and (b) do not allow for the derivation of a marginal sell price and/or a marginal buy price.</w:t>
            </w:r>
          </w:p>
          <w:p w:rsidR="0055152A" w:rsidRDefault="0055152A" w:rsidP="0055152A">
            <w:pPr>
              <w:autoSpaceDE w:val="0"/>
              <w:autoSpaceDN w:val="0"/>
              <w:adjustRightInd w:val="0"/>
              <w:jc w:val="both"/>
              <w:rPr>
                <w:sz w:val="18"/>
                <w:szCs w:val="18"/>
              </w:rPr>
            </w:pPr>
          </w:p>
          <w:p w:rsidR="0055152A" w:rsidRDefault="0055152A" w:rsidP="0055152A">
            <w:pPr>
              <w:autoSpaceDE w:val="0"/>
              <w:autoSpaceDN w:val="0"/>
              <w:adjustRightInd w:val="0"/>
              <w:jc w:val="both"/>
              <w:rPr>
                <w:sz w:val="18"/>
                <w:szCs w:val="18"/>
              </w:rPr>
            </w:pPr>
          </w:p>
          <w:p w:rsidR="0055152A" w:rsidRDefault="0055152A"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5. Subject to the approval of the national regulatory authority, the price of locational products may be</w:t>
            </w:r>
            <w:r w:rsidR="008B395A" w:rsidRPr="00E84D74">
              <w:rPr>
                <w:sz w:val="18"/>
                <w:szCs w:val="18"/>
              </w:rPr>
              <w:t xml:space="preserve"> </w:t>
            </w:r>
            <w:r w:rsidRPr="00E84D74">
              <w:rPr>
                <w:sz w:val="18"/>
                <w:szCs w:val="18"/>
              </w:rPr>
              <w:t>taken into account for the purpose of determining the marginal sell price, the marginal buy price and</w:t>
            </w:r>
            <w:r w:rsidR="008B395A" w:rsidRPr="00E84D74">
              <w:rPr>
                <w:sz w:val="18"/>
                <w:szCs w:val="18"/>
              </w:rPr>
              <w:t xml:space="preserve"> </w:t>
            </w:r>
            <w:r w:rsidRPr="00E84D74">
              <w:rPr>
                <w:sz w:val="18"/>
                <w:szCs w:val="18"/>
              </w:rPr>
              <w:t>the weighted average price, where proposed by the transmission system operator with corresponding</w:t>
            </w:r>
            <w:r w:rsidR="008B395A" w:rsidRPr="00E84D74">
              <w:rPr>
                <w:sz w:val="18"/>
                <w:szCs w:val="18"/>
              </w:rPr>
              <w:t xml:space="preserve"> </w:t>
            </w:r>
            <w:r w:rsidRPr="00E84D74">
              <w:rPr>
                <w:sz w:val="18"/>
                <w:szCs w:val="18"/>
              </w:rPr>
              <w:t>consideration of the extent of the transmission system operator’s use of locational products.</w:t>
            </w:r>
          </w:p>
          <w:p w:rsidR="00D249AF" w:rsidRPr="00E84D74" w:rsidRDefault="00D249AF"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6. The small adjustment shall:</w:t>
            </w:r>
          </w:p>
          <w:p w:rsidR="00D249AF" w:rsidRPr="00E84D74" w:rsidRDefault="00D249AF" w:rsidP="0055152A">
            <w:pPr>
              <w:autoSpaceDE w:val="0"/>
              <w:autoSpaceDN w:val="0"/>
              <w:adjustRightInd w:val="0"/>
              <w:jc w:val="both"/>
              <w:rPr>
                <w:sz w:val="18"/>
                <w:szCs w:val="18"/>
              </w:rPr>
            </w:pPr>
            <w:r w:rsidRPr="00E84D74">
              <w:rPr>
                <w:sz w:val="18"/>
                <w:szCs w:val="18"/>
              </w:rPr>
              <w:t>(a) incentivise network users to balance their inputs and off-takes;</w:t>
            </w:r>
          </w:p>
          <w:p w:rsidR="00D249AF" w:rsidRPr="00E84D74" w:rsidRDefault="00D249AF" w:rsidP="0055152A">
            <w:pPr>
              <w:autoSpaceDE w:val="0"/>
              <w:autoSpaceDN w:val="0"/>
              <w:adjustRightInd w:val="0"/>
              <w:jc w:val="both"/>
              <w:rPr>
                <w:sz w:val="18"/>
                <w:szCs w:val="18"/>
              </w:rPr>
            </w:pPr>
            <w:r w:rsidRPr="00E84D74">
              <w:rPr>
                <w:sz w:val="18"/>
                <w:szCs w:val="18"/>
              </w:rPr>
              <w:t>(b) be designed and applied in a non-discriminatory manner in order to:</w:t>
            </w:r>
          </w:p>
          <w:p w:rsidR="00D249AF" w:rsidRPr="00E84D74" w:rsidRDefault="00D249AF" w:rsidP="0055152A">
            <w:pPr>
              <w:autoSpaceDE w:val="0"/>
              <w:autoSpaceDN w:val="0"/>
              <w:adjustRightInd w:val="0"/>
              <w:jc w:val="both"/>
              <w:rPr>
                <w:sz w:val="18"/>
                <w:szCs w:val="18"/>
              </w:rPr>
            </w:pPr>
            <w:r w:rsidRPr="00E84D74">
              <w:rPr>
                <w:sz w:val="18"/>
                <w:szCs w:val="18"/>
              </w:rPr>
              <w:t>(i) not deter market entry;</w:t>
            </w:r>
          </w:p>
          <w:p w:rsidR="00D249AF" w:rsidRPr="00E84D74" w:rsidRDefault="00D249AF" w:rsidP="0055152A">
            <w:pPr>
              <w:autoSpaceDE w:val="0"/>
              <w:autoSpaceDN w:val="0"/>
              <w:adjustRightInd w:val="0"/>
              <w:jc w:val="both"/>
              <w:rPr>
                <w:sz w:val="18"/>
                <w:szCs w:val="18"/>
              </w:rPr>
            </w:pPr>
            <w:r w:rsidRPr="00E84D74">
              <w:rPr>
                <w:sz w:val="18"/>
                <w:szCs w:val="18"/>
              </w:rPr>
              <w:t>(ii) not impede the development of competitive markets;</w:t>
            </w:r>
          </w:p>
          <w:p w:rsidR="00D249AF" w:rsidRPr="00E84D74" w:rsidRDefault="00D249AF" w:rsidP="0055152A">
            <w:pPr>
              <w:autoSpaceDE w:val="0"/>
              <w:autoSpaceDN w:val="0"/>
              <w:adjustRightInd w:val="0"/>
              <w:jc w:val="both"/>
              <w:rPr>
                <w:sz w:val="18"/>
                <w:szCs w:val="18"/>
              </w:rPr>
            </w:pPr>
            <w:r w:rsidRPr="00E84D74">
              <w:rPr>
                <w:sz w:val="18"/>
                <w:szCs w:val="18"/>
              </w:rPr>
              <w:t>(c) not have a detrimental impact on cross-border trade;</w:t>
            </w:r>
          </w:p>
          <w:p w:rsidR="00D249AF" w:rsidRPr="00E84D74" w:rsidRDefault="00D249AF" w:rsidP="0055152A">
            <w:pPr>
              <w:autoSpaceDE w:val="0"/>
              <w:autoSpaceDN w:val="0"/>
              <w:adjustRightInd w:val="0"/>
              <w:jc w:val="both"/>
              <w:rPr>
                <w:sz w:val="18"/>
                <w:szCs w:val="18"/>
              </w:rPr>
            </w:pPr>
            <w:r w:rsidRPr="00E84D74">
              <w:rPr>
                <w:sz w:val="18"/>
                <w:szCs w:val="18"/>
              </w:rPr>
              <w:lastRenderedPageBreak/>
              <w:t>(d) not result in network users’ excessive financial exposure to daily imbalance charges.</w:t>
            </w:r>
          </w:p>
          <w:p w:rsidR="00D249AF" w:rsidRPr="00E84D74" w:rsidRDefault="00D249AF" w:rsidP="0055152A">
            <w:pPr>
              <w:autoSpaceDE w:val="0"/>
              <w:autoSpaceDN w:val="0"/>
              <w:adjustRightInd w:val="0"/>
              <w:jc w:val="both"/>
              <w:rPr>
                <w:b/>
                <w:sz w:val="18"/>
                <w:szCs w:val="18"/>
              </w:rPr>
            </w:pPr>
            <w:r w:rsidRPr="00E84D74">
              <w:rPr>
                <w:sz w:val="18"/>
                <w:szCs w:val="18"/>
              </w:rPr>
              <w:t>7. The value of the small adjustment may differ for determining the marginal buy price and the marginal sell price. The value of the small adjustment shall not exceed ten percent of the weighted average price unless the transmission system operator concerned can justify otherwise to the national regulatory authority and have it approved pursuant to Article 20.</w:t>
            </w:r>
          </w:p>
        </w:tc>
      </w:tr>
      <w:tr w:rsidR="007A1612" w:rsidRPr="00043955" w:rsidTr="00FC3840">
        <w:trPr>
          <w:trHeight w:val="1240"/>
        </w:trPr>
        <w:tc>
          <w:tcPr>
            <w:tcW w:w="5245" w:type="dxa"/>
            <w:shd w:val="clear" w:color="auto" w:fill="auto"/>
          </w:tcPr>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23</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Tariful de dezechilibru zilnic</w:t>
            </w:r>
          </w:p>
          <w:p w:rsidR="007A1612" w:rsidRDefault="007A1612" w:rsidP="00DA725A">
            <w:pPr>
              <w:jc w:val="both"/>
              <w:textAlignment w:val="baseline"/>
              <w:rPr>
                <w:sz w:val="18"/>
                <w:szCs w:val="18"/>
                <w:lang w:val="it-IT" w:eastAsia="en-US"/>
              </w:rPr>
            </w:pPr>
            <w:r w:rsidRPr="00981BD4">
              <w:rPr>
                <w:sz w:val="18"/>
                <w:szCs w:val="18"/>
                <w:lang w:val="it-IT" w:eastAsia="en-US"/>
              </w:rPr>
              <w:t>(1)   Pentru a calcula tarifele de dezechilibru zilnic pentru fiecare utilizator al rețelei, operatorul de sistem de transport înmulțește cantitatea de dezechilibru zilnic a utilizatorului rețelei cu prețul aplicabil determinat în conformitate cu articolul 22. </w:t>
            </w:r>
          </w:p>
          <w:p w:rsidR="005C2EA6" w:rsidRPr="00981BD4" w:rsidRDefault="005C2EA6" w:rsidP="00DA725A">
            <w:pPr>
              <w:jc w:val="both"/>
              <w:textAlignment w:val="baseline"/>
              <w:rPr>
                <w:rFonts w:ascii="Segoe UI" w:hAnsi="Segoe UI" w:cs="Segoe UI"/>
                <w:sz w:val="18"/>
                <w:szCs w:val="18"/>
                <w:lang w:val="it-IT" w:eastAsia="en-US"/>
              </w:rPr>
            </w:pP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(2)   Tarifele de dezechilibru zilnic se aplică după cum urmează: </w:t>
            </w: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în cazul în care cantitatea de dezechilibru zilnic a unui utilizator al rețelei pentru ziua gazieră este pozitivă, se consideră că utilizatorul rețelei a vândut gaz operatorului de sistem de transport într-o cantitate echivalentă cu cantitatea de dezechilibru zilnic și, prin urmare, are dreptul să primească un credit corespunzând tarifelor de dezechilibru zilnic de la operatorul de sistem de transport; precum și </w:t>
            </w:r>
          </w:p>
          <w:p w:rsidR="007A1612" w:rsidRPr="00981BD4" w:rsidRDefault="007A1612"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în cazul în care cantitatea de dezechilibru zilnic a unui utilizator al rețelei pentru ziua gazieră este negativă, se consideră că utilizatorul rețelei a achiziționat gaz de la operatorul de sistem de transport într-o cantitate echivalentă cu cantitatea de dezechilibru zilnic, prin urmare, are obligația să plătească tarife de dezechilibru zilnic operatorului de sistem de transport. </w:t>
            </w:r>
          </w:p>
        </w:tc>
        <w:tc>
          <w:tcPr>
            <w:tcW w:w="4962" w:type="dxa"/>
            <w:shd w:val="clear" w:color="auto" w:fill="auto"/>
          </w:tcPr>
          <w:p w:rsidR="000B30B1" w:rsidRPr="000B30B1" w:rsidRDefault="000B30B1" w:rsidP="00814BEA">
            <w:pPr>
              <w:jc w:val="center"/>
              <w:textAlignment w:val="baseline"/>
              <w:rPr>
                <w:b/>
                <w:bCs/>
                <w:sz w:val="18"/>
                <w:szCs w:val="18"/>
                <w:lang w:val="ro-RO" w:eastAsia="en-US"/>
              </w:rPr>
            </w:pPr>
            <w:r w:rsidRPr="000B30B1">
              <w:rPr>
                <w:b/>
                <w:bCs/>
                <w:sz w:val="18"/>
                <w:szCs w:val="18"/>
                <w:lang w:val="ro-RO" w:eastAsia="en-US"/>
              </w:rPr>
              <w:t>Secţiunea 5</w:t>
            </w:r>
          </w:p>
          <w:p w:rsidR="000B30B1" w:rsidRPr="000B30B1" w:rsidRDefault="000B30B1" w:rsidP="00814BEA">
            <w:pPr>
              <w:jc w:val="center"/>
              <w:textAlignment w:val="baseline"/>
              <w:rPr>
                <w:b/>
                <w:bCs/>
                <w:sz w:val="18"/>
                <w:szCs w:val="18"/>
                <w:lang w:val="ro-RO" w:eastAsia="en-US"/>
              </w:rPr>
            </w:pPr>
            <w:r w:rsidRPr="000B30B1">
              <w:rPr>
                <w:b/>
                <w:bCs/>
                <w:sz w:val="18"/>
                <w:szCs w:val="18"/>
                <w:lang w:val="ro-RO" w:eastAsia="en-US"/>
              </w:rPr>
              <w:t>Plata pentru dezechilibru zilnic</w:t>
            </w:r>
          </w:p>
          <w:p w:rsidR="000B30B1" w:rsidRDefault="000B30B1" w:rsidP="000B30B1">
            <w:pPr>
              <w:textAlignment w:val="baseline"/>
              <w:rPr>
                <w:bCs/>
                <w:sz w:val="18"/>
                <w:szCs w:val="18"/>
                <w:lang w:val="ro-RO" w:eastAsia="en-US"/>
              </w:rPr>
            </w:pPr>
            <w:r w:rsidRPr="000B30B1">
              <w:rPr>
                <w:b/>
                <w:bCs/>
                <w:sz w:val="18"/>
                <w:szCs w:val="18"/>
                <w:lang w:val="ro-RO" w:eastAsia="en-US"/>
              </w:rPr>
              <w:t>524.</w:t>
            </w:r>
            <w:r w:rsidRPr="000B30B1">
              <w:rPr>
                <w:bCs/>
                <w:sz w:val="18"/>
                <w:szCs w:val="18"/>
                <w:lang w:val="ro-RO" w:eastAsia="en-US"/>
              </w:rPr>
              <w:t xml:space="preserve"> Pentru a calcula plata pentru dezechilibru zilnic pentru fiecare utilizator de sistem, OST înmulţeşte cantitatea de dezechilibru zilnic a utilizatorului de sistem cu preţul aplicabil determinat în conformitate Secţiunea 3 din prezentul Capitol.</w:t>
            </w:r>
          </w:p>
          <w:p w:rsidR="005C2EA6" w:rsidRPr="000B30B1" w:rsidRDefault="005C2EA6" w:rsidP="000B30B1">
            <w:pPr>
              <w:textAlignment w:val="baseline"/>
              <w:rPr>
                <w:bCs/>
                <w:sz w:val="18"/>
                <w:szCs w:val="18"/>
                <w:lang w:val="ro-RO" w:eastAsia="en-US"/>
              </w:rPr>
            </w:pPr>
          </w:p>
          <w:p w:rsidR="000B30B1" w:rsidRPr="000B30B1" w:rsidRDefault="000B30B1" w:rsidP="000B30B1">
            <w:pPr>
              <w:textAlignment w:val="baseline"/>
              <w:rPr>
                <w:bCs/>
                <w:sz w:val="18"/>
                <w:szCs w:val="18"/>
                <w:lang w:val="ro-RO" w:eastAsia="en-US"/>
              </w:rPr>
            </w:pPr>
            <w:r w:rsidRPr="000B30B1">
              <w:rPr>
                <w:b/>
                <w:bCs/>
                <w:sz w:val="18"/>
                <w:szCs w:val="18"/>
                <w:lang w:val="ro-RO" w:eastAsia="en-US"/>
              </w:rPr>
              <w:t>525.</w:t>
            </w:r>
            <w:r w:rsidRPr="000B30B1">
              <w:rPr>
                <w:bCs/>
                <w:sz w:val="18"/>
                <w:szCs w:val="18"/>
                <w:lang w:val="ro-RO" w:eastAsia="en-US"/>
              </w:rPr>
              <w:t xml:space="preserve"> Plăţile pentru dezechilibru zilnic se aplică după cum urmează:</w:t>
            </w:r>
          </w:p>
          <w:p w:rsidR="000B30B1" w:rsidRPr="000B30B1" w:rsidRDefault="000B30B1" w:rsidP="000B30B1">
            <w:pPr>
              <w:textAlignment w:val="baseline"/>
              <w:rPr>
                <w:bCs/>
                <w:sz w:val="18"/>
                <w:szCs w:val="18"/>
                <w:lang w:val="ro-RO" w:eastAsia="en-US"/>
              </w:rPr>
            </w:pPr>
            <w:r w:rsidRPr="000B30B1">
              <w:rPr>
                <w:bCs/>
                <w:sz w:val="18"/>
                <w:szCs w:val="18"/>
                <w:lang w:val="ro-RO" w:eastAsia="en-US"/>
              </w:rPr>
              <w:t>1) în cazul în care cantitatea de dezechilibru zilnic a unui utilizator de sistem pentru ziua gazieră este pozitivă, se consideră că utilizatorul de sistem a vândut gaze naturale OST într-o cantitate echivalentă cu cantitatea de dezechilibru zilnic şi, prin urmare, are dreptul la achitarea corespunzătoare a plăţilor pentru dezechilibru zilnic de la OST; precum şi</w:t>
            </w:r>
          </w:p>
          <w:p w:rsidR="000B30B1" w:rsidRPr="000B30B1" w:rsidRDefault="000B30B1" w:rsidP="000B30B1">
            <w:pPr>
              <w:textAlignment w:val="baseline"/>
              <w:rPr>
                <w:bCs/>
                <w:sz w:val="18"/>
                <w:szCs w:val="18"/>
                <w:lang w:val="ro-RO" w:eastAsia="en-US"/>
              </w:rPr>
            </w:pPr>
            <w:r w:rsidRPr="000B30B1">
              <w:rPr>
                <w:bCs/>
                <w:sz w:val="18"/>
                <w:szCs w:val="18"/>
                <w:lang w:val="ro-RO" w:eastAsia="en-US"/>
              </w:rPr>
              <w:t>2) în cazul în care cantitatea de dezechilibru zilnic a unui utilizator de sistem pentru ziua gazieră este negativă, se consideră că utilizatorul de sistem a achiziţionat gaze naturale de la OST într-o cantitate echivalentă cu cantitatea de dezechilibru zilnic, prin urmare, are obligaţia să plătească plăţi pentru dezechilibru zilnic OST.</w:t>
            </w:r>
          </w:p>
          <w:p w:rsidR="007A1612" w:rsidRPr="00153673" w:rsidRDefault="007A1612" w:rsidP="00153673">
            <w:pPr>
              <w:jc w:val="center"/>
              <w:textAlignment w:val="baseline"/>
              <w:rPr>
                <w:b/>
                <w:bCs/>
                <w:sz w:val="18"/>
                <w:szCs w:val="18"/>
                <w:lang w:val="ro-RO" w:eastAsia="en-US"/>
              </w:rPr>
            </w:pPr>
          </w:p>
        </w:tc>
        <w:tc>
          <w:tcPr>
            <w:tcW w:w="1275" w:type="dxa"/>
            <w:shd w:val="clear" w:color="auto" w:fill="auto"/>
          </w:tcPr>
          <w:p w:rsidR="007A1612" w:rsidRPr="00380C00" w:rsidRDefault="007A1612" w:rsidP="00DA725A">
            <w:pPr>
              <w:jc w:val="both"/>
              <w:rPr>
                <w:b/>
                <w:sz w:val="18"/>
                <w:szCs w:val="18"/>
                <w:lang w:val="ro-RO"/>
              </w:rPr>
            </w:pPr>
          </w:p>
          <w:p w:rsidR="00826EF3" w:rsidRPr="00380C00" w:rsidRDefault="00826EF3" w:rsidP="00DA725A">
            <w:pPr>
              <w:jc w:val="both"/>
              <w:rPr>
                <w:b/>
                <w:sz w:val="18"/>
                <w:szCs w:val="18"/>
                <w:lang w:val="ro-RO"/>
              </w:rPr>
            </w:pPr>
          </w:p>
          <w:p w:rsidR="00826EF3" w:rsidRPr="00380C00" w:rsidRDefault="00826EF3" w:rsidP="00DA725A">
            <w:pPr>
              <w:jc w:val="both"/>
              <w:rPr>
                <w:b/>
                <w:sz w:val="18"/>
                <w:szCs w:val="18"/>
                <w:lang w:val="ro-RO"/>
              </w:rPr>
            </w:pPr>
          </w:p>
          <w:p w:rsidR="00826EF3" w:rsidRDefault="00826EF3" w:rsidP="00DA725A">
            <w:pPr>
              <w:jc w:val="both"/>
              <w:rPr>
                <w:sz w:val="18"/>
                <w:szCs w:val="18"/>
              </w:rPr>
            </w:pPr>
            <w:r w:rsidRPr="00E55B82">
              <w:rPr>
                <w:sz w:val="18"/>
                <w:szCs w:val="18"/>
              </w:rPr>
              <w:t>Compatibil</w:t>
            </w:r>
          </w:p>
          <w:p w:rsidR="00826EF3" w:rsidRDefault="00826EF3" w:rsidP="00DA725A">
            <w:pPr>
              <w:jc w:val="both"/>
              <w:rPr>
                <w:sz w:val="18"/>
                <w:szCs w:val="18"/>
              </w:rPr>
            </w:pPr>
          </w:p>
          <w:p w:rsidR="00826EF3" w:rsidRDefault="00826EF3" w:rsidP="00DA725A">
            <w:pPr>
              <w:jc w:val="both"/>
              <w:rPr>
                <w:sz w:val="18"/>
                <w:szCs w:val="18"/>
              </w:rPr>
            </w:pPr>
          </w:p>
          <w:p w:rsidR="005C2EA6" w:rsidRDefault="005C2EA6" w:rsidP="00DA725A">
            <w:pPr>
              <w:jc w:val="both"/>
              <w:rPr>
                <w:sz w:val="18"/>
                <w:szCs w:val="18"/>
              </w:rPr>
            </w:pPr>
          </w:p>
          <w:p w:rsidR="00826EF3" w:rsidRDefault="00826EF3" w:rsidP="00DA725A">
            <w:pPr>
              <w:jc w:val="both"/>
              <w:rPr>
                <w:sz w:val="18"/>
                <w:szCs w:val="18"/>
              </w:rPr>
            </w:pPr>
            <w:r w:rsidRPr="00E55B82">
              <w:rPr>
                <w:sz w:val="18"/>
                <w:szCs w:val="18"/>
              </w:rPr>
              <w:t>Compatibil</w:t>
            </w:r>
          </w:p>
          <w:p w:rsidR="00826EF3" w:rsidRDefault="00826EF3" w:rsidP="00DA725A">
            <w:pPr>
              <w:jc w:val="both"/>
              <w:rPr>
                <w:sz w:val="18"/>
                <w:szCs w:val="18"/>
              </w:rPr>
            </w:pPr>
          </w:p>
          <w:p w:rsidR="00826EF3" w:rsidRDefault="00826EF3" w:rsidP="00DA725A">
            <w:pPr>
              <w:jc w:val="both"/>
              <w:rPr>
                <w:sz w:val="18"/>
                <w:szCs w:val="18"/>
              </w:rPr>
            </w:pPr>
          </w:p>
          <w:p w:rsidR="00826EF3" w:rsidRDefault="00826EF3" w:rsidP="00DA725A">
            <w:pPr>
              <w:jc w:val="both"/>
              <w:rPr>
                <w:sz w:val="18"/>
                <w:szCs w:val="18"/>
              </w:rPr>
            </w:pPr>
          </w:p>
          <w:p w:rsidR="00826EF3" w:rsidRDefault="00826EF3" w:rsidP="00DA725A">
            <w:pPr>
              <w:jc w:val="both"/>
              <w:rPr>
                <w:sz w:val="18"/>
                <w:szCs w:val="18"/>
              </w:rPr>
            </w:pPr>
          </w:p>
          <w:p w:rsidR="00826EF3" w:rsidRPr="00D82EE4" w:rsidRDefault="00826EF3" w:rsidP="00DA725A">
            <w:pPr>
              <w:jc w:val="both"/>
              <w:rPr>
                <w:b/>
                <w:sz w:val="18"/>
                <w:szCs w:val="18"/>
                <w:lang w:val="it-IT"/>
              </w:rPr>
            </w:pPr>
          </w:p>
        </w:tc>
        <w:tc>
          <w:tcPr>
            <w:tcW w:w="4253" w:type="dxa"/>
            <w:shd w:val="clear" w:color="auto" w:fill="auto"/>
          </w:tcPr>
          <w:p w:rsidR="007A1612" w:rsidRPr="00E84D74" w:rsidRDefault="007A1612" w:rsidP="00DA725A">
            <w:pPr>
              <w:autoSpaceDE w:val="0"/>
              <w:autoSpaceDN w:val="0"/>
              <w:adjustRightInd w:val="0"/>
              <w:jc w:val="center"/>
              <w:rPr>
                <w:b/>
                <w:sz w:val="18"/>
                <w:szCs w:val="18"/>
              </w:rPr>
            </w:pPr>
            <w:r w:rsidRPr="00E84D74">
              <w:rPr>
                <w:b/>
                <w:sz w:val="18"/>
                <w:szCs w:val="18"/>
              </w:rPr>
              <w:t>Article 23</w:t>
            </w:r>
          </w:p>
          <w:p w:rsidR="007A1612" w:rsidRPr="00E84D74" w:rsidRDefault="007A1612" w:rsidP="00DA725A">
            <w:pPr>
              <w:autoSpaceDE w:val="0"/>
              <w:autoSpaceDN w:val="0"/>
              <w:adjustRightInd w:val="0"/>
              <w:jc w:val="center"/>
              <w:rPr>
                <w:b/>
                <w:sz w:val="18"/>
                <w:szCs w:val="18"/>
              </w:rPr>
            </w:pPr>
            <w:r w:rsidRPr="00E84D74">
              <w:rPr>
                <w:b/>
                <w:sz w:val="18"/>
                <w:szCs w:val="18"/>
              </w:rPr>
              <w:t>Daily imbalance charge</w:t>
            </w:r>
          </w:p>
          <w:p w:rsidR="007A1612" w:rsidRPr="00E84D74" w:rsidRDefault="007A1612" w:rsidP="00DA725A">
            <w:pPr>
              <w:autoSpaceDE w:val="0"/>
              <w:autoSpaceDN w:val="0"/>
              <w:adjustRightInd w:val="0"/>
              <w:rPr>
                <w:sz w:val="18"/>
                <w:szCs w:val="18"/>
              </w:rPr>
            </w:pPr>
            <w:r w:rsidRPr="00E84D74">
              <w:rPr>
                <w:sz w:val="18"/>
                <w:szCs w:val="18"/>
              </w:rPr>
              <w:t>1. To calculate daily imbalance charges for each network user, the transmission system operator shall multiply a network user’s daily imbalance quantity by the applicable price determined in accordance with Article 22.</w:t>
            </w:r>
          </w:p>
          <w:p w:rsidR="007A1612" w:rsidRPr="00E84D74" w:rsidRDefault="007A1612" w:rsidP="00DA725A">
            <w:pPr>
              <w:autoSpaceDE w:val="0"/>
              <w:autoSpaceDN w:val="0"/>
              <w:adjustRightInd w:val="0"/>
              <w:rPr>
                <w:sz w:val="18"/>
                <w:szCs w:val="18"/>
              </w:rPr>
            </w:pPr>
            <w:r w:rsidRPr="00E84D74">
              <w:rPr>
                <w:sz w:val="18"/>
                <w:szCs w:val="18"/>
              </w:rPr>
              <w:t>2. Daily imbalance charges shall be applied as follows:</w:t>
            </w:r>
          </w:p>
          <w:p w:rsidR="007A1612" w:rsidRPr="00E84D74" w:rsidRDefault="007A1612" w:rsidP="00DA725A">
            <w:pPr>
              <w:autoSpaceDE w:val="0"/>
              <w:autoSpaceDN w:val="0"/>
              <w:adjustRightInd w:val="0"/>
              <w:rPr>
                <w:sz w:val="18"/>
                <w:szCs w:val="18"/>
              </w:rPr>
            </w:pPr>
            <w:r w:rsidRPr="00E84D74">
              <w:rPr>
                <w:sz w:val="18"/>
                <w:szCs w:val="18"/>
              </w:rPr>
              <w:t>(a) if a network user’s daily imbalance quantity for the gas day is positive then this network user shall be deemed to have sold gas to the transmission system operator equivalent to the daily imbalance quantity and therefore shall be entitled to receive a credit in respect of daily imbalance charges from the transmission system operator; and</w:t>
            </w:r>
          </w:p>
          <w:p w:rsidR="007A1612" w:rsidRPr="00E84D74" w:rsidRDefault="007A1612" w:rsidP="00DA725A">
            <w:pPr>
              <w:autoSpaceDE w:val="0"/>
              <w:autoSpaceDN w:val="0"/>
              <w:adjustRightInd w:val="0"/>
              <w:rPr>
                <w:b/>
                <w:sz w:val="18"/>
                <w:szCs w:val="18"/>
              </w:rPr>
            </w:pPr>
            <w:r w:rsidRPr="00E84D74">
              <w:rPr>
                <w:sz w:val="18"/>
                <w:szCs w:val="18"/>
              </w:rPr>
              <w:t>(b) if a network user’s daily imbalance quantity for the gas day is negative then this network user shall be deemed to have purchased gas from the transmission system operator equivalent to the daily imbalance quantity and therefore shall be obliged to pay daily imbalance charges to the transmission system operator.</w:t>
            </w:r>
          </w:p>
        </w:tc>
      </w:tr>
      <w:tr w:rsidR="007A1612" w:rsidRPr="00043955" w:rsidTr="00FC3840">
        <w:trPr>
          <w:trHeight w:val="1240"/>
        </w:trPr>
        <w:tc>
          <w:tcPr>
            <w:tcW w:w="5245" w:type="dxa"/>
            <w:shd w:val="clear" w:color="auto" w:fill="auto"/>
          </w:tcPr>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CAPITOLUL VI</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OBLIGAȚII ÎN CURSUL ZILEI</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24</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generale</w:t>
            </w: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(1)   Un operator de sistem de transport are dreptul să aplice obligații în cursul zilei doar pentru a stimula utilizatorii rețelei să își gestioneze poziția în cursul zilei în vederea garantării integrității sistemice a rețelei sale de transport și a reducerii la minimum a necesității de a întreprinde acțiuni de echilibrare. </w:t>
            </w: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7A1612" w:rsidRPr="00981BD4" w:rsidRDefault="007A1612" w:rsidP="00DA725A">
            <w:pPr>
              <w:jc w:val="both"/>
              <w:textAlignment w:val="baseline"/>
              <w:rPr>
                <w:b/>
                <w:bCs/>
                <w:sz w:val="18"/>
                <w:szCs w:val="18"/>
                <w:lang w:val="it-IT" w:eastAsia="en-US"/>
              </w:rPr>
            </w:pPr>
            <w:r w:rsidRPr="00981BD4">
              <w:rPr>
                <w:sz w:val="18"/>
                <w:szCs w:val="18"/>
                <w:lang w:val="it-IT" w:eastAsia="en-US"/>
              </w:rPr>
              <w:t xml:space="preserve">(2)   Atunci când operatorului de sistem de transport i se solicită să furnizeze informații utilizatorilor rețelei pentru a le permite să își gestioneze expunerile asociate pozițiilor din cursul zilei, astfel de informații le vor fi furnizate în mod regulat. Dacă este cazul, </w:t>
            </w:r>
            <w:r w:rsidRPr="00981BD4">
              <w:rPr>
                <w:sz w:val="18"/>
                <w:szCs w:val="18"/>
                <w:lang w:val="it-IT" w:eastAsia="en-US"/>
              </w:rPr>
              <w:lastRenderedPageBreak/>
              <w:t>informațiile sunt furnizate pe baza unei cereri formulate de către fiecare utilizator al rețelei în parte o singură dată. </w:t>
            </w:r>
          </w:p>
        </w:tc>
        <w:tc>
          <w:tcPr>
            <w:tcW w:w="4962" w:type="dxa"/>
            <w:shd w:val="clear" w:color="auto" w:fill="auto"/>
          </w:tcPr>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lastRenderedPageBreak/>
              <w:t>Capitolul VI</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OBLIGAŢII INTRAZILNICE</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Secţiunea 1</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Dispoziţii generale</w:t>
            </w:r>
          </w:p>
          <w:p w:rsidR="000B30B1" w:rsidRPr="000B30B1" w:rsidRDefault="000B30B1" w:rsidP="000B30B1">
            <w:pPr>
              <w:textAlignment w:val="baseline"/>
              <w:rPr>
                <w:bCs/>
                <w:sz w:val="18"/>
                <w:szCs w:val="18"/>
                <w:lang w:val="ro-RO" w:eastAsia="en-US"/>
              </w:rPr>
            </w:pPr>
            <w:r w:rsidRPr="000B30B1">
              <w:rPr>
                <w:b/>
                <w:bCs/>
                <w:sz w:val="18"/>
                <w:szCs w:val="18"/>
                <w:lang w:val="ro-RO" w:eastAsia="en-US"/>
              </w:rPr>
              <w:t>526.</w:t>
            </w:r>
            <w:r w:rsidRPr="000B30B1">
              <w:rPr>
                <w:bCs/>
                <w:sz w:val="18"/>
                <w:szCs w:val="18"/>
                <w:lang w:val="ro-RO" w:eastAsia="en-US"/>
              </w:rPr>
              <w:t xml:space="preserve"> Un OST are dreptul să aplice obligaţii intrazilnice doar pentru a stimula utilizatorii de sistem să-şi gestioneze poziţia intrazilnică în vederea garantării integrităţii sistemului de transport al gazelor naturale şi reducerii la minimum a necesităţii de a întreprinde acţiuni de echilibrare.</w:t>
            </w:r>
          </w:p>
          <w:p w:rsidR="007A1612" w:rsidRPr="000B30B1" w:rsidRDefault="000B30B1" w:rsidP="000B30B1">
            <w:pPr>
              <w:textAlignment w:val="baseline"/>
              <w:rPr>
                <w:bCs/>
                <w:sz w:val="18"/>
                <w:szCs w:val="18"/>
                <w:lang w:val="ro-RO" w:eastAsia="en-US"/>
              </w:rPr>
            </w:pPr>
            <w:r w:rsidRPr="000B30B1">
              <w:rPr>
                <w:b/>
                <w:bCs/>
                <w:sz w:val="18"/>
                <w:szCs w:val="18"/>
                <w:lang w:val="ro-RO" w:eastAsia="en-US"/>
              </w:rPr>
              <w:t>527.</w:t>
            </w:r>
            <w:r w:rsidRPr="000B30B1">
              <w:rPr>
                <w:bCs/>
                <w:sz w:val="18"/>
                <w:szCs w:val="18"/>
                <w:lang w:val="ro-RO" w:eastAsia="en-US"/>
              </w:rPr>
              <w:t xml:space="preserve"> Atunci când OST i se solicită să transmită informaţii utilizatorilor de sistem pentru a le permite să îşi gestioneze expunerile asociate poziţiilor din cursul zilei, astfel de informaţii le vor fi transmise în mod regulat. Dacă este cazul, informaţiile sunt transmise o singură dată pe baza unei cereri formulate de către fiecare utilizator de sistem în parte.</w:t>
            </w:r>
          </w:p>
        </w:tc>
        <w:tc>
          <w:tcPr>
            <w:tcW w:w="1275" w:type="dxa"/>
            <w:shd w:val="clear" w:color="auto" w:fill="auto"/>
          </w:tcPr>
          <w:p w:rsidR="007A1612" w:rsidRDefault="007A1612"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sz w:val="18"/>
                <w:szCs w:val="18"/>
              </w:rPr>
            </w:pPr>
            <w:r w:rsidRPr="00E55B82">
              <w:rPr>
                <w:sz w:val="18"/>
                <w:szCs w:val="18"/>
              </w:rPr>
              <w:t>Compatibil</w:t>
            </w: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sz w:val="18"/>
                <w:szCs w:val="18"/>
              </w:rPr>
            </w:pPr>
            <w:r w:rsidRPr="00E55B82">
              <w:rPr>
                <w:sz w:val="18"/>
                <w:szCs w:val="18"/>
              </w:rPr>
              <w:t>Compatibil</w:t>
            </w:r>
          </w:p>
          <w:p w:rsidR="00C9754B" w:rsidRPr="00D82EE4" w:rsidRDefault="00C9754B" w:rsidP="00DA725A">
            <w:pPr>
              <w:jc w:val="both"/>
              <w:rPr>
                <w:b/>
                <w:sz w:val="18"/>
                <w:szCs w:val="18"/>
                <w:lang w:val="it-IT"/>
              </w:rPr>
            </w:pPr>
          </w:p>
        </w:tc>
        <w:tc>
          <w:tcPr>
            <w:tcW w:w="4253" w:type="dxa"/>
            <w:shd w:val="clear" w:color="auto" w:fill="auto"/>
          </w:tcPr>
          <w:p w:rsidR="007A1612" w:rsidRPr="00E84D74" w:rsidRDefault="007A1612" w:rsidP="00DA725A">
            <w:pPr>
              <w:autoSpaceDE w:val="0"/>
              <w:autoSpaceDN w:val="0"/>
              <w:adjustRightInd w:val="0"/>
              <w:jc w:val="center"/>
              <w:rPr>
                <w:b/>
                <w:bCs/>
                <w:sz w:val="18"/>
                <w:szCs w:val="18"/>
              </w:rPr>
            </w:pPr>
            <w:r w:rsidRPr="00E84D74">
              <w:rPr>
                <w:b/>
                <w:bCs/>
                <w:sz w:val="18"/>
                <w:szCs w:val="18"/>
              </w:rPr>
              <w:t>CHAPTER VI</w:t>
            </w:r>
          </w:p>
          <w:p w:rsidR="007A1612" w:rsidRPr="00E84D74" w:rsidRDefault="007A1612" w:rsidP="00DA725A">
            <w:pPr>
              <w:autoSpaceDE w:val="0"/>
              <w:autoSpaceDN w:val="0"/>
              <w:adjustRightInd w:val="0"/>
              <w:jc w:val="center"/>
              <w:rPr>
                <w:b/>
                <w:bCs/>
                <w:sz w:val="18"/>
                <w:szCs w:val="18"/>
              </w:rPr>
            </w:pPr>
            <w:r w:rsidRPr="00E84D74">
              <w:rPr>
                <w:b/>
                <w:bCs/>
                <w:sz w:val="18"/>
                <w:szCs w:val="18"/>
              </w:rPr>
              <w:t>WITHIN DAY OBLIGATIONS</w:t>
            </w:r>
          </w:p>
          <w:p w:rsidR="007A1612" w:rsidRPr="00E84D74" w:rsidRDefault="007A1612" w:rsidP="00DA725A">
            <w:pPr>
              <w:autoSpaceDE w:val="0"/>
              <w:autoSpaceDN w:val="0"/>
              <w:adjustRightInd w:val="0"/>
              <w:jc w:val="center"/>
              <w:rPr>
                <w:b/>
                <w:bCs/>
                <w:i/>
                <w:iCs/>
                <w:sz w:val="18"/>
                <w:szCs w:val="18"/>
              </w:rPr>
            </w:pPr>
            <w:r w:rsidRPr="00E84D74">
              <w:rPr>
                <w:b/>
                <w:bCs/>
                <w:i/>
                <w:iCs/>
                <w:sz w:val="18"/>
                <w:szCs w:val="18"/>
              </w:rPr>
              <w:t>Article 24</w:t>
            </w:r>
          </w:p>
          <w:p w:rsidR="007A1612" w:rsidRPr="00E84D74" w:rsidRDefault="007A1612" w:rsidP="00DA725A">
            <w:pPr>
              <w:autoSpaceDE w:val="0"/>
              <w:autoSpaceDN w:val="0"/>
              <w:adjustRightInd w:val="0"/>
              <w:jc w:val="center"/>
              <w:rPr>
                <w:b/>
                <w:bCs/>
                <w:sz w:val="18"/>
                <w:szCs w:val="18"/>
              </w:rPr>
            </w:pPr>
            <w:r w:rsidRPr="00E84D74">
              <w:rPr>
                <w:b/>
                <w:bCs/>
                <w:sz w:val="18"/>
                <w:szCs w:val="18"/>
              </w:rPr>
              <w:t>General provisions</w:t>
            </w:r>
          </w:p>
          <w:p w:rsidR="007A1612" w:rsidRPr="00E84D74" w:rsidRDefault="007A1612" w:rsidP="00DA725A">
            <w:pPr>
              <w:autoSpaceDE w:val="0"/>
              <w:autoSpaceDN w:val="0"/>
              <w:adjustRightInd w:val="0"/>
              <w:rPr>
                <w:sz w:val="18"/>
                <w:szCs w:val="18"/>
              </w:rPr>
            </w:pPr>
            <w:r w:rsidRPr="00E84D74">
              <w:rPr>
                <w:sz w:val="18"/>
                <w:szCs w:val="18"/>
              </w:rPr>
              <w:t xml:space="preserve">1. A transmission system operator is only entitled to apply within day obligations in order to </w:t>
            </w:r>
            <w:r w:rsidR="00F471AC" w:rsidRPr="00E84D74">
              <w:rPr>
                <w:sz w:val="18"/>
                <w:szCs w:val="18"/>
              </w:rPr>
              <w:t xml:space="preserve">incentivize </w:t>
            </w:r>
            <w:r w:rsidRPr="00E84D74">
              <w:rPr>
                <w:sz w:val="18"/>
                <w:szCs w:val="18"/>
              </w:rPr>
              <w:t>network users to manage their within day position in view of ensuring the system integrity of its</w:t>
            </w:r>
            <w:r w:rsidR="00F471AC" w:rsidRPr="00E84D74">
              <w:rPr>
                <w:sz w:val="18"/>
                <w:szCs w:val="18"/>
              </w:rPr>
              <w:t xml:space="preserve"> </w:t>
            </w:r>
            <w:r w:rsidRPr="00E84D74">
              <w:rPr>
                <w:sz w:val="18"/>
                <w:szCs w:val="18"/>
              </w:rPr>
              <w:t>transmission network and minimising its need to undertake balancing actions.</w:t>
            </w:r>
          </w:p>
          <w:p w:rsidR="007A1612" w:rsidRPr="00E84D74" w:rsidRDefault="007A1612" w:rsidP="00DA725A">
            <w:pPr>
              <w:autoSpaceDE w:val="0"/>
              <w:autoSpaceDN w:val="0"/>
              <w:adjustRightInd w:val="0"/>
              <w:rPr>
                <w:b/>
                <w:sz w:val="18"/>
                <w:szCs w:val="18"/>
              </w:rPr>
            </w:pPr>
            <w:r w:rsidRPr="00E84D74">
              <w:rPr>
                <w:sz w:val="18"/>
                <w:szCs w:val="18"/>
              </w:rPr>
              <w:t>2. Where the transmission system operator is required to provide information to network users to enable them to manage their exposures associated with within day positions, it shall be provided to</w:t>
            </w:r>
            <w:r w:rsidR="00F471AC" w:rsidRPr="00E84D74">
              <w:rPr>
                <w:sz w:val="18"/>
                <w:szCs w:val="18"/>
              </w:rPr>
              <w:t xml:space="preserve"> </w:t>
            </w:r>
            <w:r w:rsidRPr="00E84D74">
              <w:rPr>
                <w:sz w:val="18"/>
                <w:szCs w:val="18"/>
              </w:rPr>
              <w:t xml:space="preserve">them regularly. Where </w:t>
            </w:r>
            <w:r w:rsidRPr="00E84D74">
              <w:rPr>
                <w:sz w:val="18"/>
                <w:szCs w:val="18"/>
              </w:rPr>
              <w:lastRenderedPageBreak/>
              <w:t>applicable, this information shall be provided upon a request submitted by</w:t>
            </w:r>
            <w:r w:rsidR="00F471AC" w:rsidRPr="00E84D74">
              <w:rPr>
                <w:sz w:val="18"/>
                <w:szCs w:val="18"/>
              </w:rPr>
              <w:t xml:space="preserve"> </w:t>
            </w:r>
            <w:r w:rsidRPr="00E84D74">
              <w:rPr>
                <w:sz w:val="18"/>
                <w:szCs w:val="18"/>
              </w:rPr>
              <w:t>each network user once.</w:t>
            </w:r>
          </w:p>
        </w:tc>
      </w:tr>
      <w:tr w:rsidR="0052621F" w:rsidRPr="00043955" w:rsidTr="00FC3840">
        <w:trPr>
          <w:trHeight w:val="1240"/>
        </w:trPr>
        <w:tc>
          <w:tcPr>
            <w:tcW w:w="5245" w:type="dxa"/>
            <w:shd w:val="clear" w:color="auto" w:fill="auto"/>
          </w:tcPr>
          <w:p w:rsidR="0052621F" w:rsidRPr="00981BD4" w:rsidRDefault="0052621F"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25</w:t>
            </w:r>
          </w:p>
          <w:p w:rsidR="0052621F" w:rsidRPr="00981BD4" w:rsidRDefault="0052621F" w:rsidP="00DA725A">
            <w:pPr>
              <w:jc w:val="center"/>
              <w:textAlignment w:val="baseline"/>
              <w:rPr>
                <w:rFonts w:ascii="Segoe UI" w:hAnsi="Segoe UI" w:cs="Segoe UI"/>
                <w:sz w:val="18"/>
                <w:szCs w:val="18"/>
                <w:lang w:val="it-IT" w:eastAsia="en-US"/>
              </w:rPr>
            </w:pPr>
            <w:r w:rsidRPr="00981BD4">
              <w:rPr>
                <w:b/>
                <w:bCs/>
                <w:sz w:val="18"/>
                <w:szCs w:val="18"/>
                <w:lang w:val="it-IT" w:eastAsia="en-US"/>
              </w:rPr>
              <w:t>Tipuri de obligații în cursul zilei</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Există trei tipuri de obligații în cursul zilei, fiecare dintre acestea stimulând utilizatorul rețelei în vederea atingerii unui obiectiv specific în conformitate cu prezentul articol.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1.</w:t>
            </w:r>
            <w:r w:rsidRPr="00981BD4">
              <w:rPr>
                <w:rFonts w:ascii="Calibri" w:hAnsi="Calibri" w:cs="Calibri"/>
                <w:sz w:val="18"/>
                <w:szCs w:val="18"/>
                <w:lang w:val="it-IT" w:eastAsia="en-US"/>
              </w:rPr>
              <w:t xml:space="preserve"> </w:t>
            </w:r>
            <w:r w:rsidRPr="00981BD4">
              <w:rPr>
                <w:sz w:val="18"/>
                <w:szCs w:val="18"/>
                <w:lang w:val="it-IT" w:eastAsia="en-US"/>
              </w:rPr>
              <w:t>Obligație în cursul zilei la nivel de sistem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Această obligație este concepută în vederea acordării de stimulente utilizatorilor rețelei pentru menținerea rețelei de transport în limitele sale operaționale și stabilește următoarele: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limitele operaționale ale rețelei de transport între care trebuie să se mențină aceasta;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acțiunile pe care utilizatorii rețelei le pot întreprinde pentru a menține rețeaua de transport în limitele operaționale;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acțiunile de echilibrare adoptate în consecință de operatorul de sistem de transport atunci când limitele operaționale ale rețelei de transport sunt aproape atinse sau chiar atinse;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atribuirea costurilor și/sau a veniturilor în rândul utilizatorilor rețelei și/sau consecințele asupra poziției în cursul zilei a respectivilor utilizatori ai rețelei, rezultate în urma acțiunilor de echilibrare întreprinse de către operatorul de sistem de transport;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tariful aferent care se bazează pe poziția individuală în cursul zilei a utilizatorului rețelei.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Obligație în cursul zilei cu privire la portofoliul de echilibrare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Această obligație este concepută pentru a stimula utilizatorii rețelei să își mențină poziția lor individuală pe durata zilei gaziere într-un interval predefinit și stabilește următoarele: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pentru fiecare portofoliu de echilibrare, intervalul în care trebuie să se înscrie acesta;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modalitatea prin care se determină intervalul menționat mai sus;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consecințele pentru utilizatorii rețelei care nu se mențin în intervalul definit și, după caz, detaliile privind modul în care se stabilește un tarif corespunzător;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tariful aferent care se bazează pe poziția individuală în cursul zilei a utilizatorului rețelei. </w:t>
            </w:r>
          </w:p>
          <w:p w:rsidR="0052621F" w:rsidRPr="00981BD4" w:rsidRDefault="0052621F" w:rsidP="0055152A">
            <w:pPr>
              <w:jc w:val="both"/>
              <w:textAlignment w:val="baseline"/>
              <w:rPr>
                <w:rFonts w:ascii="Segoe UI" w:hAnsi="Segoe UI" w:cs="Segoe UI"/>
                <w:sz w:val="18"/>
                <w:szCs w:val="18"/>
                <w:lang w:val="it-IT" w:eastAsia="en-US"/>
              </w:rPr>
            </w:pPr>
            <w:r w:rsidRPr="00981BD4">
              <w:rPr>
                <w:sz w:val="18"/>
                <w:szCs w:val="18"/>
                <w:lang w:val="it-IT" w:eastAsia="en-US"/>
              </w:rPr>
              <w:t> 3.</w:t>
            </w:r>
            <w:r w:rsidRPr="00981BD4">
              <w:rPr>
                <w:rFonts w:ascii="Calibri" w:hAnsi="Calibri" w:cs="Calibri"/>
                <w:sz w:val="18"/>
                <w:szCs w:val="18"/>
                <w:lang w:val="it-IT" w:eastAsia="en-US"/>
              </w:rPr>
              <w:t xml:space="preserve"> </w:t>
            </w:r>
            <w:r w:rsidRPr="00981BD4">
              <w:rPr>
                <w:sz w:val="18"/>
                <w:szCs w:val="18"/>
                <w:lang w:val="it-IT" w:eastAsia="en-US"/>
              </w:rPr>
              <w:t>Obligație în cursul zilei privind punctul de intrare-ieșire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Această obligație este concepută pentru a oferi stimulente utilizatorilor rețelei în vederea limitării fluxului de gaz sau a variației fluxului de </w:t>
            </w:r>
            <w:r w:rsidRPr="00981BD4">
              <w:rPr>
                <w:sz w:val="18"/>
                <w:szCs w:val="18"/>
                <w:lang w:val="it-IT" w:eastAsia="en-US"/>
              </w:rPr>
              <w:lastRenderedPageBreak/>
              <w:t>gaz în anumite condiții în puncte de intrare-ieșire specifice și stabilește următoarele: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limitele privind fluxul de gaz și/sau variația fluxului de gaz;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punctul de intrare și/sau ieșire sau grupurile de puncte de intrare și/sau ieșire cărora li se aplică astfel de limite;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condițiile în care se aplică astfel de limite;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consecințele nerespectării limitelor respective.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b/>
                <w:bCs/>
                <w:sz w:val="18"/>
                <w:szCs w:val="18"/>
                <w:lang w:val="it-IT" w:eastAsia="en-US"/>
              </w:rPr>
            </w:pPr>
            <w:r w:rsidRPr="00981BD4">
              <w:rPr>
                <w:sz w:val="18"/>
                <w:szCs w:val="18"/>
                <w:lang w:val="it-IT" w:eastAsia="en-US"/>
              </w:rPr>
              <w:t>Această obligație vine în completarea oricărui alt acord încheiat cu clienții finali conținând, printre altele, restricții și obligații locale specifice privind fluxul fizic de gaz. </w:t>
            </w:r>
          </w:p>
        </w:tc>
        <w:tc>
          <w:tcPr>
            <w:tcW w:w="4962" w:type="dxa"/>
            <w:shd w:val="clear" w:color="auto" w:fill="auto"/>
          </w:tcPr>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lastRenderedPageBreak/>
              <w:t>Secţiunea 2</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Tipuri de obligaţii intrazilnice</w:t>
            </w:r>
          </w:p>
          <w:p w:rsidR="000B30B1" w:rsidRPr="000B30B1" w:rsidRDefault="000B30B1" w:rsidP="000B30B1">
            <w:pPr>
              <w:textAlignment w:val="baseline"/>
              <w:rPr>
                <w:bCs/>
                <w:sz w:val="18"/>
                <w:szCs w:val="18"/>
                <w:lang w:val="ro-RO" w:eastAsia="en-US"/>
              </w:rPr>
            </w:pPr>
            <w:r w:rsidRPr="000B30B1">
              <w:rPr>
                <w:b/>
                <w:bCs/>
                <w:sz w:val="18"/>
                <w:szCs w:val="18"/>
                <w:lang w:val="ro-RO" w:eastAsia="en-US"/>
              </w:rPr>
              <w:t>528.</w:t>
            </w:r>
            <w:r w:rsidRPr="000B30B1">
              <w:rPr>
                <w:bCs/>
                <w:sz w:val="18"/>
                <w:szCs w:val="18"/>
                <w:lang w:val="ro-RO" w:eastAsia="en-US"/>
              </w:rPr>
              <w:t xml:space="preserve"> Există 3 tipuri de obligaţii intrazilnice, fiecare dintre acestea stimulând utilizatorul de sistem în vederea atingerii unui obiectiv specific în conformitate cu prezentul punct.</w:t>
            </w:r>
          </w:p>
          <w:p w:rsidR="00814BEA" w:rsidRDefault="00814BEA" w:rsidP="000B30B1">
            <w:pPr>
              <w:textAlignment w:val="baseline"/>
              <w:rPr>
                <w:bCs/>
                <w:sz w:val="18"/>
                <w:szCs w:val="18"/>
                <w:lang w:val="ro-RO" w:eastAsia="en-US"/>
              </w:rPr>
            </w:pPr>
          </w:p>
          <w:p w:rsidR="000B30B1" w:rsidRPr="000B30B1" w:rsidRDefault="000B30B1" w:rsidP="000B30B1">
            <w:pPr>
              <w:textAlignment w:val="baseline"/>
              <w:rPr>
                <w:bCs/>
                <w:sz w:val="18"/>
                <w:szCs w:val="18"/>
                <w:lang w:val="ro-RO" w:eastAsia="en-US"/>
              </w:rPr>
            </w:pPr>
            <w:r w:rsidRPr="000B30B1">
              <w:rPr>
                <w:bCs/>
                <w:sz w:val="18"/>
                <w:szCs w:val="18"/>
                <w:lang w:val="ro-RO" w:eastAsia="en-US"/>
              </w:rPr>
              <w:t>1) Obligaţie intrazilnică la nivel de sistem.</w:t>
            </w:r>
          </w:p>
          <w:p w:rsidR="000B30B1" w:rsidRPr="000B30B1" w:rsidRDefault="000B30B1" w:rsidP="000B30B1">
            <w:pPr>
              <w:textAlignment w:val="baseline"/>
              <w:rPr>
                <w:bCs/>
                <w:sz w:val="18"/>
                <w:szCs w:val="18"/>
                <w:lang w:val="ro-RO" w:eastAsia="en-US"/>
              </w:rPr>
            </w:pPr>
            <w:r w:rsidRPr="000B30B1">
              <w:rPr>
                <w:bCs/>
                <w:sz w:val="18"/>
                <w:szCs w:val="18"/>
                <w:lang w:val="ro-RO" w:eastAsia="en-US"/>
              </w:rPr>
              <w:t>Această obligaţie este prevăzută în vederea acordării de stimulente utilizatorilor de sistem pentru menţinerea reţelei de transport în limitele sale operaţionale şi stabileşte următoarele:</w:t>
            </w:r>
          </w:p>
          <w:p w:rsidR="000B30B1" w:rsidRPr="000B30B1" w:rsidRDefault="000B30B1" w:rsidP="000B30B1">
            <w:pPr>
              <w:textAlignment w:val="baseline"/>
              <w:rPr>
                <w:bCs/>
                <w:sz w:val="18"/>
                <w:szCs w:val="18"/>
                <w:lang w:val="ro-RO" w:eastAsia="en-US"/>
              </w:rPr>
            </w:pPr>
            <w:r w:rsidRPr="000B30B1">
              <w:rPr>
                <w:bCs/>
                <w:sz w:val="18"/>
                <w:szCs w:val="18"/>
                <w:lang w:val="ro-RO" w:eastAsia="en-US"/>
              </w:rPr>
              <w:t>a) limitele operaţionale ale reţelei de transport al gazelor naturale între care trebuie să se menţină aceasta;</w:t>
            </w:r>
          </w:p>
          <w:p w:rsidR="000B30B1" w:rsidRPr="000B30B1" w:rsidRDefault="000B30B1" w:rsidP="000B30B1">
            <w:pPr>
              <w:textAlignment w:val="baseline"/>
              <w:rPr>
                <w:bCs/>
                <w:sz w:val="18"/>
                <w:szCs w:val="18"/>
                <w:lang w:val="ro-RO" w:eastAsia="en-US"/>
              </w:rPr>
            </w:pPr>
            <w:r w:rsidRPr="000B30B1">
              <w:rPr>
                <w:bCs/>
                <w:sz w:val="18"/>
                <w:szCs w:val="18"/>
                <w:lang w:val="ro-RO" w:eastAsia="en-US"/>
              </w:rPr>
              <w:t>b) acţiunile pe care utilizatorii de sistem le pot întreprinde pentru a menţine reţeaua de transport în limitele operaţionale;</w:t>
            </w:r>
          </w:p>
          <w:p w:rsidR="000B30B1" w:rsidRPr="000B30B1" w:rsidRDefault="000B30B1" w:rsidP="000B30B1">
            <w:pPr>
              <w:textAlignment w:val="baseline"/>
              <w:rPr>
                <w:bCs/>
                <w:sz w:val="18"/>
                <w:szCs w:val="18"/>
                <w:lang w:val="ro-RO" w:eastAsia="en-US"/>
              </w:rPr>
            </w:pPr>
            <w:r w:rsidRPr="000B30B1">
              <w:rPr>
                <w:bCs/>
                <w:sz w:val="18"/>
                <w:szCs w:val="18"/>
                <w:lang w:val="ro-RO" w:eastAsia="en-US"/>
              </w:rPr>
              <w:t>c) acţiunile de echilibrare întreprinse în consecinţă de OST atunci când limitele operaţionale ale reţelei de transport al gazelor naturale sunt aproape atinse sau chiar atinse;</w:t>
            </w:r>
          </w:p>
          <w:p w:rsidR="000B30B1" w:rsidRPr="000B30B1" w:rsidRDefault="000B30B1" w:rsidP="000B30B1">
            <w:pPr>
              <w:textAlignment w:val="baseline"/>
              <w:rPr>
                <w:bCs/>
                <w:sz w:val="18"/>
                <w:szCs w:val="18"/>
                <w:lang w:val="ro-RO" w:eastAsia="en-US"/>
              </w:rPr>
            </w:pPr>
            <w:r w:rsidRPr="000B30B1">
              <w:rPr>
                <w:bCs/>
                <w:sz w:val="18"/>
                <w:szCs w:val="18"/>
                <w:lang w:val="ro-RO" w:eastAsia="en-US"/>
              </w:rPr>
              <w:t>d) atribuirea costurilor şi/sau a veniturilor în rândul utilizatorilor de sistem şi/sau consecinţele asupra poziţiei intrazilnice a respectivilor utilizatori de sistem, rezultate în urma acţiunilor de echilibrare întreprinse de către OST;</w:t>
            </w:r>
          </w:p>
          <w:p w:rsidR="000B30B1" w:rsidRPr="000B30B1" w:rsidRDefault="000B30B1" w:rsidP="000B30B1">
            <w:pPr>
              <w:textAlignment w:val="baseline"/>
              <w:rPr>
                <w:bCs/>
                <w:sz w:val="18"/>
                <w:szCs w:val="18"/>
                <w:lang w:val="ro-RO" w:eastAsia="en-US"/>
              </w:rPr>
            </w:pPr>
            <w:r w:rsidRPr="000B30B1">
              <w:rPr>
                <w:bCs/>
                <w:sz w:val="18"/>
                <w:szCs w:val="18"/>
                <w:lang w:val="ro-RO" w:eastAsia="en-US"/>
              </w:rPr>
              <w:t>e) plata aferentă care se bazează pe poziţia individuală intrazilnică a utilizatorului de sistem.</w:t>
            </w:r>
          </w:p>
          <w:p w:rsidR="00814BEA" w:rsidRDefault="00814BEA" w:rsidP="000B30B1">
            <w:pPr>
              <w:textAlignment w:val="baseline"/>
              <w:rPr>
                <w:bCs/>
                <w:sz w:val="18"/>
                <w:szCs w:val="18"/>
                <w:lang w:val="ro-RO" w:eastAsia="en-US"/>
              </w:rPr>
            </w:pPr>
          </w:p>
          <w:p w:rsidR="000B30B1" w:rsidRPr="000B30B1" w:rsidRDefault="000B30B1" w:rsidP="000B30B1">
            <w:pPr>
              <w:textAlignment w:val="baseline"/>
              <w:rPr>
                <w:bCs/>
                <w:sz w:val="18"/>
                <w:szCs w:val="18"/>
                <w:lang w:val="ro-RO" w:eastAsia="en-US"/>
              </w:rPr>
            </w:pPr>
            <w:r w:rsidRPr="000B30B1">
              <w:rPr>
                <w:bCs/>
                <w:sz w:val="18"/>
                <w:szCs w:val="18"/>
                <w:lang w:val="ro-RO" w:eastAsia="en-US"/>
              </w:rPr>
              <w:t>2) Obligaţie intrazilnică cu privire la portofoliul de echilibrare</w:t>
            </w:r>
          </w:p>
          <w:p w:rsidR="000B30B1" w:rsidRPr="000B30B1" w:rsidRDefault="000B30B1" w:rsidP="000B30B1">
            <w:pPr>
              <w:textAlignment w:val="baseline"/>
              <w:rPr>
                <w:bCs/>
                <w:sz w:val="18"/>
                <w:szCs w:val="18"/>
                <w:lang w:val="ro-RO" w:eastAsia="en-US"/>
              </w:rPr>
            </w:pPr>
            <w:r w:rsidRPr="000B30B1">
              <w:rPr>
                <w:bCs/>
                <w:sz w:val="18"/>
                <w:szCs w:val="18"/>
                <w:lang w:val="ro-RO" w:eastAsia="en-US"/>
              </w:rPr>
              <w:t>Această obligaţie are scopul a stimula utilizatorii de sistem să îşi menţină poziţia lor individuală pe durata zilei gaziere într-un interval stabilit anterior cuprinzând următoarele elemente:</w:t>
            </w:r>
          </w:p>
          <w:p w:rsidR="000B30B1" w:rsidRPr="000B30B1" w:rsidRDefault="000B30B1" w:rsidP="000B30B1">
            <w:pPr>
              <w:textAlignment w:val="baseline"/>
              <w:rPr>
                <w:bCs/>
                <w:sz w:val="18"/>
                <w:szCs w:val="18"/>
                <w:lang w:val="ro-RO" w:eastAsia="en-US"/>
              </w:rPr>
            </w:pPr>
            <w:r w:rsidRPr="000B30B1">
              <w:rPr>
                <w:bCs/>
                <w:sz w:val="18"/>
                <w:szCs w:val="18"/>
                <w:lang w:val="ro-RO" w:eastAsia="en-US"/>
              </w:rPr>
              <w:t>a) pentru fiecare portofoliu de echilibrare, intervalul în care trebuie să se înscrie acesta;</w:t>
            </w:r>
          </w:p>
          <w:p w:rsidR="000B30B1" w:rsidRPr="000B30B1" w:rsidRDefault="000B30B1" w:rsidP="000B30B1">
            <w:pPr>
              <w:textAlignment w:val="baseline"/>
              <w:rPr>
                <w:bCs/>
                <w:sz w:val="18"/>
                <w:szCs w:val="18"/>
                <w:lang w:val="ro-RO" w:eastAsia="en-US"/>
              </w:rPr>
            </w:pPr>
            <w:r w:rsidRPr="000B30B1">
              <w:rPr>
                <w:bCs/>
                <w:sz w:val="18"/>
                <w:szCs w:val="18"/>
                <w:lang w:val="ro-RO" w:eastAsia="en-US"/>
              </w:rPr>
              <w:t>b) modalitatea prin care se determină intervalul menţionat mai sus;</w:t>
            </w:r>
          </w:p>
          <w:p w:rsidR="000B30B1" w:rsidRPr="000B30B1" w:rsidRDefault="000B30B1" w:rsidP="000B30B1">
            <w:pPr>
              <w:textAlignment w:val="baseline"/>
              <w:rPr>
                <w:bCs/>
                <w:sz w:val="18"/>
                <w:szCs w:val="18"/>
                <w:lang w:val="ro-RO" w:eastAsia="en-US"/>
              </w:rPr>
            </w:pPr>
            <w:r w:rsidRPr="000B30B1">
              <w:rPr>
                <w:bCs/>
                <w:sz w:val="18"/>
                <w:szCs w:val="18"/>
                <w:lang w:val="ro-RO" w:eastAsia="en-US"/>
              </w:rPr>
              <w:t>c) consecinţele pentru utilizatorii de sistem care nu se menţin în intervalul definit şi, după caz, detaliile privind modul în care se stabileşte (calculează) o plată corespunzătoare;</w:t>
            </w:r>
          </w:p>
          <w:p w:rsidR="000B30B1" w:rsidRPr="000B30B1" w:rsidRDefault="000B30B1" w:rsidP="000B30B1">
            <w:pPr>
              <w:textAlignment w:val="baseline"/>
              <w:rPr>
                <w:bCs/>
                <w:sz w:val="18"/>
                <w:szCs w:val="18"/>
                <w:lang w:val="ro-RO" w:eastAsia="en-US"/>
              </w:rPr>
            </w:pPr>
            <w:r w:rsidRPr="000B30B1">
              <w:rPr>
                <w:bCs/>
                <w:sz w:val="18"/>
                <w:szCs w:val="18"/>
                <w:lang w:val="ro-RO" w:eastAsia="en-US"/>
              </w:rPr>
              <w:t>d) plata aferentă care se bazează pe poziţia individuală în cursul zilei a utilizatorului de sistem.</w:t>
            </w:r>
          </w:p>
          <w:p w:rsidR="000B30B1" w:rsidRPr="000B30B1" w:rsidRDefault="000B30B1" w:rsidP="000B30B1">
            <w:pPr>
              <w:textAlignment w:val="baseline"/>
              <w:rPr>
                <w:bCs/>
                <w:sz w:val="18"/>
                <w:szCs w:val="18"/>
                <w:lang w:val="ro-RO" w:eastAsia="en-US"/>
              </w:rPr>
            </w:pPr>
            <w:r w:rsidRPr="000B30B1">
              <w:rPr>
                <w:bCs/>
                <w:sz w:val="18"/>
                <w:szCs w:val="18"/>
                <w:lang w:val="ro-RO" w:eastAsia="en-US"/>
              </w:rPr>
              <w:t>3) Obligaţie intrazilnică la punctul de intrare-ieşire;</w:t>
            </w:r>
          </w:p>
          <w:p w:rsidR="000B30B1" w:rsidRPr="000B30B1" w:rsidRDefault="000B30B1" w:rsidP="000B30B1">
            <w:pPr>
              <w:textAlignment w:val="baseline"/>
              <w:rPr>
                <w:bCs/>
                <w:sz w:val="18"/>
                <w:szCs w:val="18"/>
                <w:lang w:val="ro-RO" w:eastAsia="en-US"/>
              </w:rPr>
            </w:pPr>
            <w:r w:rsidRPr="000B30B1">
              <w:rPr>
                <w:bCs/>
                <w:sz w:val="18"/>
                <w:szCs w:val="18"/>
                <w:lang w:val="ro-RO" w:eastAsia="en-US"/>
              </w:rPr>
              <w:t xml:space="preserve">Scopul acestei obligaţii este de a oferi stimulente utilizatorilor de sistem în vederea limitării fluxului de gaze naturale sau a variaţiei fluxului de gaze naturale în anumite condiţii specifice ce </w:t>
            </w:r>
            <w:r w:rsidRPr="000B30B1">
              <w:rPr>
                <w:bCs/>
                <w:sz w:val="18"/>
                <w:szCs w:val="18"/>
                <w:lang w:val="ro-RO" w:eastAsia="en-US"/>
              </w:rPr>
              <w:lastRenderedPageBreak/>
              <w:t>apar la anumite puncte de intrare-ieşire şi cuprinde următoarele elemente:</w:t>
            </w:r>
          </w:p>
          <w:p w:rsidR="000B30B1" w:rsidRPr="000B30B1" w:rsidRDefault="000B30B1" w:rsidP="000B30B1">
            <w:pPr>
              <w:textAlignment w:val="baseline"/>
              <w:rPr>
                <w:bCs/>
                <w:sz w:val="18"/>
                <w:szCs w:val="18"/>
                <w:lang w:val="ro-RO" w:eastAsia="en-US"/>
              </w:rPr>
            </w:pPr>
            <w:r w:rsidRPr="000B30B1">
              <w:rPr>
                <w:bCs/>
                <w:sz w:val="18"/>
                <w:szCs w:val="18"/>
                <w:lang w:val="ro-RO" w:eastAsia="en-US"/>
              </w:rPr>
              <w:t>a) limitele privind fluxul de gaze naturale şi/sau variaţia fluxului de gaze naturale;</w:t>
            </w:r>
          </w:p>
          <w:p w:rsidR="000B30B1" w:rsidRPr="000B30B1" w:rsidRDefault="000B30B1" w:rsidP="000B30B1">
            <w:pPr>
              <w:textAlignment w:val="baseline"/>
              <w:rPr>
                <w:bCs/>
                <w:sz w:val="18"/>
                <w:szCs w:val="18"/>
                <w:lang w:val="ro-RO" w:eastAsia="en-US"/>
              </w:rPr>
            </w:pPr>
            <w:r w:rsidRPr="000B30B1">
              <w:rPr>
                <w:bCs/>
                <w:sz w:val="18"/>
                <w:szCs w:val="18"/>
                <w:lang w:val="ro-RO" w:eastAsia="en-US"/>
              </w:rPr>
              <w:t>b) punctul de intrare şi/sau ieşire sau grupurile de puncte de intrare şi/sau ieşire cărora li se aplică astfel de limite;</w:t>
            </w:r>
          </w:p>
          <w:p w:rsidR="000B30B1" w:rsidRPr="000B30B1" w:rsidRDefault="000B30B1" w:rsidP="000B30B1">
            <w:pPr>
              <w:textAlignment w:val="baseline"/>
              <w:rPr>
                <w:bCs/>
                <w:sz w:val="18"/>
                <w:szCs w:val="18"/>
                <w:lang w:val="ro-RO" w:eastAsia="en-US"/>
              </w:rPr>
            </w:pPr>
            <w:r w:rsidRPr="000B30B1">
              <w:rPr>
                <w:bCs/>
                <w:sz w:val="18"/>
                <w:szCs w:val="18"/>
                <w:lang w:val="ro-RO" w:eastAsia="en-US"/>
              </w:rPr>
              <w:t>c) condiţiile în care se aplică aceste limite;</w:t>
            </w:r>
          </w:p>
          <w:p w:rsidR="000B30B1" w:rsidRPr="000B30B1" w:rsidRDefault="000B30B1" w:rsidP="000B30B1">
            <w:pPr>
              <w:textAlignment w:val="baseline"/>
              <w:rPr>
                <w:bCs/>
                <w:sz w:val="18"/>
                <w:szCs w:val="18"/>
                <w:lang w:val="ro-RO" w:eastAsia="en-US"/>
              </w:rPr>
            </w:pPr>
            <w:r w:rsidRPr="000B30B1">
              <w:rPr>
                <w:bCs/>
                <w:sz w:val="18"/>
                <w:szCs w:val="18"/>
                <w:lang w:val="ro-RO" w:eastAsia="en-US"/>
              </w:rPr>
              <w:t>d) consecinţele nerespectării acestor limite.</w:t>
            </w:r>
          </w:p>
          <w:p w:rsidR="000B30B1" w:rsidRPr="000B30B1" w:rsidRDefault="000B30B1" w:rsidP="000B30B1">
            <w:pPr>
              <w:textAlignment w:val="baseline"/>
              <w:rPr>
                <w:bCs/>
                <w:sz w:val="18"/>
                <w:szCs w:val="18"/>
                <w:lang w:val="ro-RO" w:eastAsia="en-US"/>
              </w:rPr>
            </w:pPr>
            <w:r w:rsidRPr="000B30B1">
              <w:rPr>
                <w:bCs/>
                <w:sz w:val="18"/>
                <w:szCs w:val="18"/>
                <w:lang w:val="ro-RO" w:eastAsia="en-US"/>
              </w:rPr>
              <w:t xml:space="preserve">Această obligaţie vine în completarea oricărui alt acord încheiat cu consumatorii finali care prevăd, printre altele, restricţii şi obligaţii localizate specifice privind fluxul fizic de gaze naturale. </w:t>
            </w:r>
          </w:p>
          <w:p w:rsidR="0052621F" w:rsidRPr="000B30B1" w:rsidRDefault="0052621F" w:rsidP="000B30B1">
            <w:pPr>
              <w:textAlignment w:val="baseline"/>
              <w:rPr>
                <w:b/>
                <w:bCs/>
                <w:sz w:val="18"/>
                <w:szCs w:val="18"/>
                <w:lang w:val="ro-RO" w:eastAsia="en-US"/>
              </w:rPr>
            </w:pPr>
          </w:p>
        </w:tc>
        <w:tc>
          <w:tcPr>
            <w:tcW w:w="1275" w:type="dxa"/>
            <w:shd w:val="clear" w:color="auto" w:fill="auto"/>
          </w:tcPr>
          <w:p w:rsidR="0052621F" w:rsidRPr="00380C00" w:rsidRDefault="0052621F" w:rsidP="00DA725A">
            <w:pPr>
              <w:jc w:val="both"/>
              <w:rPr>
                <w:b/>
                <w:sz w:val="18"/>
                <w:szCs w:val="18"/>
                <w:lang w:val="ro-RO"/>
              </w:rPr>
            </w:pPr>
          </w:p>
          <w:p w:rsidR="00826EF3" w:rsidRPr="00380C00" w:rsidRDefault="00826EF3" w:rsidP="00DA725A">
            <w:pPr>
              <w:jc w:val="both"/>
              <w:rPr>
                <w:b/>
                <w:sz w:val="18"/>
                <w:szCs w:val="18"/>
                <w:lang w:val="ro-RO"/>
              </w:rPr>
            </w:pPr>
          </w:p>
          <w:p w:rsidR="00826EF3" w:rsidRDefault="00826EF3" w:rsidP="00DA725A">
            <w:pPr>
              <w:jc w:val="both"/>
              <w:rPr>
                <w:sz w:val="18"/>
                <w:szCs w:val="18"/>
              </w:rPr>
            </w:pPr>
            <w:r w:rsidRPr="00E55B82">
              <w:rPr>
                <w:sz w:val="18"/>
                <w:szCs w:val="18"/>
              </w:rPr>
              <w:t>Compatibil</w:t>
            </w: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7A512E" w:rsidRDefault="007A512E" w:rsidP="00DA725A">
            <w:pPr>
              <w:jc w:val="both"/>
              <w:rPr>
                <w:sz w:val="18"/>
                <w:szCs w:val="18"/>
              </w:rPr>
            </w:pPr>
          </w:p>
          <w:p w:rsidR="007A512E" w:rsidRDefault="007A512E" w:rsidP="00DA725A">
            <w:pPr>
              <w:jc w:val="both"/>
              <w:rPr>
                <w:sz w:val="18"/>
                <w:szCs w:val="18"/>
              </w:rPr>
            </w:pPr>
          </w:p>
          <w:p w:rsidR="007A512E" w:rsidRDefault="007A512E"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55152A" w:rsidRDefault="0055152A" w:rsidP="00DA725A">
            <w:pPr>
              <w:jc w:val="both"/>
              <w:rPr>
                <w:sz w:val="18"/>
                <w:szCs w:val="18"/>
              </w:rPr>
            </w:pPr>
          </w:p>
          <w:p w:rsidR="0055152A" w:rsidRDefault="0055152A"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r w:rsidRPr="00E55B82">
              <w:rPr>
                <w:sz w:val="18"/>
                <w:szCs w:val="18"/>
              </w:rPr>
              <w:t>Compatibil</w:t>
            </w: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55152A" w:rsidRDefault="0055152A" w:rsidP="00DA725A">
            <w:pPr>
              <w:jc w:val="both"/>
              <w:rPr>
                <w:b/>
                <w:sz w:val="18"/>
                <w:szCs w:val="18"/>
                <w:lang w:val="it-IT"/>
              </w:rPr>
            </w:pPr>
          </w:p>
          <w:p w:rsidR="0055152A" w:rsidRDefault="0055152A"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sz w:val="18"/>
                <w:szCs w:val="18"/>
              </w:rPr>
            </w:pPr>
            <w:r w:rsidRPr="00E55B82">
              <w:rPr>
                <w:sz w:val="18"/>
                <w:szCs w:val="18"/>
              </w:rPr>
              <w:t>Compatibil</w:t>
            </w: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Pr="00D82EE4" w:rsidRDefault="00C9754B" w:rsidP="00DA725A">
            <w:pPr>
              <w:jc w:val="both"/>
              <w:rPr>
                <w:b/>
                <w:sz w:val="18"/>
                <w:szCs w:val="18"/>
                <w:lang w:val="it-IT"/>
              </w:rPr>
            </w:pPr>
          </w:p>
        </w:tc>
        <w:tc>
          <w:tcPr>
            <w:tcW w:w="4253" w:type="dxa"/>
            <w:shd w:val="clear" w:color="auto" w:fill="auto"/>
          </w:tcPr>
          <w:p w:rsidR="0052621F" w:rsidRPr="00E84D74" w:rsidRDefault="0052621F" w:rsidP="00DA725A">
            <w:pPr>
              <w:autoSpaceDE w:val="0"/>
              <w:autoSpaceDN w:val="0"/>
              <w:adjustRightInd w:val="0"/>
              <w:jc w:val="center"/>
              <w:rPr>
                <w:b/>
                <w:bCs/>
                <w:i/>
                <w:iCs/>
                <w:sz w:val="18"/>
                <w:szCs w:val="18"/>
              </w:rPr>
            </w:pPr>
            <w:r w:rsidRPr="00E84D74">
              <w:rPr>
                <w:b/>
                <w:bCs/>
                <w:i/>
                <w:iCs/>
                <w:sz w:val="18"/>
                <w:szCs w:val="18"/>
              </w:rPr>
              <w:lastRenderedPageBreak/>
              <w:t>Article 25</w:t>
            </w:r>
          </w:p>
          <w:p w:rsidR="0052621F" w:rsidRPr="00E84D74" w:rsidRDefault="0052621F" w:rsidP="00DA725A">
            <w:pPr>
              <w:autoSpaceDE w:val="0"/>
              <w:autoSpaceDN w:val="0"/>
              <w:adjustRightInd w:val="0"/>
              <w:jc w:val="center"/>
              <w:rPr>
                <w:b/>
                <w:bCs/>
                <w:sz w:val="18"/>
                <w:szCs w:val="18"/>
              </w:rPr>
            </w:pPr>
            <w:r w:rsidRPr="00E84D74">
              <w:rPr>
                <w:b/>
                <w:bCs/>
                <w:sz w:val="18"/>
                <w:szCs w:val="18"/>
              </w:rPr>
              <w:t>Types of within day obligations</w:t>
            </w:r>
          </w:p>
          <w:p w:rsidR="0052621F" w:rsidRPr="00E84D74" w:rsidRDefault="0052621F" w:rsidP="00DA725A">
            <w:pPr>
              <w:autoSpaceDE w:val="0"/>
              <w:autoSpaceDN w:val="0"/>
              <w:adjustRightInd w:val="0"/>
              <w:rPr>
                <w:sz w:val="18"/>
                <w:szCs w:val="18"/>
              </w:rPr>
            </w:pPr>
            <w:r w:rsidRPr="00E84D74">
              <w:rPr>
                <w:sz w:val="18"/>
                <w:szCs w:val="18"/>
              </w:rPr>
              <w:t>There are three types of within day obligations, each incentivising the network user for a specific objective as set out in this Article:</w:t>
            </w:r>
          </w:p>
          <w:p w:rsidR="0052621F" w:rsidRPr="00E84D74" w:rsidRDefault="0052621F" w:rsidP="00DA725A">
            <w:pPr>
              <w:autoSpaceDE w:val="0"/>
              <w:autoSpaceDN w:val="0"/>
              <w:adjustRightInd w:val="0"/>
              <w:rPr>
                <w:sz w:val="18"/>
                <w:szCs w:val="18"/>
              </w:rPr>
            </w:pPr>
            <w:r w:rsidRPr="00E84D74">
              <w:rPr>
                <w:sz w:val="18"/>
                <w:szCs w:val="18"/>
              </w:rPr>
              <w:t>(1) System-wide within day obligation shall be designed to provide incentives for network users to keep the transmission network within its operational limits and shall set out the following:</w:t>
            </w:r>
          </w:p>
          <w:p w:rsidR="0052621F" w:rsidRPr="00E84D74" w:rsidRDefault="0052621F" w:rsidP="00DA725A">
            <w:pPr>
              <w:autoSpaceDE w:val="0"/>
              <w:autoSpaceDN w:val="0"/>
              <w:adjustRightInd w:val="0"/>
              <w:rPr>
                <w:sz w:val="18"/>
                <w:szCs w:val="18"/>
              </w:rPr>
            </w:pPr>
            <w:r w:rsidRPr="00E84D74">
              <w:rPr>
                <w:sz w:val="18"/>
                <w:szCs w:val="18"/>
              </w:rPr>
              <w:t>(a) the operational limits of the transmission network within which it has to remain;</w:t>
            </w:r>
          </w:p>
          <w:p w:rsidR="0052621F" w:rsidRPr="00E84D74" w:rsidRDefault="0052621F" w:rsidP="00DA725A">
            <w:pPr>
              <w:autoSpaceDE w:val="0"/>
              <w:autoSpaceDN w:val="0"/>
              <w:adjustRightInd w:val="0"/>
              <w:rPr>
                <w:sz w:val="18"/>
                <w:szCs w:val="18"/>
              </w:rPr>
            </w:pPr>
            <w:r w:rsidRPr="00E84D74">
              <w:rPr>
                <w:sz w:val="18"/>
                <w:szCs w:val="18"/>
              </w:rPr>
              <w:t>(b) the actions the network users can undertake to keep the transmission network within the operational limits;</w:t>
            </w:r>
          </w:p>
          <w:p w:rsidR="0052621F" w:rsidRPr="00E84D74" w:rsidRDefault="0052621F" w:rsidP="00DA725A">
            <w:pPr>
              <w:autoSpaceDE w:val="0"/>
              <w:autoSpaceDN w:val="0"/>
              <w:adjustRightInd w:val="0"/>
              <w:rPr>
                <w:sz w:val="18"/>
                <w:szCs w:val="18"/>
              </w:rPr>
            </w:pPr>
            <w:r w:rsidRPr="00E84D74">
              <w:rPr>
                <w:sz w:val="18"/>
                <w:szCs w:val="18"/>
              </w:rPr>
              <w:t>(c) the consequential balancing actions of the transmission system operator when the operational limits of the transmission network are approached or reached;</w:t>
            </w:r>
          </w:p>
          <w:p w:rsidR="0052621F" w:rsidRPr="00E84D74" w:rsidRDefault="0052621F" w:rsidP="00DA725A">
            <w:pPr>
              <w:autoSpaceDE w:val="0"/>
              <w:autoSpaceDN w:val="0"/>
              <w:adjustRightInd w:val="0"/>
              <w:rPr>
                <w:sz w:val="18"/>
                <w:szCs w:val="18"/>
              </w:rPr>
            </w:pPr>
            <w:r w:rsidRPr="00E84D74">
              <w:rPr>
                <w:sz w:val="18"/>
                <w:szCs w:val="18"/>
              </w:rPr>
              <w:t>(d) the attribution of costs and/or revenues to the network users and/or consequences on the within day position of these network users resulting from balancing actions undertaken by the transmission system operator;</w:t>
            </w:r>
          </w:p>
          <w:p w:rsidR="0052621F" w:rsidRPr="00E84D74" w:rsidRDefault="0052621F" w:rsidP="00DA725A">
            <w:pPr>
              <w:autoSpaceDE w:val="0"/>
              <w:autoSpaceDN w:val="0"/>
              <w:adjustRightInd w:val="0"/>
              <w:rPr>
                <w:sz w:val="18"/>
                <w:szCs w:val="18"/>
              </w:rPr>
            </w:pPr>
            <w:r w:rsidRPr="00E84D74">
              <w:rPr>
                <w:sz w:val="18"/>
                <w:szCs w:val="18"/>
              </w:rPr>
              <w:t>(e) the related charge which shall be based on the individual within day position of the network user.</w:t>
            </w:r>
          </w:p>
          <w:p w:rsidR="0052621F" w:rsidRPr="00E84D74" w:rsidRDefault="0052621F" w:rsidP="00DA725A">
            <w:pPr>
              <w:autoSpaceDE w:val="0"/>
              <w:autoSpaceDN w:val="0"/>
              <w:adjustRightInd w:val="0"/>
              <w:rPr>
                <w:sz w:val="18"/>
                <w:szCs w:val="18"/>
              </w:rPr>
            </w:pPr>
            <w:r w:rsidRPr="00E84D74">
              <w:rPr>
                <w:sz w:val="18"/>
                <w:szCs w:val="18"/>
              </w:rPr>
              <w:t>(2) Balancing portfolio within day obligation shall be designed to incentivise network users to keep their individual position during the gas day within a pre-defined range and shall set out the following:</w:t>
            </w:r>
          </w:p>
          <w:p w:rsidR="0052621F" w:rsidRPr="00E84D74" w:rsidRDefault="0052621F" w:rsidP="00DA725A">
            <w:pPr>
              <w:autoSpaceDE w:val="0"/>
              <w:autoSpaceDN w:val="0"/>
              <w:adjustRightInd w:val="0"/>
              <w:rPr>
                <w:sz w:val="18"/>
                <w:szCs w:val="18"/>
              </w:rPr>
            </w:pPr>
            <w:r w:rsidRPr="00E84D74">
              <w:rPr>
                <w:sz w:val="18"/>
                <w:szCs w:val="18"/>
              </w:rPr>
              <w:t xml:space="preserve">(a) for each balancing portfolio the range within which this balancing portfolio has to stay; </w:t>
            </w:r>
          </w:p>
          <w:p w:rsidR="0052621F" w:rsidRPr="00E84D74" w:rsidRDefault="0052621F" w:rsidP="00DA725A">
            <w:pPr>
              <w:autoSpaceDE w:val="0"/>
              <w:autoSpaceDN w:val="0"/>
              <w:adjustRightInd w:val="0"/>
              <w:rPr>
                <w:sz w:val="18"/>
                <w:szCs w:val="18"/>
              </w:rPr>
            </w:pPr>
            <w:r w:rsidRPr="00E84D74">
              <w:rPr>
                <w:sz w:val="18"/>
                <w:szCs w:val="18"/>
              </w:rPr>
              <w:t>(b) how the range referred to above is determined;</w:t>
            </w:r>
          </w:p>
          <w:p w:rsidR="0052621F" w:rsidRPr="00E84D74" w:rsidRDefault="0052621F" w:rsidP="00DA725A">
            <w:pPr>
              <w:autoSpaceDE w:val="0"/>
              <w:autoSpaceDN w:val="0"/>
              <w:adjustRightInd w:val="0"/>
              <w:rPr>
                <w:sz w:val="18"/>
                <w:szCs w:val="18"/>
              </w:rPr>
            </w:pPr>
            <w:r w:rsidRPr="00E84D74">
              <w:rPr>
                <w:sz w:val="18"/>
                <w:szCs w:val="18"/>
              </w:rPr>
              <w:t>(c) the consequences for network users not staying within the defined range and, where appropriate, details of how any corresponding charge is derived;</w:t>
            </w:r>
          </w:p>
          <w:p w:rsidR="0052621F" w:rsidRPr="00E84D74" w:rsidRDefault="0052621F" w:rsidP="00DA725A">
            <w:pPr>
              <w:autoSpaceDE w:val="0"/>
              <w:autoSpaceDN w:val="0"/>
              <w:adjustRightInd w:val="0"/>
              <w:rPr>
                <w:sz w:val="18"/>
                <w:szCs w:val="18"/>
              </w:rPr>
            </w:pPr>
            <w:r w:rsidRPr="00E84D74">
              <w:rPr>
                <w:sz w:val="18"/>
                <w:szCs w:val="18"/>
              </w:rPr>
              <w:t>(d) the related charge which shall be based on the individual within day position of the network user.</w:t>
            </w:r>
          </w:p>
          <w:p w:rsidR="0052621F" w:rsidRPr="00E84D74" w:rsidRDefault="0052621F" w:rsidP="00DA725A">
            <w:pPr>
              <w:autoSpaceDE w:val="0"/>
              <w:autoSpaceDN w:val="0"/>
              <w:adjustRightInd w:val="0"/>
              <w:rPr>
                <w:sz w:val="18"/>
                <w:szCs w:val="18"/>
              </w:rPr>
            </w:pPr>
            <w:r w:rsidRPr="00E84D74">
              <w:rPr>
                <w:sz w:val="18"/>
                <w:szCs w:val="18"/>
              </w:rPr>
              <w:t>(3) Entry-exit point within day obligation shall be designed to provide incentives for network users to limit the gas flow or the gas flow variation under specific conditions at specific entry-exit points and shall set out the following:</w:t>
            </w:r>
          </w:p>
          <w:p w:rsidR="0052621F" w:rsidRPr="00E84D74" w:rsidRDefault="0052621F" w:rsidP="00DA725A">
            <w:pPr>
              <w:autoSpaceDE w:val="0"/>
              <w:autoSpaceDN w:val="0"/>
              <w:adjustRightInd w:val="0"/>
              <w:rPr>
                <w:sz w:val="18"/>
                <w:szCs w:val="18"/>
              </w:rPr>
            </w:pPr>
            <w:r w:rsidRPr="00E84D74">
              <w:rPr>
                <w:sz w:val="18"/>
                <w:szCs w:val="18"/>
              </w:rPr>
              <w:lastRenderedPageBreak/>
              <w:t>(a) the limits in the gas flow and/or the gas flow variation;</w:t>
            </w:r>
          </w:p>
          <w:p w:rsidR="0052621F" w:rsidRPr="00E84D74" w:rsidRDefault="0052621F" w:rsidP="00DA725A">
            <w:pPr>
              <w:autoSpaceDE w:val="0"/>
              <w:autoSpaceDN w:val="0"/>
              <w:adjustRightInd w:val="0"/>
              <w:rPr>
                <w:sz w:val="18"/>
                <w:szCs w:val="18"/>
              </w:rPr>
            </w:pPr>
            <w:r w:rsidRPr="00E84D74">
              <w:rPr>
                <w:sz w:val="18"/>
                <w:szCs w:val="18"/>
              </w:rPr>
              <w:t>(b) the entry and/or exit point or groups of entry and/or exit points to which such limits apply;</w:t>
            </w:r>
          </w:p>
          <w:p w:rsidR="0052621F" w:rsidRPr="00E84D74" w:rsidRDefault="0052621F" w:rsidP="00DA725A">
            <w:pPr>
              <w:autoSpaceDE w:val="0"/>
              <w:autoSpaceDN w:val="0"/>
              <w:adjustRightInd w:val="0"/>
              <w:rPr>
                <w:sz w:val="18"/>
                <w:szCs w:val="18"/>
              </w:rPr>
            </w:pPr>
            <w:r w:rsidRPr="00E84D74">
              <w:rPr>
                <w:sz w:val="18"/>
                <w:szCs w:val="18"/>
              </w:rPr>
              <w:t>(c) the conditions under which such limits shall apply;</w:t>
            </w:r>
          </w:p>
          <w:p w:rsidR="0052621F" w:rsidRPr="00E84D74" w:rsidRDefault="0052621F" w:rsidP="00DA725A">
            <w:pPr>
              <w:autoSpaceDE w:val="0"/>
              <w:autoSpaceDN w:val="0"/>
              <w:adjustRightInd w:val="0"/>
              <w:rPr>
                <w:sz w:val="18"/>
                <w:szCs w:val="18"/>
              </w:rPr>
            </w:pPr>
            <w:r w:rsidRPr="00E84D74">
              <w:rPr>
                <w:sz w:val="18"/>
                <w:szCs w:val="18"/>
              </w:rPr>
              <w:t>(d) the consequences of not complying with such limits.</w:t>
            </w:r>
          </w:p>
          <w:p w:rsidR="0052621F" w:rsidRPr="00E84D74" w:rsidRDefault="0052621F" w:rsidP="00DA725A">
            <w:pPr>
              <w:autoSpaceDE w:val="0"/>
              <w:autoSpaceDN w:val="0"/>
              <w:adjustRightInd w:val="0"/>
              <w:rPr>
                <w:b/>
                <w:sz w:val="18"/>
                <w:szCs w:val="18"/>
              </w:rPr>
            </w:pPr>
            <w:r w:rsidRPr="00E84D74">
              <w:rPr>
                <w:sz w:val="18"/>
                <w:szCs w:val="18"/>
              </w:rPr>
              <w:t>This obligation is additional to any other agreements with final costumers containing, amongst other things, localised specific restrictions and obligations regarding the physical gas flow.</w:t>
            </w:r>
          </w:p>
        </w:tc>
      </w:tr>
      <w:tr w:rsidR="00E53B90" w:rsidRPr="00043955" w:rsidTr="00303C1B">
        <w:trPr>
          <w:trHeight w:val="558"/>
        </w:trPr>
        <w:tc>
          <w:tcPr>
            <w:tcW w:w="5245" w:type="dxa"/>
            <w:shd w:val="clear" w:color="auto" w:fill="auto"/>
          </w:tcPr>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26</w:t>
            </w:r>
          </w:p>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t>Cerințe privind obligațiile în cursul zilei</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poate propune autorității naționale de reglementare o obligație în cursul zilei sau o modificare a acesteia. Aceasta poate combina caracteristici ale diferitelor tipuri descrise la articolul 25, cu condiția ca propunerea să îndeplinească criteriile stabilite la alineatul (2). Dreptul operatorului de sistem de transport de a prezenta o astfel de propunere nu aduce atingere dreptului autorității naționale de reglementare de a lua o decizie din proprie inițiativă.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(2)   Orice obligație în cursul zilei trebuie să îndeplinească următoarele criterii: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 obligație în cursul zilei și tariful în cursul zilei aferent, dacă acesta există, nu creează bariere nejustificate în calea comerțului transfrontalier și a intrării pe piața relevantă a unor noi utilizatori ai rețelei;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 obligație în cursul zilei se aplică numai atunci când utilizatorii rețelei primesc informații adecvate anterior aplicării unui potențial tarif în cursul zilei cu privire la intrările și/sau ieșirile acestora și au mijloace rezonabile să acționeze pentru a gestiona expunerea acestora;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costurile principale care urmează să fie suportate de utilizatorii rețelei în legătură cu obligațiile de echilibrare ale acestora se raportează la poziția acestora la sfârșitul zilei gaziere;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în măsura în care este posibil, tarifele în cursul zilei reflectă costurile operatorului de sistem de transport pentru întreprinderea tuturor acțiunilor de echilibrare asociate;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o obligație în cursul zilei nu conduce la o regularizare financiară a utilizatorilor rețelei pe poziția zero pe durata zilei gaziere;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 xml:space="preserve">beneficiile introducerii unei obligații în cursul zilei, în termeni de exploatare viabilă din punct de vedere economic și eficientă a rețelei de transport, depășesc orice impact negativ potențial al acesteia, </w:t>
            </w:r>
            <w:r w:rsidRPr="00981BD4">
              <w:rPr>
                <w:sz w:val="18"/>
                <w:szCs w:val="18"/>
                <w:lang w:val="it-IT" w:eastAsia="en-US"/>
              </w:rPr>
              <w:lastRenderedPageBreak/>
              <w:t>inclusiv asupra lichidității tranzacțiilor la punctul de tranzacționare virtual. </w:t>
            </w:r>
          </w:p>
          <w:p w:rsidR="0055152A" w:rsidRDefault="00E53B90" w:rsidP="00DA725A">
            <w:pPr>
              <w:jc w:val="both"/>
              <w:textAlignment w:val="baseline"/>
              <w:rPr>
                <w:sz w:val="18"/>
                <w:szCs w:val="18"/>
                <w:lang w:val="it-IT" w:eastAsia="en-US"/>
              </w:rPr>
            </w:pPr>
            <w:r w:rsidRPr="00981BD4">
              <w:rPr>
                <w:sz w:val="18"/>
                <w:szCs w:val="18"/>
                <w:lang w:val="it-IT" w:eastAsia="en-US"/>
              </w:rPr>
              <w:t>(3)   Operatorul de sistem de transport poate propune diferite obligații în cursul zilei pentru categorii distincte de puncte de intrare sau ieșire, cu scopul de a oferi stimulente mai bune diverselor categorii de utilizatori ai rețelei pentru a evita subvențiile încrucișate. Dreptul operatorului de sistem de transport de a prezenta o astfel de propunere nu aduce atingere dreptului autorității naționale de reglementare de a lua o decizie din proprie inițiativă</w:t>
            </w:r>
            <w:r w:rsidR="0055152A">
              <w:rPr>
                <w:sz w:val="18"/>
                <w:szCs w:val="18"/>
                <w:lang w:val="it-IT" w:eastAsia="en-US"/>
              </w:rPr>
              <w:t>.</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53B90" w:rsidRDefault="00E53B90" w:rsidP="00DA725A">
            <w:pPr>
              <w:jc w:val="both"/>
              <w:textAlignment w:val="baseline"/>
              <w:rPr>
                <w:sz w:val="18"/>
                <w:szCs w:val="18"/>
                <w:lang w:val="it-IT" w:eastAsia="en-US"/>
              </w:rPr>
            </w:pPr>
            <w:r w:rsidRPr="00981BD4">
              <w:rPr>
                <w:sz w:val="18"/>
                <w:szCs w:val="18"/>
                <w:lang w:val="it-IT" w:eastAsia="en-US"/>
              </w:rPr>
              <w:t>(4)   Operatorul de sistem de transport consultă părțile interesate, inclusiv autoritățile naționale de reglementare, operatorii de sisteme de distribuție și operatorii de sisteme de transport afectați din zone de echilibrare adiacente, cu privire la oricare obligație în cursul zilei pe care intenționează să o introducă, inclusiv metodologia și ipotezele utilizate pentru concluzionarea faptului că aceasta îndeplinește criteriile stabilite la alineatul (2). </w:t>
            </w:r>
          </w:p>
          <w:p w:rsidR="0055152A" w:rsidRPr="00981BD4" w:rsidRDefault="0055152A" w:rsidP="00DA725A">
            <w:pPr>
              <w:jc w:val="both"/>
              <w:textAlignment w:val="baseline"/>
              <w:rPr>
                <w:rFonts w:ascii="Segoe UI" w:hAnsi="Segoe UI" w:cs="Segoe UI"/>
                <w:sz w:val="18"/>
                <w:szCs w:val="18"/>
                <w:lang w:val="it-IT" w:eastAsia="en-US"/>
              </w:rPr>
            </w:pP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(5)   Ca urmare a procesului de consultare, operatorul de sistem de transport elaborează o recomandare care să includă propunerea finală și o analiză: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 necesității obligației în cursul zilei, având în vedere caracteristicile rețelei de transport și flexibilitatea de care dispune operatorul de sistem de transport prin achiziționarea și vânzarea de produse standardizate pe termen scurt sau prin utilizarea de servicii de echilibrare în conformitate cu capitolul III;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 informațiilor disponibile pentru a permite utilizatorilor rețelei să își gestioneze în timp util pozițiile în cursul zilei;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a impactului financiar estimat asupra utilizatorilor rețelei;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a efectului asupra intrării pe piața relevantă a unor noi utilizatori ai rețelei, inclusiv orice impact negativ nejustificat asupra acesteia;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a efectului asupra comerțului transfrontalier, inclusiv impactul potențial asupra echilibrării în zone de echilibrare adiacente;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a impactului asupra pieței angro a gazului pe termen scurt, inclusiv asupra lichidității acesteia; </w:t>
            </w:r>
          </w:p>
          <w:p w:rsidR="001030AE" w:rsidRDefault="00E53B90" w:rsidP="00DA725A">
            <w:pPr>
              <w:jc w:val="both"/>
              <w:textAlignment w:val="baseline"/>
              <w:rPr>
                <w:sz w:val="18"/>
                <w:szCs w:val="18"/>
                <w:lang w:val="it-IT" w:eastAsia="en-US"/>
              </w:rPr>
            </w:pPr>
            <w:r w:rsidRPr="00981BD4">
              <w:rPr>
                <w:sz w:val="18"/>
                <w:szCs w:val="18"/>
                <w:lang w:val="it-IT" w:eastAsia="en-US"/>
              </w:rPr>
              <w:t>(g)</w:t>
            </w:r>
            <w:r w:rsidRPr="00981BD4">
              <w:rPr>
                <w:rFonts w:ascii="Calibri" w:hAnsi="Calibri" w:cs="Calibri"/>
                <w:sz w:val="18"/>
                <w:szCs w:val="18"/>
                <w:lang w:val="it-IT" w:eastAsia="en-US"/>
              </w:rPr>
              <w:t xml:space="preserve"> </w:t>
            </w:r>
            <w:r w:rsidRPr="00981BD4">
              <w:rPr>
                <w:sz w:val="18"/>
                <w:szCs w:val="18"/>
                <w:lang w:val="it-IT" w:eastAsia="en-US"/>
              </w:rPr>
              <w:t>a caracterului nediscriminatoriu al obligației în cursul zilei.</w:t>
            </w:r>
          </w:p>
          <w:p w:rsidR="001030AE" w:rsidRDefault="001030AE" w:rsidP="00DA725A">
            <w:pPr>
              <w:jc w:val="both"/>
              <w:textAlignment w:val="baseline"/>
              <w:rPr>
                <w:sz w:val="18"/>
                <w:szCs w:val="18"/>
                <w:lang w:val="it-IT" w:eastAsia="en-US"/>
              </w:rPr>
            </w:pPr>
          </w:p>
          <w:p w:rsidR="001030AE" w:rsidRDefault="001030AE" w:rsidP="00DA725A">
            <w:pPr>
              <w:jc w:val="both"/>
              <w:textAlignment w:val="baseline"/>
              <w:rPr>
                <w:sz w:val="18"/>
                <w:szCs w:val="18"/>
                <w:lang w:val="it-IT" w:eastAsia="en-US"/>
              </w:rPr>
            </w:pPr>
          </w:p>
          <w:p w:rsidR="001030AE" w:rsidRDefault="001030AE" w:rsidP="00DA725A">
            <w:pPr>
              <w:jc w:val="both"/>
              <w:textAlignment w:val="baseline"/>
              <w:rPr>
                <w:sz w:val="18"/>
                <w:szCs w:val="18"/>
                <w:lang w:val="it-IT" w:eastAsia="en-US"/>
              </w:rPr>
            </w:pPr>
          </w:p>
          <w:p w:rsidR="001030AE" w:rsidRDefault="001030AE" w:rsidP="00DA725A">
            <w:pPr>
              <w:jc w:val="both"/>
              <w:textAlignment w:val="baseline"/>
              <w:rPr>
                <w:sz w:val="18"/>
                <w:szCs w:val="18"/>
                <w:lang w:val="it-IT" w:eastAsia="en-US"/>
              </w:rPr>
            </w:pPr>
          </w:p>
          <w:p w:rsidR="00E53B90" w:rsidRDefault="00E53B90" w:rsidP="00DA725A">
            <w:pPr>
              <w:jc w:val="both"/>
              <w:textAlignment w:val="baseline"/>
              <w:rPr>
                <w:sz w:val="18"/>
                <w:szCs w:val="18"/>
                <w:lang w:val="it-IT" w:eastAsia="en-US"/>
              </w:rPr>
            </w:pPr>
            <w:r w:rsidRPr="00981BD4">
              <w:rPr>
                <w:sz w:val="18"/>
                <w:szCs w:val="18"/>
                <w:lang w:val="it-IT" w:eastAsia="en-US"/>
              </w:rPr>
              <w:t> </w:t>
            </w:r>
          </w:p>
          <w:p w:rsidR="00E53B90" w:rsidRPr="00981BD4" w:rsidRDefault="00E53B90" w:rsidP="00DA725A">
            <w:pPr>
              <w:jc w:val="both"/>
              <w:textAlignment w:val="baseline"/>
              <w:rPr>
                <w:b/>
                <w:bCs/>
                <w:sz w:val="18"/>
                <w:szCs w:val="18"/>
                <w:lang w:val="it-IT" w:eastAsia="en-US"/>
              </w:rPr>
            </w:pPr>
            <w:r w:rsidRPr="00981BD4">
              <w:rPr>
                <w:sz w:val="18"/>
                <w:szCs w:val="18"/>
                <w:lang w:val="it-IT" w:eastAsia="en-US"/>
              </w:rPr>
              <w:t xml:space="preserve">(6)   Operatorul de sistem de transport prezintă recomandarea autorității naționale de reglementare pentru aprobarea propunerii în conformitate cu procedura stabilită la articolul 27. În paralel, operatorul de sistem de transport publică această recomandare, sub rezerva obligațiilor de confidențialitate pe care este posibil să </w:t>
            </w:r>
            <w:r w:rsidRPr="00981BD4">
              <w:rPr>
                <w:sz w:val="18"/>
                <w:szCs w:val="18"/>
                <w:lang w:val="it-IT" w:eastAsia="en-US"/>
              </w:rPr>
              <w:lastRenderedPageBreak/>
              <w:t>trebuiască să le respecte, și o trimite spre informare asociației ENTSOG. </w:t>
            </w:r>
          </w:p>
        </w:tc>
        <w:tc>
          <w:tcPr>
            <w:tcW w:w="4962" w:type="dxa"/>
            <w:shd w:val="clear" w:color="auto" w:fill="auto"/>
          </w:tcPr>
          <w:p w:rsidR="00EC47F8" w:rsidRPr="00EC47F8" w:rsidRDefault="00EC47F8" w:rsidP="00EC47F8">
            <w:pPr>
              <w:textAlignment w:val="baseline"/>
              <w:rPr>
                <w:bCs/>
                <w:sz w:val="18"/>
                <w:szCs w:val="18"/>
                <w:lang w:val="ro-RO" w:eastAsia="en-US"/>
              </w:rPr>
            </w:pPr>
            <w:r w:rsidRPr="00EC47F8">
              <w:rPr>
                <w:b/>
                <w:bCs/>
                <w:sz w:val="18"/>
                <w:szCs w:val="18"/>
                <w:lang w:val="ro-RO" w:eastAsia="en-US"/>
              </w:rPr>
              <w:lastRenderedPageBreak/>
              <w:t>Secţiunea 3</w:t>
            </w:r>
          </w:p>
          <w:p w:rsidR="00EC47F8" w:rsidRPr="00EC47F8" w:rsidRDefault="00EC47F8" w:rsidP="00EC47F8">
            <w:pPr>
              <w:textAlignment w:val="baseline"/>
              <w:rPr>
                <w:bCs/>
                <w:sz w:val="18"/>
                <w:szCs w:val="18"/>
                <w:lang w:val="ro-RO" w:eastAsia="en-US"/>
              </w:rPr>
            </w:pPr>
            <w:r w:rsidRPr="00EC47F8">
              <w:rPr>
                <w:b/>
                <w:bCs/>
                <w:sz w:val="18"/>
                <w:szCs w:val="18"/>
                <w:lang w:val="ro-RO" w:eastAsia="en-US"/>
              </w:rPr>
              <w:t>Cerinţe privind obligaţiile intrazilnice</w:t>
            </w:r>
          </w:p>
          <w:p w:rsidR="00EC47F8" w:rsidRPr="00EC47F8" w:rsidRDefault="00EC47F8" w:rsidP="00EC47F8">
            <w:pPr>
              <w:textAlignment w:val="baseline"/>
              <w:rPr>
                <w:bCs/>
                <w:sz w:val="18"/>
                <w:szCs w:val="18"/>
                <w:lang w:val="ro-RO" w:eastAsia="en-US"/>
              </w:rPr>
            </w:pPr>
            <w:r w:rsidRPr="00EC47F8">
              <w:rPr>
                <w:b/>
                <w:bCs/>
                <w:sz w:val="18"/>
                <w:szCs w:val="18"/>
                <w:lang w:val="ro-RO" w:eastAsia="en-US"/>
              </w:rPr>
              <w:t>529.</w:t>
            </w:r>
            <w:r w:rsidRPr="00EC47F8">
              <w:rPr>
                <w:bCs/>
                <w:sz w:val="18"/>
                <w:szCs w:val="18"/>
                <w:lang w:val="ro-RO" w:eastAsia="en-US"/>
              </w:rPr>
              <w:t xml:space="preserve"> OST poate propune Agenţiei o obligaţie intrazilnică sau o modificare a acesteia. Aceasta poate combina caracteristici ale diferitelor tipuri de obligaţii intrazilnice descrise Secţiunea 2 al prezentului Capitol, cu condiţia ca propunerea să îndeplinească criteriile stabilite la pct.531. Dreptul OST de a prezenta o astfel de propunere nu aduce atingere dreptului Agenţiei de a aproba din propria iniţiativă o hotărâre în acest sens.</w:t>
            </w:r>
          </w:p>
          <w:p w:rsidR="0048636E" w:rsidRDefault="0048636E" w:rsidP="00EC47F8">
            <w:pPr>
              <w:textAlignment w:val="baseline"/>
              <w:rPr>
                <w:b/>
                <w:bCs/>
                <w:sz w:val="18"/>
                <w:szCs w:val="18"/>
                <w:lang w:val="ro-RO" w:eastAsia="en-US"/>
              </w:rPr>
            </w:pPr>
          </w:p>
          <w:p w:rsidR="00EC47F8" w:rsidRPr="00EC47F8" w:rsidRDefault="00EC47F8" w:rsidP="00EC47F8">
            <w:pPr>
              <w:textAlignment w:val="baseline"/>
              <w:rPr>
                <w:bCs/>
                <w:sz w:val="18"/>
                <w:szCs w:val="18"/>
                <w:lang w:val="ro-RO" w:eastAsia="en-US"/>
              </w:rPr>
            </w:pPr>
            <w:r w:rsidRPr="00EC47F8">
              <w:rPr>
                <w:b/>
                <w:bCs/>
                <w:sz w:val="18"/>
                <w:szCs w:val="18"/>
                <w:lang w:val="ro-RO" w:eastAsia="en-US"/>
              </w:rPr>
              <w:t>530.</w:t>
            </w:r>
            <w:r w:rsidRPr="00EC47F8">
              <w:rPr>
                <w:bCs/>
                <w:sz w:val="18"/>
                <w:szCs w:val="18"/>
                <w:lang w:val="ro-RO" w:eastAsia="en-US"/>
              </w:rPr>
              <w:t xml:space="preserve"> Orice obligaţie intrazilnică trebuie să îndeplinească următoarele criterii:</w:t>
            </w:r>
          </w:p>
          <w:p w:rsidR="00EC47F8" w:rsidRPr="00EC47F8" w:rsidRDefault="00EC47F8" w:rsidP="00EC47F8">
            <w:pPr>
              <w:textAlignment w:val="baseline"/>
              <w:rPr>
                <w:bCs/>
                <w:sz w:val="18"/>
                <w:szCs w:val="18"/>
                <w:lang w:val="ro-RO" w:eastAsia="en-US"/>
              </w:rPr>
            </w:pPr>
            <w:r w:rsidRPr="00EC47F8">
              <w:rPr>
                <w:bCs/>
                <w:sz w:val="18"/>
                <w:szCs w:val="18"/>
                <w:lang w:val="ro-RO" w:eastAsia="en-US"/>
              </w:rPr>
              <w:t>1) obligaţia intrazilnică şi plata aferentă, dacă aceasta există, nu trebuie să creeze bariere nejustificate pentru comerţul transfrontalier şi intrării pe piaţă a unor noi utilizatori de sistem;</w:t>
            </w:r>
          </w:p>
          <w:p w:rsidR="00EC47F8" w:rsidRPr="00EC47F8" w:rsidRDefault="00EC47F8" w:rsidP="00EC47F8">
            <w:pPr>
              <w:textAlignment w:val="baseline"/>
              <w:rPr>
                <w:bCs/>
                <w:sz w:val="18"/>
                <w:szCs w:val="18"/>
                <w:lang w:val="ro-RO" w:eastAsia="en-US"/>
              </w:rPr>
            </w:pPr>
            <w:r w:rsidRPr="00EC47F8">
              <w:rPr>
                <w:bCs/>
                <w:sz w:val="18"/>
                <w:szCs w:val="18"/>
                <w:lang w:val="ro-RO" w:eastAsia="en-US"/>
              </w:rPr>
              <w:t>2) obligaţia intrazilnică se aplică numai în cazul în care utilizatorii de sistem primesc informaţii suficiente înaintea aplicării unei eventuale plăţi intrazilnice cu privire la intrările şi/sau ieşirile acestora şi dispun de mijloace rezonabile să acţioneze pentru gestionarea expunerii lor;</w:t>
            </w:r>
          </w:p>
          <w:p w:rsidR="00EC47F8" w:rsidRPr="00EC47F8" w:rsidRDefault="00EC47F8" w:rsidP="00EC47F8">
            <w:pPr>
              <w:textAlignment w:val="baseline"/>
              <w:rPr>
                <w:bCs/>
                <w:sz w:val="18"/>
                <w:szCs w:val="18"/>
                <w:lang w:val="ro-RO" w:eastAsia="en-US"/>
              </w:rPr>
            </w:pPr>
            <w:r w:rsidRPr="00EC47F8">
              <w:rPr>
                <w:bCs/>
                <w:sz w:val="18"/>
                <w:szCs w:val="18"/>
                <w:lang w:val="ro-RO" w:eastAsia="en-US"/>
              </w:rPr>
              <w:t>3) principale costuri suportate de utilizatorii de sistem în legătură cu obligaţiile de echilibrare ale acestora se referă la poziţia acestora la sfârşitul zilei gaziere;</w:t>
            </w:r>
          </w:p>
          <w:p w:rsidR="00EC47F8" w:rsidRPr="00EC47F8" w:rsidRDefault="00EC47F8" w:rsidP="00EC47F8">
            <w:pPr>
              <w:textAlignment w:val="baseline"/>
              <w:rPr>
                <w:bCs/>
                <w:sz w:val="18"/>
                <w:szCs w:val="18"/>
                <w:lang w:val="ro-RO" w:eastAsia="en-US"/>
              </w:rPr>
            </w:pPr>
            <w:r w:rsidRPr="00EC47F8">
              <w:rPr>
                <w:bCs/>
                <w:sz w:val="18"/>
                <w:szCs w:val="18"/>
                <w:lang w:val="ro-RO" w:eastAsia="en-US"/>
              </w:rPr>
              <w:t xml:space="preserve">4) în măsura în care este posibil, plăţile intrazilnice trebuie să reflecte costurile OST pentru executarea tuturor acţiunilor de echilibrare necesare; </w:t>
            </w:r>
          </w:p>
          <w:p w:rsidR="00EC47F8" w:rsidRPr="00EC47F8" w:rsidRDefault="00EC47F8" w:rsidP="00EC47F8">
            <w:pPr>
              <w:textAlignment w:val="baseline"/>
              <w:rPr>
                <w:bCs/>
                <w:sz w:val="18"/>
                <w:szCs w:val="18"/>
                <w:lang w:val="ro-RO" w:eastAsia="en-US"/>
              </w:rPr>
            </w:pPr>
            <w:r w:rsidRPr="00EC47F8">
              <w:rPr>
                <w:bCs/>
                <w:sz w:val="18"/>
                <w:szCs w:val="18"/>
                <w:lang w:val="ro-RO" w:eastAsia="en-US"/>
              </w:rPr>
              <w:t>5) obligaţia intrazilnică nu conduce la o regularizare (decontare) financiară a utilizatorilor de sistem pe poziţia zero pe durata zilei gaziere;</w:t>
            </w:r>
          </w:p>
          <w:p w:rsidR="00EC47F8" w:rsidRPr="00EC47F8" w:rsidRDefault="00EC47F8" w:rsidP="00EC47F8">
            <w:pPr>
              <w:textAlignment w:val="baseline"/>
              <w:rPr>
                <w:bCs/>
                <w:sz w:val="18"/>
                <w:szCs w:val="18"/>
                <w:lang w:val="ro-RO" w:eastAsia="en-US"/>
              </w:rPr>
            </w:pPr>
            <w:r w:rsidRPr="00EC47F8">
              <w:rPr>
                <w:bCs/>
                <w:sz w:val="18"/>
                <w:szCs w:val="18"/>
                <w:lang w:val="ro-RO" w:eastAsia="en-US"/>
              </w:rPr>
              <w:t>6) beneficiile introducerii unei obligaţii intrazilnice, pentru exploatarea economică şi eficientă a reţelei de transport al gazelor naturale, depăşesc orice impact negativ potenţial al acesteia, inclusiv asupra lichidităţii tranzacţiilor la punctul virtual de tranzacţionare.</w:t>
            </w:r>
          </w:p>
          <w:p w:rsidR="00814BEA" w:rsidRDefault="00814BEA" w:rsidP="00EC47F8">
            <w:pPr>
              <w:textAlignment w:val="baseline"/>
              <w:rPr>
                <w:b/>
                <w:bCs/>
                <w:sz w:val="18"/>
                <w:szCs w:val="18"/>
                <w:lang w:val="ro-RO" w:eastAsia="en-US"/>
              </w:rPr>
            </w:pPr>
          </w:p>
          <w:p w:rsidR="00814BEA" w:rsidRDefault="00814BEA" w:rsidP="00EC47F8">
            <w:pPr>
              <w:textAlignment w:val="baseline"/>
              <w:rPr>
                <w:b/>
                <w:bCs/>
                <w:sz w:val="18"/>
                <w:szCs w:val="18"/>
                <w:lang w:val="ro-RO" w:eastAsia="en-US"/>
              </w:rPr>
            </w:pPr>
          </w:p>
          <w:p w:rsidR="00EC47F8" w:rsidRDefault="00EC47F8" w:rsidP="001030AE">
            <w:pPr>
              <w:jc w:val="both"/>
              <w:textAlignment w:val="baseline"/>
              <w:rPr>
                <w:bCs/>
                <w:sz w:val="18"/>
                <w:szCs w:val="18"/>
                <w:lang w:val="ro-RO" w:eastAsia="en-US"/>
              </w:rPr>
            </w:pPr>
            <w:r w:rsidRPr="00EC47F8">
              <w:rPr>
                <w:b/>
                <w:bCs/>
                <w:sz w:val="18"/>
                <w:szCs w:val="18"/>
                <w:lang w:val="ro-RO" w:eastAsia="en-US"/>
              </w:rPr>
              <w:t>531.</w:t>
            </w:r>
            <w:r w:rsidRPr="00EC47F8">
              <w:rPr>
                <w:bCs/>
                <w:sz w:val="18"/>
                <w:szCs w:val="18"/>
                <w:lang w:val="ro-RO" w:eastAsia="en-US"/>
              </w:rPr>
              <w:t xml:space="preserve"> OST poate propune diferite obligaţii intrazilnice pentru diferite categorii de puncte de intrare sau ieşire, cu scopul de a oferi stimulente mai bune diferitor categorii de utilizatori de sistem şi a evita subvenţiile încrucişate. Dreptul OST de a prezenta o astfel de propunere nu aduce atingere dreptului Agenţiei de a aproba o hotărâre în acest sens, din proprie iniţiativă.</w:t>
            </w:r>
          </w:p>
          <w:p w:rsidR="005C2EA6" w:rsidRDefault="005C2EA6" w:rsidP="001030AE">
            <w:pPr>
              <w:jc w:val="both"/>
              <w:textAlignment w:val="baseline"/>
              <w:rPr>
                <w:bCs/>
                <w:sz w:val="18"/>
                <w:szCs w:val="18"/>
                <w:lang w:val="ro-RO" w:eastAsia="en-US"/>
              </w:rPr>
            </w:pPr>
          </w:p>
          <w:p w:rsidR="005C2EA6" w:rsidRDefault="005C2EA6" w:rsidP="001030AE">
            <w:pPr>
              <w:jc w:val="both"/>
              <w:textAlignment w:val="baseline"/>
              <w:rPr>
                <w:bCs/>
                <w:sz w:val="18"/>
                <w:szCs w:val="18"/>
                <w:lang w:val="ro-RO" w:eastAsia="en-US"/>
              </w:rPr>
            </w:pPr>
          </w:p>
          <w:p w:rsidR="005C2EA6" w:rsidRDefault="005C2EA6" w:rsidP="001030AE">
            <w:pPr>
              <w:jc w:val="both"/>
              <w:textAlignment w:val="baseline"/>
              <w:rPr>
                <w:bCs/>
                <w:sz w:val="18"/>
                <w:szCs w:val="18"/>
                <w:lang w:val="ro-RO" w:eastAsia="en-US"/>
              </w:rPr>
            </w:pPr>
          </w:p>
          <w:p w:rsidR="00EC47F8" w:rsidRPr="00EC47F8" w:rsidRDefault="00EC47F8" w:rsidP="001030AE">
            <w:pPr>
              <w:jc w:val="both"/>
              <w:textAlignment w:val="baseline"/>
              <w:rPr>
                <w:bCs/>
                <w:sz w:val="18"/>
                <w:szCs w:val="18"/>
                <w:lang w:val="ro-RO" w:eastAsia="en-US"/>
              </w:rPr>
            </w:pPr>
            <w:r w:rsidRPr="00EC47F8">
              <w:rPr>
                <w:b/>
                <w:bCs/>
                <w:sz w:val="18"/>
                <w:szCs w:val="18"/>
                <w:lang w:val="ro-RO" w:eastAsia="en-US"/>
              </w:rPr>
              <w:t>532.</w:t>
            </w:r>
            <w:r w:rsidRPr="00EC47F8">
              <w:rPr>
                <w:bCs/>
                <w:sz w:val="18"/>
                <w:szCs w:val="18"/>
                <w:lang w:val="ro-RO" w:eastAsia="en-US"/>
              </w:rPr>
              <w:t xml:space="preserve"> OST consultă părţile interesate, inclusiv Agenţia, OSD şi OST afectaţi din zone de echilibrare adiacente, cu privire la oricare obligaţie intrazilnică pe care intenţionează să o introducă, inclusiv metodologia şi ipotezele utilizate pentru concluzionarea faptului că aceasta îndeplineşte criteriile stabilite la pct.530.</w:t>
            </w:r>
          </w:p>
          <w:p w:rsidR="00814BEA" w:rsidRDefault="00814BEA" w:rsidP="001030AE">
            <w:pPr>
              <w:jc w:val="both"/>
              <w:textAlignment w:val="baseline"/>
              <w:rPr>
                <w:b/>
                <w:bCs/>
                <w:sz w:val="18"/>
                <w:szCs w:val="18"/>
                <w:lang w:val="ro-RO" w:eastAsia="en-US"/>
              </w:rPr>
            </w:pPr>
          </w:p>
          <w:p w:rsidR="001030AE" w:rsidRDefault="001030AE" w:rsidP="001030AE">
            <w:pPr>
              <w:jc w:val="both"/>
              <w:textAlignment w:val="baseline"/>
              <w:rPr>
                <w:b/>
                <w:bCs/>
                <w:sz w:val="18"/>
                <w:szCs w:val="18"/>
                <w:lang w:val="ro-RO" w:eastAsia="en-US"/>
              </w:rPr>
            </w:pPr>
          </w:p>
          <w:p w:rsidR="00814BEA" w:rsidRDefault="00814BEA" w:rsidP="001030AE">
            <w:pPr>
              <w:jc w:val="both"/>
              <w:textAlignment w:val="baseline"/>
              <w:rPr>
                <w:b/>
                <w:bCs/>
                <w:sz w:val="18"/>
                <w:szCs w:val="18"/>
                <w:lang w:val="ro-RO" w:eastAsia="en-US"/>
              </w:rPr>
            </w:pPr>
          </w:p>
          <w:p w:rsidR="00EC47F8" w:rsidRPr="00EC47F8" w:rsidRDefault="00EC47F8" w:rsidP="001030AE">
            <w:pPr>
              <w:jc w:val="both"/>
              <w:textAlignment w:val="baseline"/>
              <w:rPr>
                <w:bCs/>
                <w:sz w:val="18"/>
                <w:szCs w:val="18"/>
                <w:lang w:val="ro-RO" w:eastAsia="en-US"/>
              </w:rPr>
            </w:pPr>
            <w:r w:rsidRPr="00EC47F8">
              <w:rPr>
                <w:b/>
                <w:bCs/>
                <w:sz w:val="18"/>
                <w:szCs w:val="18"/>
                <w:lang w:val="ro-RO" w:eastAsia="en-US"/>
              </w:rPr>
              <w:t>533.</w:t>
            </w:r>
            <w:r w:rsidRPr="00EC47F8">
              <w:rPr>
                <w:bCs/>
                <w:sz w:val="18"/>
                <w:szCs w:val="18"/>
                <w:lang w:val="ro-RO" w:eastAsia="en-US"/>
              </w:rPr>
              <w:t xml:space="preserve"> Ca urmare a procesului de consultare, OST elaborează un document de recomandare care să includă propunerea finală şi o analiză a următoarelor elemente:</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1) necesitatea obligaţiei intrazilnice, având în vedere caracteristicile reţelei de transport al gazelor naturale şi flexibilitatea de care dispune OST prin achiziţionarea şi vânzarea de PSTS sau prin utilizarea serviciilor de echilibrare în conformitate cu Capitolul III al prezentului Titlu;</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2) informaţiile disponibile pentru a permite utilizatorilor de sistem să îşi gestioneze în timp util poziţiile în cursul zilei;</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3) impactul financiar estimat asupra utilizatorilor de sistem;</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4) efectul asupra intrării pe piaţă a unor noi utilizatori de sistem, inclusiv orice impact negativ nejustificat asupra acesteia;</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5) efectul asupra comerţului transfrontalier, inclusiv impactul potenţial asupra echilibrării în zonele de echilibrare adiacente;</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6) impactul asupra pieţei angro a gazelor naturale pe termen scurt, inclusiv asupra lichidităţii acesteia;</w:t>
            </w:r>
          </w:p>
          <w:p w:rsidR="00EC47F8" w:rsidRDefault="00EC47F8" w:rsidP="001030AE">
            <w:pPr>
              <w:jc w:val="both"/>
              <w:textAlignment w:val="baseline"/>
              <w:rPr>
                <w:bCs/>
                <w:sz w:val="18"/>
                <w:szCs w:val="18"/>
                <w:lang w:val="ro-RO" w:eastAsia="en-US"/>
              </w:rPr>
            </w:pPr>
            <w:r w:rsidRPr="00EC47F8">
              <w:rPr>
                <w:bCs/>
                <w:sz w:val="18"/>
                <w:szCs w:val="18"/>
                <w:lang w:val="ro-RO" w:eastAsia="en-US"/>
              </w:rPr>
              <w:t>7) caracterul nediscriminatoriu al obligaţiei intrazilnice.</w:t>
            </w:r>
          </w:p>
          <w:p w:rsidR="001030AE" w:rsidRDefault="001030AE" w:rsidP="001030AE">
            <w:pPr>
              <w:jc w:val="both"/>
              <w:textAlignment w:val="baseline"/>
              <w:rPr>
                <w:bCs/>
                <w:sz w:val="18"/>
                <w:szCs w:val="18"/>
                <w:lang w:val="ro-RO" w:eastAsia="en-US"/>
              </w:rPr>
            </w:pPr>
          </w:p>
          <w:p w:rsidR="001030AE" w:rsidRDefault="001030AE" w:rsidP="001030AE">
            <w:pPr>
              <w:jc w:val="both"/>
              <w:textAlignment w:val="baseline"/>
              <w:rPr>
                <w:bCs/>
                <w:sz w:val="18"/>
                <w:szCs w:val="18"/>
                <w:lang w:val="ro-RO" w:eastAsia="en-US"/>
              </w:rPr>
            </w:pPr>
          </w:p>
          <w:p w:rsidR="001030AE" w:rsidRDefault="001030AE" w:rsidP="001030AE">
            <w:pPr>
              <w:jc w:val="both"/>
              <w:textAlignment w:val="baseline"/>
              <w:rPr>
                <w:bCs/>
                <w:sz w:val="18"/>
                <w:szCs w:val="18"/>
                <w:lang w:val="ro-RO" w:eastAsia="en-US"/>
              </w:rPr>
            </w:pPr>
          </w:p>
          <w:p w:rsidR="001030AE" w:rsidRDefault="001030AE" w:rsidP="001030AE">
            <w:pPr>
              <w:jc w:val="both"/>
              <w:textAlignment w:val="baseline"/>
              <w:rPr>
                <w:bCs/>
                <w:sz w:val="18"/>
                <w:szCs w:val="18"/>
                <w:lang w:val="ro-RO" w:eastAsia="en-US"/>
              </w:rPr>
            </w:pPr>
          </w:p>
          <w:p w:rsidR="00983016" w:rsidRDefault="00983016" w:rsidP="001030AE">
            <w:pPr>
              <w:jc w:val="both"/>
              <w:textAlignment w:val="baseline"/>
              <w:rPr>
                <w:bCs/>
                <w:sz w:val="18"/>
                <w:szCs w:val="18"/>
                <w:lang w:val="ro-RO" w:eastAsia="en-US"/>
              </w:rPr>
            </w:pPr>
          </w:p>
          <w:p w:rsidR="00E53B90" w:rsidRPr="00BE464B" w:rsidRDefault="00EC47F8" w:rsidP="001030AE">
            <w:pPr>
              <w:jc w:val="both"/>
              <w:textAlignment w:val="baseline"/>
              <w:rPr>
                <w:b/>
                <w:bCs/>
                <w:sz w:val="18"/>
                <w:szCs w:val="18"/>
                <w:lang w:val="ro-MD" w:eastAsia="en-US"/>
              </w:rPr>
            </w:pPr>
            <w:r w:rsidRPr="00EC47F8">
              <w:rPr>
                <w:b/>
                <w:bCs/>
                <w:sz w:val="18"/>
                <w:szCs w:val="18"/>
                <w:lang w:val="ro-RO" w:eastAsia="en-US"/>
              </w:rPr>
              <w:t>534.</w:t>
            </w:r>
            <w:r w:rsidRPr="00EC47F8">
              <w:rPr>
                <w:bCs/>
                <w:sz w:val="18"/>
                <w:szCs w:val="18"/>
                <w:lang w:val="ro-RO" w:eastAsia="en-US"/>
              </w:rPr>
              <w:t xml:space="preserve"> OST prezintă documentul de recomandare Agenţiei pentru aprobarea propunerii în conformitate cu procedura stabilită în Secţiunea 4 din prezentul Capitol. În paralel, OST publică acest document de recomandare, sub rezerva oricăror obligaţiuni de confidenţialitate pe care ar putea fi obligat să le respecte. </w:t>
            </w:r>
          </w:p>
        </w:tc>
        <w:tc>
          <w:tcPr>
            <w:tcW w:w="1275" w:type="dxa"/>
            <w:shd w:val="clear" w:color="auto" w:fill="auto"/>
          </w:tcPr>
          <w:p w:rsidR="00E53B90" w:rsidRPr="00981BD4" w:rsidRDefault="00E53B90" w:rsidP="00DA725A">
            <w:pPr>
              <w:jc w:val="both"/>
              <w:rPr>
                <w:b/>
                <w:sz w:val="18"/>
                <w:szCs w:val="18"/>
                <w:lang w:val="ro-MD"/>
              </w:rPr>
            </w:pPr>
          </w:p>
          <w:p w:rsidR="0040113C" w:rsidRPr="00981BD4" w:rsidRDefault="0040113C" w:rsidP="00DA725A">
            <w:pPr>
              <w:jc w:val="both"/>
              <w:rPr>
                <w:b/>
                <w:sz w:val="18"/>
                <w:szCs w:val="18"/>
                <w:lang w:val="ro-MD"/>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Default="0040113C" w:rsidP="00DA725A">
            <w:pPr>
              <w:jc w:val="both"/>
              <w:rPr>
                <w:sz w:val="18"/>
                <w:szCs w:val="18"/>
                <w:lang w:val="it-IT"/>
              </w:rPr>
            </w:pPr>
          </w:p>
          <w:p w:rsidR="0055152A" w:rsidRPr="00981BD4" w:rsidRDefault="0055152A"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6B09D4" w:rsidRPr="00981BD4" w:rsidRDefault="006B09D4" w:rsidP="00DA725A">
            <w:pPr>
              <w:jc w:val="both"/>
              <w:rPr>
                <w:sz w:val="18"/>
                <w:szCs w:val="18"/>
                <w:lang w:val="it-IT"/>
              </w:rPr>
            </w:pPr>
          </w:p>
          <w:p w:rsidR="006B09D4" w:rsidRPr="00981BD4" w:rsidRDefault="006B09D4"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Default="0040113C"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55152A" w:rsidRDefault="0055152A" w:rsidP="00DA725A">
            <w:pPr>
              <w:jc w:val="both"/>
              <w:rPr>
                <w:sz w:val="18"/>
                <w:szCs w:val="18"/>
                <w:lang w:val="it-IT"/>
              </w:rPr>
            </w:pPr>
          </w:p>
          <w:p w:rsidR="00FC3840" w:rsidRDefault="00FC3840" w:rsidP="00DA725A">
            <w:pPr>
              <w:jc w:val="both"/>
              <w:rPr>
                <w:sz w:val="18"/>
                <w:szCs w:val="18"/>
                <w:lang w:val="it-IT"/>
              </w:rPr>
            </w:pPr>
          </w:p>
          <w:p w:rsidR="00FC3840" w:rsidRPr="00981BD4" w:rsidRDefault="00FC3840"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Default="0040113C"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6B09D4" w:rsidRDefault="006B09D4"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Pr="00981BD4" w:rsidRDefault="001030AE" w:rsidP="00DA725A">
            <w:pPr>
              <w:jc w:val="both"/>
              <w:rPr>
                <w:sz w:val="18"/>
                <w:szCs w:val="18"/>
                <w:lang w:val="it-IT"/>
              </w:rPr>
            </w:pPr>
          </w:p>
          <w:p w:rsidR="0040113C" w:rsidRDefault="0040113C" w:rsidP="00DA725A">
            <w:pPr>
              <w:jc w:val="both"/>
              <w:rPr>
                <w:sz w:val="18"/>
                <w:szCs w:val="18"/>
                <w:lang w:val="it-IT"/>
              </w:rPr>
            </w:pPr>
          </w:p>
          <w:p w:rsidR="0040113C" w:rsidRPr="00D82EE4" w:rsidRDefault="0040113C" w:rsidP="00DA725A">
            <w:pPr>
              <w:jc w:val="both"/>
              <w:rPr>
                <w:b/>
                <w:sz w:val="18"/>
                <w:szCs w:val="18"/>
                <w:lang w:val="it-IT"/>
              </w:rPr>
            </w:pPr>
            <w:r w:rsidRPr="00981BD4">
              <w:rPr>
                <w:sz w:val="18"/>
                <w:szCs w:val="18"/>
                <w:lang w:val="it-IT"/>
              </w:rPr>
              <w:t>Compatibil</w:t>
            </w:r>
          </w:p>
        </w:tc>
        <w:tc>
          <w:tcPr>
            <w:tcW w:w="4253" w:type="dxa"/>
            <w:shd w:val="clear" w:color="auto" w:fill="auto"/>
          </w:tcPr>
          <w:p w:rsidR="00E53B90" w:rsidRPr="00E84D74" w:rsidRDefault="00E53B90" w:rsidP="00DA725A">
            <w:pPr>
              <w:autoSpaceDE w:val="0"/>
              <w:autoSpaceDN w:val="0"/>
              <w:adjustRightInd w:val="0"/>
              <w:jc w:val="center"/>
              <w:rPr>
                <w:b/>
                <w:bCs/>
                <w:i/>
                <w:iCs/>
                <w:sz w:val="18"/>
                <w:szCs w:val="18"/>
              </w:rPr>
            </w:pPr>
            <w:r w:rsidRPr="00E84D74">
              <w:rPr>
                <w:b/>
                <w:bCs/>
                <w:i/>
                <w:iCs/>
                <w:sz w:val="18"/>
                <w:szCs w:val="18"/>
              </w:rPr>
              <w:lastRenderedPageBreak/>
              <w:t>Article 26</w:t>
            </w:r>
          </w:p>
          <w:p w:rsidR="00E53B90" w:rsidRPr="00E84D74" w:rsidRDefault="00E53B90" w:rsidP="00DA725A">
            <w:pPr>
              <w:autoSpaceDE w:val="0"/>
              <w:autoSpaceDN w:val="0"/>
              <w:adjustRightInd w:val="0"/>
              <w:jc w:val="center"/>
              <w:rPr>
                <w:b/>
                <w:bCs/>
                <w:sz w:val="18"/>
                <w:szCs w:val="18"/>
              </w:rPr>
            </w:pPr>
            <w:r w:rsidRPr="00E84D74">
              <w:rPr>
                <w:b/>
                <w:bCs/>
                <w:sz w:val="18"/>
                <w:szCs w:val="18"/>
              </w:rPr>
              <w:t>Requirements for within day obligations</w:t>
            </w:r>
          </w:p>
          <w:p w:rsidR="00E53B90" w:rsidRPr="00E84D74" w:rsidRDefault="00E53B90" w:rsidP="00DA725A">
            <w:pPr>
              <w:autoSpaceDE w:val="0"/>
              <w:autoSpaceDN w:val="0"/>
              <w:adjustRightInd w:val="0"/>
              <w:rPr>
                <w:sz w:val="18"/>
                <w:szCs w:val="18"/>
              </w:rPr>
            </w:pPr>
            <w:r w:rsidRPr="00E84D74">
              <w:rPr>
                <w:sz w:val="18"/>
                <w:szCs w:val="18"/>
              </w:rPr>
              <w:t>1. The transmission system operator may propose to the national regulatory authority a within day obligation or an amendment thereof. It may combine features of the different types described in Article 25 provided the proposal meets the criteria set out in paragraph 2. The transmission system operator’s right of proposal is without prejudice to the right of the national regulatory authority to take a decision on its own initiative.</w:t>
            </w:r>
          </w:p>
          <w:p w:rsidR="00E53B90" w:rsidRPr="00E84D74" w:rsidRDefault="00E53B90" w:rsidP="00DA725A">
            <w:pPr>
              <w:autoSpaceDE w:val="0"/>
              <w:autoSpaceDN w:val="0"/>
              <w:adjustRightInd w:val="0"/>
              <w:rPr>
                <w:sz w:val="18"/>
                <w:szCs w:val="18"/>
              </w:rPr>
            </w:pPr>
            <w:r w:rsidRPr="00E84D74">
              <w:rPr>
                <w:sz w:val="18"/>
                <w:szCs w:val="18"/>
              </w:rPr>
              <w:t>2. Any within day obligation shall meet the following criteria:</w:t>
            </w:r>
          </w:p>
          <w:p w:rsidR="00E53B90" w:rsidRPr="00E84D74" w:rsidRDefault="00E53B90" w:rsidP="00DA725A">
            <w:pPr>
              <w:autoSpaceDE w:val="0"/>
              <w:autoSpaceDN w:val="0"/>
              <w:adjustRightInd w:val="0"/>
              <w:rPr>
                <w:sz w:val="18"/>
                <w:szCs w:val="18"/>
              </w:rPr>
            </w:pPr>
            <w:r w:rsidRPr="00E84D74">
              <w:rPr>
                <w:sz w:val="18"/>
                <w:szCs w:val="18"/>
              </w:rPr>
              <w:t>(a) a within day obligation and related within day charge, if any, shall not pose any undue barriers on cross-border trade and new network users entering the relevant market;</w:t>
            </w:r>
          </w:p>
          <w:p w:rsidR="00E53B90" w:rsidRPr="00E84D74" w:rsidRDefault="00E53B90" w:rsidP="00DA725A">
            <w:pPr>
              <w:autoSpaceDE w:val="0"/>
              <w:autoSpaceDN w:val="0"/>
              <w:adjustRightInd w:val="0"/>
              <w:rPr>
                <w:sz w:val="18"/>
                <w:szCs w:val="18"/>
              </w:rPr>
            </w:pPr>
            <w:r w:rsidRPr="00E84D74">
              <w:rPr>
                <w:sz w:val="18"/>
                <w:szCs w:val="18"/>
              </w:rPr>
              <w:t>(b) a within day obligation shall only be applied where the network users are provided with adequate information before a potential within day charge is applied regarding their inputs and/or off-takes and have reasonable means to respond to manage their exposure;</w:t>
            </w:r>
          </w:p>
          <w:p w:rsidR="00E53B90" w:rsidRPr="00E84D74" w:rsidRDefault="00E53B90" w:rsidP="00DA725A">
            <w:pPr>
              <w:autoSpaceDE w:val="0"/>
              <w:autoSpaceDN w:val="0"/>
              <w:adjustRightInd w:val="0"/>
              <w:rPr>
                <w:sz w:val="18"/>
                <w:szCs w:val="18"/>
              </w:rPr>
            </w:pPr>
            <w:r w:rsidRPr="00E84D74">
              <w:rPr>
                <w:sz w:val="18"/>
                <w:szCs w:val="18"/>
              </w:rPr>
              <w:t>(c) the main costs to be incurred by the network users in relation to their balancing obligations shall relate to their position at the end of the gas day;</w:t>
            </w:r>
          </w:p>
          <w:p w:rsidR="00E53B90" w:rsidRPr="00E84D74" w:rsidRDefault="00E53B90" w:rsidP="00DA725A">
            <w:pPr>
              <w:autoSpaceDE w:val="0"/>
              <w:autoSpaceDN w:val="0"/>
              <w:adjustRightInd w:val="0"/>
              <w:rPr>
                <w:sz w:val="18"/>
                <w:szCs w:val="18"/>
              </w:rPr>
            </w:pPr>
            <w:r w:rsidRPr="00E84D74">
              <w:rPr>
                <w:sz w:val="18"/>
                <w:szCs w:val="18"/>
              </w:rPr>
              <w:t>(d) to the extent possible, within day charges shall be reflective of the costs of the transmission system operator for the undertaking of any associated balancing actions;</w:t>
            </w:r>
          </w:p>
          <w:p w:rsidR="00E53B90" w:rsidRPr="00E84D74" w:rsidRDefault="00E53B90" w:rsidP="00DA725A">
            <w:pPr>
              <w:autoSpaceDE w:val="0"/>
              <w:autoSpaceDN w:val="0"/>
              <w:adjustRightInd w:val="0"/>
              <w:rPr>
                <w:sz w:val="18"/>
                <w:szCs w:val="18"/>
              </w:rPr>
            </w:pPr>
            <w:r w:rsidRPr="00E84D74">
              <w:rPr>
                <w:sz w:val="18"/>
                <w:szCs w:val="18"/>
              </w:rPr>
              <w:t>(e) a within day obligation will not result in network users being financially settled to a position of zero during the gas day;</w:t>
            </w:r>
          </w:p>
          <w:p w:rsidR="00E53B90" w:rsidRPr="00E84D74" w:rsidRDefault="00E53B90" w:rsidP="00DA725A">
            <w:pPr>
              <w:autoSpaceDE w:val="0"/>
              <w:autoSpaceDN w:val="0"/>
              <w:adjustRightInd w:val="0"/>
              <w:rPr>
                <w:sz w:val="18"/>
                <w:szCs w:val="18"/>
              </w:rPr>
            </w:pPr>
            <w:r w:rsidRPr="00E84D74">
              <w:rPr>
                <w:sz w:val="18"/>
                <w:szCs w:val="18"/>
              </w:rPr>
              <w:t xml:space="preserve">(f) the benefits of introducing a within day obligation in terms of economic and efficient operation of the transmission network outweigh any potential negative </w:t>
            </w:r>
            <w:r w:rsidRPr="00E84D74">
              <w:rPr>
                <w:sz w:val="18"/>
                <w:szCs w:val="18"/>
              </w:rPr>
              <w:lastRenderedPageBreak/>
              <w:t>impacts thereof, including on liquidity of trades at the virtual trading point.</w:t>
            </w:r>
          </w:p>
          <w:p w:rsidR="00E53B90" w:rsidRPr="00E84D74" w:rsidRDefault="00E53B90" w:rsidP="00DA725A">
            <w:pPr>
              <w:autoSpaceDE w:val="0"/>
              <w:autoSpaceDN w:val="0"/>
              <w:adjustRightInd w:val="0"/>
              <w:rPr>
                <w:sz w:val="18"/>
                <w:szCs w:val="18"/>
              </w:rPr>
            </w:pPr>
            <w:r w:rsidRPr="00E84D74">
              <w:rPr>
                <w:sz w:val="18"/>
                <w:szCs w:val="18"/>
              </w:rPr>
              <w:t>3. The transmission system operator may propose different within day obligations for distinct categories</w:t>
            </w:r>
            <w:r w:rsidR="006B09D4" w:rsidRPr="00E84D74">
              <w:rPr>
                <w:sz w:val="18"/>
                <w:szCs w:val="18"/>
              </w:rPr>
              <w:t xml:space="preserve"> </w:t>
            </w:r>
            <w:r w:rsidRPr="00E84D74">
              <w:rPr>
                <w:sz w:val="18"/>
                <w:szCs w:val="18"/>
              </w:rPr>
              <w:t>of entry or exit points with the aim to provide better incentives for different categories of network users in order to avoid cross subsidies. The transmission system operator’s right of proposal is without prejudice to the right of the national regulatory authority to take a decision on its own initiative.</w:t>
            </w:r>
          </w:p>
          <w:p w:rsidR="00E53B90" w:rsidRPr="00E84D74" w:rsidRDefault="00E53B90" w:rsidP="00DA725A">
            <w:pPr>
              <w:autoSpaceDE w:val="0"/>
              <w:autoSpaceDN w:val="0"/>
              <w:adjustRightInd w:val="0"/>
              <w:rPr>
                <w:sz w:val="18"/>
                <w:szCs w:val="18"/>
              </w:rPr>
            </w:pPr>
            <w:r w:rsidRPr="00E84D74">
              <w:rPr>
                <w:sz w:val="18"/>
                <w:szCs w:val="18"/>
              </w:rPr>
              <w:t>4. The transmission system operator shall consult stakeholders, including the national regulatory authorities, the affected distribution system operators and  transmission system operators in adjacent balancing zones, on any within day obligation it intends to introduce, including the methodology and assumptions used in arriving at the conclusion that it meets the criteria set out in paragraph 2.</w:t>
            </w:r>
          </w:p>
          <w:p w:rsidR="00E53B90" w:rsidRPr="00E84D74" w:rsidRDefault="00E53B90" w:rsidP="00DA725A">
            <w:pPr>
              <w:autoSpaceDE w:val="0"/>
              <w:autoSpaceDN w:val="0"/>
              <w:adjustRightInd w:val="0"/>
              <w:rPr>
                <w:sz w:val="18"/>
                <w:szCs w:val="18"/>
              </w:rPr>
            </w:pPr>
            <w:r w:rsidRPr="00E84D74">
              <w:rPr>
                <w:sz w:val="18"/>
                <w:szCs w:val="18"/>
              </w:rPr>
              <w:t>5. Following the consultation process, the transmission system operator shall produce a recommendation</w:t>
            </w:r>
          </w:p>
          <w:p w:rsidR="00E53B90" w:rsidRPr="00E84D74" w:rsidRDefault="00E53B90" w:rsidP="00DA725A">
            <w:pPr>
              <w:autoSpaceDE w:val="0"/>
              <w:autoSpaceDN w:val="0"/>
              <w:adjustRightInd w:val="0"/>
              <w:rPr>
                <w:sz w:val="18"/>
                <w:szCs w:val="18"/>
              </w:rPr>
            </w:pPr>
            <w:r w:rsidRPr="00E84D74">
              <w:rPr>
                <w:sz w:val="18"/>
                <w:szCs w:val="18"/>
              </w:rPr>
              <w:t>document which shall include the finalised proposal and an analysis of:</w:t>
            </w:r>
          </w:p>
          <w:p w:rsidR="00E53B90" w:rsidRPr="00E84D74" w:rsidRDefault="00E53B90" w:rsidP="00DA725A">
            <w:pPr>
              <w:autoSpaceDE w:val="0"/>
              <w:autoSpaceDN w:val="0"/>
              <w:adjustRightInd w:val="0"/>
              <w:rPr>
                <w:sz w:val="18"/>
                <w:szCs w:val="18"/>
              </w:rPr>
            </w:pPr>
            <w:r w:rsidRPr="00E84D74">
              <w:rPr>
                <w:sz w:val="18"/>
                <w:szCs w:val="18"/>
              </w:rPr>
              <w:t>(a) the necessity of the within day obligation, taking into account the transmission network’s characteristics</w:t>
            </w:r>
            <w:r w:rsidR="00141A40" w:rsidRPr="00E84D74">
              <w:rPr>
                <w:sz w:val="18"/>
                <w:szCs w:val="18"/>
              </w:rPr>
              <w:t xml:space="preserve"> </w:t>
            </w:r>
            <w:r w:rsidRPr="00E84D74">
              <w:rPr>
                <w:sz w:val="18"/>
                <w:szCs w:val="18"/>
              </w:rPr>
              <w:t>and the flexibility available to the transmission system operator through purchase and sale of short term standardised products or use of balancing services in accordance with Chapter III;</w:t>
            </w:r>
          </w:p>
          <w:p w:rsidR="00E53B90" w:rsidRPr="00E84D74" w:rsidRDefault="00E53B90" w:rsidP="00DA725A">
            <w:pPr>
              <w:autoSpaceDE w:val="0"/>
              <w:autoSpaceDN w:val="0"/>
              <w:adjustRightInd w:val="0"/>
              <w:rPr>
                <w:sz w:val="18"/>
                <w:szCs w:val="18"/>
              </w:rPr>
            </w:pPr>
            <w:r w:rsidRPr="00E84D74">
              <w:rPr>
                <w:sz w:val="18"/>
                <w:szCs w:val="18"/>
              </w:rPr>
              <w:t>(b) the information available to enable network users to manage in a timely manner their within day positions;</w:t>
            </w:r>
          </w:p>
          <w:p w:rsidR="00E53B90" w:rsidRPr="00E84D74" w:rsidRDefault="00E53B90" w:rsidP="00DA725A">
            <w:pPr>
              <w:autoSpaceDE w:val="0"/>
              <w:autoSpaceDN w:val="0"/>
              <w:adjustRightInd w:val="0"/>
              <w:rPr>
                <w:sz w:val="18"/>
                <w:szCs w:val="18"/>
              </w:rPr>
            </w:pPr>
            <w:r w:rsidRPr="00E84D74">
              <w:rPr>
                <w:sz w:val="18"/>
                <w:szCs w:val="18"/>
              </w:rPr>
              <w:t>(c) the expected financial impact on network users;</w:t>
            </w:r>
          </w:p>
          <w:p w:rsidR="00E53B90" w:rsidRPr="00E84D74" w:rsidRDefault="00E53B90" w:rsidP="00DA725A">
            <w:pPr>
              <w:autoSpaceDE w:val="0"/>
              <w:autoSpaceDN w:val="0"/>
              <w:adjustRightInd w:val="0"/>
              <w:rPr>
                <w:sz w:val="18"/>
                <w:szCs w:val="18"/>
              </w:rPr>
            </w:pPr>
            <w:r w:rsidRPr="00E84D74">
              <w:rPr>
                <w:sz w:val="18"/>
                <w:szCs w:val="18"/>
              </w:rPr>
              <w:t>(d) the effect on new network users entering the relevant market, including any undue negative impact thereon;</w:t>
            </w:r>
          </w:p>
          <w:p w:rsidR="00E53B90" w:rsidRPr="00E84D74" w:rsidRDefault="00E53B90" w:rsidP="00DA725A">
            <w:pPr>
              <w:autoSpaceDE w:val="0"/>
              <w:autoSpaceDN w:val="0"/>
              <w:adjustRightInd w:val="0"/>
              <w:rPr>
                <w:sz w:val="18"/>
                <w:szCs w:val="18"/>
              </w:rPr>
            </w:pPr>
            <w:r w:rsidRPr="00E84D74">
              <w:rPr>
                <w:sz w:val="18"/>
                <w:szCs w:val="18"/>
              </w:rPr>
              <w:t>(e) the effect on cross-border trade, including the potential impact on balancing in adjacent balancing zones;</w:t>
            </w:r>
          </w:p>
          <w:p w:rsidR="00E53B90" w:rsidRPr="00E84D74" w:rsidRDefault="00E53B90" w:rsidP="00DA725A">
            <w:pPr>
              <w:autoSpaceDE w:val="0"/>
              <w:autoSpaceDN w:val="0"/>
              <w:adjustRightInd w:val="0"/>
              <w:rPr>
                <w:sz w:val="18"/>
                <w:szCs w:val="18"/>
              </w:rPr>
            </w:pPr>
            <w:r w:rsidRPr="00E84D74">
              <w:rPr>
                <w:sz w:val="18"/>
                <w:szCs w:val="18"/>
              </w:rPr>
              <w:t xml:space="preserve">(f) the impact on the short term wholesale gas market, including the liquidity thereof; </w:t>
            </w:r>
          </w:p>
          <w:p w:rsidR="00E53B90" w:rsidRPr="00E84D74" w:rsidRDefault="00E53B90" w:rsidP="00DA725A">
            <w:pPr>
              <w:autoSpaceDE w:val="0"/>
              <w:autoSpaceDN w:val="0"/>
              <w:adjustRightInd w:val="0"/>
              <w:rPr>
                <w:sz w:val="18"/>
                <w:szCs w:val="18"/>
              </w:rPr>
            </w:pPr>
            <w:r w:rsidRPr="00E84D74">
              <w:rPr>
                <w:sz w:val="18"/>
                <w:szCs w:val="18"/>
              </w:rPr>
              <w:t>(g) the non-discriminatory nature of the within day obligation.</w:t>
            </w:r>
          </w:p>
          <w:p w:rsidR="00E53B90" w:rsidRPr="00E84D74" w:rsidRDefault="00E53B90" w:rsidP="00DA725A">
            <w:pPr>
              <w:autoSpaceDE w:val="0"/>
              <w:autoSpaceDN w:val="0"/>
              <w:adjustRightInd w:val="0"/>
              <w:rPr>
                <w:sz w:val="18"/>
                <w:szCs w:val="18"/>
              </w:rPr>
            </w:pPr>
            <w:r w:rsidRPr="00E84D74">
              <w:rPr>
                <w:sz w:val="18"/>
                <w:szCs w:val="18"/>
              </w:rPr>
              <w:t xml:space="preserve">6. The transmission system operator shall submit the recommendation document to the national regulatory authority for the approval of the proposal in accordance with the procedure set out in Article 27. In parallel, the transmission system operator shall publish this recommendation document, subject to any </w:t>
            </w:r>
            <w:r w:rsidRPr="00E84D74">
              <w:rPr>
                <w:sz w:val="18"/>
                <w:szCs w:val="18"/>
              </w:rPr>
              <w:lastRenderedPageBreak/>
              <w:t xml:space="preserve">confidentiality obligations that it may be bound by </w:t>
            </w:r>
            <w:r w:rsidRPr="00E84D74">
              <w:rPr>
                <w:b/>
                <w:bCs/>
                <w:sz w:val="18"/>
                <w:szCs w:val="18"/>
              </w:rPr>
              <w:t>&lt;…&gt;</w:t>
            </w:r>
            <w:r w:rsidRPr="00E84D74">
              <w:rPr>
                <w:sz w:val="18"/>
                <w:szCs w:val="18"/>
              </w:rPr>
              <w:t>.</w:t>
            </w:r>
          </w:p>
          <w:p w:rsidR="00E53B90" w:rsidRPr="00E84D74" w:rsidRDefault="00E53B90" w:rsidP="00DA725A">
            <w:pPr>
              <w:autoSpaceDE w:val="0"/>
              <w:autoSpaceDN w:val="0"/>
              <w:adjustRightInd w:val="0"/>
              <w:jc w:val="center"/>
              <w:rPr>
                <w:b/>
                <w:bCs/>
                <w:i/>
                <w:iCs/>
                <w:sz w:val="18"/>
                <w:szCs w:val="18"/>
              </w:rPr>
            </w:pPr>
          </w:p>
        </w:tc>
      </w:tr>
      <w:tr w:rsidR="00E53B90" w:rsidRPr="00043955" w:rsidTr="00FC3840">
        <w:trPr>
          <w:trHeight w:val="1240"/>
        </w:trPr>
        <w:tc>
          <w:tcPr>
            <w:tcW w:w="5245" w:type="dxa"/>
            <w:shd w:val="clear" w:color="auto" w:fill="auto"/>
          </w:tcPr>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27</w:t>
            </w:r>
          </w:p>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t>Procesul decizional al autorității naționale de reglementare</w:t>
            </w:r>
          </w:p>
          <w:p w:rsidR="00E53B90" w:rsidRDefault="00E53B90" w:rsidP="00DA725A">
            <w:pPr>
              <w:jc w:val="both"/>
              <w:textAlignment w:val="baseline"/>
              <w:rPr>
                <w:sz w:val="18"/>
                <w:szCs w:val="18"/>
                <w:lang w:val="it-IT" w:eastAsia="en-US"/>
              </w:rPr>
            </w:pPr>
            <w:r w:rsidRPr="00981BD4">
              <w:rPr>
                <w:sz w:val="18"/>
                <w:szCs w:val="18"/>
                <w:lang w:val="it-IT" w:eastAsia="en-US"/>
              </w:rPr>
              <w:t>(1)   Autoritatea națională de reglementare adoptă și publică o decizie motivată în termen de șase luni de la primirea recomandării complete. La luarea deciziei de aprobare sau nu a obligației în cursul zilei propuse, autoritatea națională de reglementare analizează dacă obligația respectivă îndeplinește criteriile stabilite la articolul 26 alineatul (2). </w:t>
            </w:r>
          </w:p>
          <w:p w:rsidR="008850FA" w:rsidRPr="00981BD4" w:rsidRDefault="008850FA" w:rsidP="00DA725A">
            <w:pPr>
              <w:jc w:val="both"/>
              <w:textAlignment w:val="baseline"/>
              <w:rPr>
                <w:rFonts w:ascii="Segoe UI" w:hAnsi="Segoe UI" w:cs="Segoe UI"/>
                <w:sz w:val="18"/>
                <w:szCs w:val="18"/>
                <w:lang w:val="it-IT" w:eastAsia="en-US"/>
              </w:rPr>
            </w:pP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(2)   Înaintea luării deciziei motivate, autoritatea națională de reglementare se consultă cu autoritățile naționale de reglementare ale statelor membre adiacente și ține seama de opiniile acestora. Autoritatea sau autoritățile naționale de reglementare ale statelor membre învecinate pot să solicite avizul agenției, în conformitate cu articolul 7 alineatul (4) din Regulamentul (CE) nr. 713/2009, cu privire la decizia menționată la alineatul (1). </w:t>
            </w:r>
          </w:p>
          <w:p w:rsidR="00E53B90" w:rsidRPr="00981BD4" w:rsidRDefault="00E53B90" w:rsidP="00DA725A">
            <w:pPr>
              <w:jc w:val="center"/>
              <w:textAlignment w:val="baseline"/>
              <w:rPr>
                <w:b/>
                <w:bCs/>
                <w:sz w:val="18"/>
                <w:szCs w:val="18"/>
                <w:lang w:val="it-IT" w:eastAsia="en-US"/>
              </w:rPr>
            </w:pPr>
          </w:p>
        </w:tc>
        <w:tc>
          <w:tcPr>
            <w:tcW w:w="4962" w:type="dxa"/>
            <w:shd w:val="clear" w:color="auto" w:fill="auto"/>
          </w:tcPr>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Secţiunea 4</w:t>
            </w:r>
          </w:p>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Procesul decizional al Agenţiei</w:t>
            </w:r>
          </w:p>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535.</w:t>
            </w:r>
            <w:r w:rsidRPr="00EC47F8">
              <w:rPr>
                <w:bCs/>
                <w:sz w:val="18"/>
                <w:szCs w:val="18"/>
                <w:lang w:val="ro-RO" w:eastAsia="en-US"/>
              </w:rPr>
              <w:t xml:space="preserve"> Agenţia adoptă şi publică o hotărîre motivată în termen de 6 luni de la primirea documentului de recomandare complet. La luarea hotărârii de aprobare sau nu a obligaţiei intrazilnice propuse, Agenţia analizează dacă obligaţia respectivă îndeplineşte criteriile stabilite la pct.530.</w:t>
            </w:r>
          </w:p>
          <w:p w:rsidR="0048636E" w:rsidRDefault="0048636E" w:rsidP="008850FA">
            <w:pPr>
              <w:jc w:val="both"/>
              <w:textAlignment w:val="baseline"/>
              <w:rPr>
                <w:b/>
                <w:bCs/>
                <w:sz w:val="18"/>
                <w:szCs w:val="18"/>
                <w:lang w:val="ro-RO" w:eastAsia="en-US"/>
              </w:rPr>
            </w:pPr>
          </w:p>
          <w:p w:rsidR="008850FA" w:rsidRDefault="008850FA" w:rsidP="008850FA">
            <w:pPr>
              <w:jc w:val="both"/>
              <w:textAlignment w:val="baseline"/>
              <w:rPr>
                <w:b/>
                <w:bCs/>
                <w:sz w:val="18"/>
                <w:szCs w:val="18"/>
                <w:lang w:val="ro-RO" w:eastAsia="en-US"/>
              </w:rPr>
            </w:pPr>
          </w:p>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536.</w:t>
            </w:r>
            <w:r w:rsidRPr="00EC47F8">
              <w:rPr>
                <w:bCs/>
                <w:sz w:val="18"/>
                <w:szCs w:val="18"/>
                <w:lang w:val="ro-RO" w:eastAsia="en-US"/>
              </w:rPr>
              <w:t xml:space="preserve"> Înaintea luării deciziei motivate, Agenţia se consultă cu autorităţile naţionale de reglementare ale Parţilor Contractante a Comunităţii Energetice adiacente şi statelor membre UE adiacente şi ţine seama de opiniile acestora. Agenţia va consulta Comitetul de reglementare al CE cu privire la decizia menţionată la pct.535.</w:t>
            </w:r>
          </w:p>
          <w:p w:rsidR="00E53B90" w:rsidRPr="00EC47F8" w:rsidRDefault="00E53B90" w:rsidP="008850FA">
            <w:pPr>
              <w:jc w:val="both"/>
              <w:textAlignment w:val="baseline"/>
              <w:rPr>
                <w:b/>
                <w:bCs/>
                <w:sz w:val="18"/>
                <w:szCs w:val="18"/>
                <w:lang w:val="ro-RO" w:eastAsia="en-US"/>
              </w:rPr>
            </w:pPr>
          </w:p>
        </w:tc>
        <w:tc>
          <w:tcPr>
            <w:tcW w:w="1275" w:type="dxa"/>
            <w:shd w:val="clear" w:color="auto" w:fill="auto"/>
          </w:tcPr>
          <w:p w:rsidR="00E53B90" w:rsidRDefault="00E53B90" w:rsidP="008850FA">
            <w:pPr>
              <w:jc w:val="both"/>
              <w:rPr>
                <w:b/>
                <w:sz w:val="18"/>
                <w:szCs w:val="18"/>
                <w:lang w:val="it-IT"/>
              </w:rPr>
            </w:pPr>
          </w:p>
          <w:p w:rsidR="0040113C" w:rsidRDefault="0040113C" w:rsidP="008850FA">
            <w:pPr>
              <w:jc w:val="both"/>
              <w:rPr>
                <w:b/>
                <w:sz w:val="18"/>
                <w:szCs w:val="18"/>
                <w:lang w:val="it-IT"/>
              </w:rPr>
            </w:pPr>
          </w:p>
          <w:p w:rsidR="0040113C" w:rsidRDefault="0040113C" w:rsidP="008850FA">
            <w:pPr>
              <w:jc w:val="both"/>
              <w:rPr>
                <w:sz w:val="18"/>
                <w:szCs w:val="18"/>
              </w:rPr>
            </w:pPr>
            <w:r w:rsidRPr="00E55B82">
              <w:rPr>
                <w:sz w:val="18"/>
                <w:szCs w:val="18"/>
              </w:rPr>
              <w:t>Compatibil</w:t>
            </w:r>
          </w:p>
          <w:p w:rsidR="0040113C" w:rsidRDefault="0040113C" w:rsidP="008850FA">
            <w:pPr>
              <w:jc w:val="both"/>
              <w:rPr>
                <w:sz w:val="18"/>
                <w:szCs w:val="18"/>
              </w:rPr>
            </w:pPr>
          </w:p>
          <w:p w:rsidR="0040113C" w:rsidRDefault="0040113C" w:rsidP="008850FA">
            <w:pPr>
              <w:jc w:val="both"/>
              <w:rPr>
                <w:sz w:val="18"/>
                <w:szCs w:val="18"/>
              </w:rPr>
            </w:pPr>
          </w:p>
          <w:p w:rsidR="0040113C" w:rsidRDefault="0040113C" w:rsidP="008850FA">
            <w:pPr>
              <w:jc w:val="both"/>
              <w:rPr>
                <w:sz w:val="18"/>
                <w:szCs w:val="18"/>
              </w:rPr>
            </w:pPr>
          </w:p>
          <w:p w:rsidR="0040113C" w:rsidRDefault="0040113C" w:rsidP="008850FA">
            <w:pPr>
              <w:jc w:val="both"/>
              <w:rPr>
                <w:sz w:val="18"/>
                <w:szCs w:val="18"/>
              </w:rPr>
            </w:pPr>
          </w:p>
          <w:p w:rsidR="0040113C" w:rsidRDefault="0040113C" w:rsidP="008850FA">
            <w:pPr>
              <w:jc w:val="both"/>
              <w:rPr>
                <w:sz w:val="18"/>
                <w:szCs w:val="18"/>
              </w:rPr>
            </w:pPr>
          </w:p>
          <w:p w:rsidR="008850FA" w:rsidRDefault="008850FA" w:rsidP="008850FA">
            <w:pPr>
              <w:jc w:val="both"/>
              <w:rPr>
                <w:sz w:val="18"/>
                <w:szCs w:val="18"/>
              </w:rPr>
            </w:pPr>
          </w:p>
          <w:p w:rsidR="0040113C" w:rsidRPr="00D82EE4" w:rsidRDefault="0040113C" w:rsidP="008850FA">
            <w:pPr>
              <w:jc w:val="both"/>
              <w:rPr>
                <w:b/>
                <w:sz w:val="18"/>
                <w:szCs w:val="18"/>
                <w:lang w:val="it-IT"/>
              </w:rPr>
            </w:pPr>
            <w:r w:rsidRPr="00E55B82">
              <w:rPr>
                <w:sz w:val="18"/>
                <w:szCs w:val="18"/>
              </w:rPr>
              <w:t>Compatibil</w:t>
            </w:r>
          </w:p>
        </w:tc>
        <w:tc>
          <w:tcPr>
            <w:tcW w:w="4253" w:type="dxa"/>
            <w:shd w:val="clear" w:color="auto" w:fill="auto"/>
          </w:tcPr>
          <w:p w:rsidR="00E53B90" w:rsidRPr="00E84D74" w:rsidRDefault="00E53B90" w:rsidP="008850FA">
            <w:pPr>
              <w:autoSpaceDE w:val="0"/>
              <w:autoSpaceDN w:val="0"/>
              <w:adjustRightInd w:val="0"/>
              <w:jc w:val="both"/>
              <w:rPr>
                <w:b/>
                <w:bCs/>
                <w:i/>
                <w:iCs/>
                <w:sz w:val="18"/>
                <w:szCs w:val="18"/>
              </w:rPr>
            </w:pPr>
            <w:r w:rsidRPr="00E84D74">
              <w:rPr>
                <w:b/>
                <w:bCs/>
                <w:i/>
                <w:iCs/>
                <w:sz w:val="18"/>
                <w:szCs w:val="18"/>
              </w:rPr>
              <w:t>Article 27</w:t>
            </w:r>
          </w:p>
          <w:p w:rsidR="00E53B90" w:rsidRPr="00E84D74" w:rsidRDefault="00E53B90" w:rsidP="008850FA">
            <w:pPr>
              <w:autoSpaceDE w:val="0"/>
              <w:autoSpaceDN w:val="0"/>
              <w:adjustRightInd w:val="0"/>
              <w:jc w:val="both"/>
              <w:rPr>
                <w:b/>
                <w:bCs/>
                <w:sz w:val="18"/>
                <w:szCs w:val="18"/>
              </w:rPr>
            </w:pPr>
            <w:r w:rsidRPr="00E84D74">
              <w:rPr>
                <w:b/>
                <w:bCs/>
                <w:sz w:val="18"/>
                <w:szCs w:val="18"/>
              </w:rPr>
              <w:t>National regulatory authority decision making</w:t>
            </w:r>
          </w:p>
          <w:p w:rsidR="00E53B90" w:rsidRPr="00E84D74" w:rsidRDefault="00E53B90" w:rsidP="008850FA">
            <w:pPr>
              <w:autoSpaceDE w:val="0"/>
              <w:autoSpaceDN w:val="0"/>
              <w:adjustRightInd w:val="0"/>
              <w:jc w:val="both"/>
              <w:rPr>
                <w:sz w:val="18"/>
                <w:szCs w:val="18"/>
              </w:rPr>
            </w:pPr>
            <w:r w:rsidRPr="00E84D74">
              <w:rPr>
                <w:sz w:val="18"/>
                <w:szCs w:val="18"/>
              </w:rPr>
              <w:t>1. The national regulatory authority shall take and publish a motivated decision within six months</w:t>
            </w:r>
            <w:r w:rsidR="00B435D6" w:rsidRPr="00E84D74">
              <w:rPr>
                <w:sz w:val="18"/>
                <w:szCs w:val="18"/>
              </w:rPr>
              <w:t xml:space="preserve"> </w:t>
            </w:r>
            <w:r w:rsidRPr="00E84D74">
              <w:rPr>
                <w:sz w:val="18"/>
                <w:szCs w:val="18"/>
              </w:rPr>
              <w:t>following the receipt of the complete recommendation document. In deciding whether to approve</w:t>
            </w:r>
            <w:r w:rsidR="00B435D6" w:rsidRPr="00E84D74">
              <w:rPr>
                <w:sz w:val="18"/>
                <w:szCs w:val="18"/>
              </w:rPr>
              <w:t xml:space="preserve"> </w:t>
            </w:r>
            <w:r w:rsidRPr="00E84D74">
              <w:rPr>
                <w:sz w:val="18"/>
                <w:szCs w:val="18"/>
              </w:rPr>
              <w:t>the proposed within day obligation, the national regulatory authority shall assess whether this within</w:t>
            </w:r>
            <w:r w:rsidR="00B435D6" w:rsidRPr="00E84D74">
              <w:rPr>
                <w:sz w:val="18"/>
                <w:szCs w:val="18"/>
              </w:rPr>
              <w:t xml:space="preserve"> </w:t>
            </w:r>
            <w:r w:rsidRPr="00E84D74">
              <w:rPr>
                <w:sz w:val="18"/>
                <w:szCs w:val="18"/>
              </w:rPr>
              <w:t>day obligation meets the criteria set out in Article 26(2).</w:t>
            </w:r>
          </w:p>
          <w:p w:rsidR="00E53B90" w:rsidRPr="00E84D74" w:rsidRDefault="00E53B90" w:rsidP="008850FA">
            <w:pPr>
              <w:autoSpaceDE w:val="0"/>
              <w:autoSpaceDN w:val="0"/>
              <w:adjustRightInd w:val="0"/>
              <w:jc w:val="both"/>
              <w:rPr>
                <w:sz w:val="18"/>
                <w:szCs w:val="18"/>
              </w:rPr>
            </w:pPr>
            <w:r w:rsidRPr="00E84D74">
              <w:rPr>
                <w:sz w:val="18"/>
                <w:szCs w:val="18"/>
              </w:rPr>
              <w:t>2. Before taking the motivated decision the national regulatory authority shall consult with the national</w:t>
            </w:r>
          </w:p>
          <w:p w:rsidR="00E53B90" w:rsidRPr="00E84D74" w:rsidRDefault="00E53B90" w:rsidP="008850FA">
            <w:pPr>
              <w:autoSpaceDE w:val="0"/>
              <w:autoSpaceDN w:val="0"/>
              <w:adjustRightInd w:val="0"/>
              <w:jc w:val="both"/>
              <w:rPr>
                <w:sz w:val="18"/>
                <w:szCs w:val="18"/>
              </w:rPr>
            </w:pPr>
            <w:r w:rsidRPr="00E84D74">
              <w:rPr>
                <w:sz w:val="18"/>
                <w:szCs w:val="18"/>
              </w:rPr>
              <w:t xml:space="preserve">regulatory authorities of adjacent </w:t>
            </w:r>
            <w:r w:rsidRPr="00E84D74">
              <w:rPr>
                <w:b/>
                <w:bCs/>
                <w:sz w:val="18"/>
                <w:szCs w:val="18"/>
              </w:rPr>
              <w:t>Energy Community Contracting Parties and adjacent EU</w:t>
            </w:r>
            <w:r w:rsidR="00B435D6" w:rsidRPr="00E84D74">
              <w:rPr>
                <w:b/>
                <w:bCs/>
                <w:sz w:val="18"/>
                <w:szCs w:val="18"/>
              </w:rPr>
              <w:t xml:space="preserve"> </w:t>
            </w:r>
            <w:r w:rsidRPr="00E84D74">
              <w:rPr>
                <w:sz w:val="18"/>
                <w:szCs w:val="18"/>
              </w:rPr>
              <w:t>Member States and take account of their opinions. The adjacent national regulatory authority(-ies) may</w:t>
            </w:r>
            <w:r w:rsidR="00B435D6" w:rsidRPr="00E84D74">
              <w:rPr>
                <w:sz w:val="18"/>
                <w:szCs w:val="18"/>
              </w:rPr>
              <w:t xml:space="preserve"> </w:t>
            </w:r>
            <w:r w:rsidRPr="00E84D74">
              <w:rPr>
                <w:b/>
                <w:bCs/>
                <w:sz w:val="18"/>
                <w:szCs w:val="18"/>
              </w:rPr>
              <w:t xml:space="preserve">consult </w:t>
            </w:r>
            <w:r w:rsidRPr="00E84D74">
              <w:rPr>
                <w:sz w:val="18"/>
                <w:szCs w:val="18"/>
              </w:rPr>
              <w:t xml:space="preserve">the </w:t>
            </w:r>
            <w:r w:rsidRPr="00E84D74">
              <w:rPr>
                <w:b/>
                <w:bCs/>
                <w:sz w:val="18"/>
                <w:szCs w:val="18"/>
              </w:rPr>
              <w:t xml:space="preserve">Energy Community Regulatory Board &lt;…&gt; </w:t>
            </w:r>
            <w:r w:rsidRPr="00E84D74">
              <w:rPr>
                <w:sz w:val="18"/>
                <w:szCs w:val="18"/>
              </w:rPr>
              <w:t>on the decision referred to in paragraph 1.</w:t>
            </w:r>
          </w:p>
          <w:p w:rsidR="00E53B90" w:rsidRPr="00E84D74" w:rsidRDefault="00E53B90" w:rsidP="008850FA">
            <w:pPr>
              <w:autoSpaceDE w:val="0"/>
              <w:autoSpaceDN w:val="0"/>
              <w:adjustRightInd w:val="0"/>
              <w:jc w:val="both"/>
              <w:rPr>
                <w:b/>
                <w:bCs/>
                <w:i/>
                <w:iCs/>
                <w:sz w:val="18"/>
                <w:szCs w:val="18"/>
              </w:rPr>
            </w:pPr>
          </w:p>
        </w:tc>
      </w:tr>
      <w:tr w:rsidR="003A47F8" w:rsidRPr="00043955" w:rsidTr="00FC3840">
        <w:trPr>
          <w:trHeight w:val="1240"/>
        </w:trPr>
        <w:tc>
          <w:tcPr>
            <w:tcW w:w="5245" w:type="dxa"/>
            <w:shd w:val="clear" w:color="auto" w:fill="auto"/>
          </w:tcPr>
          <w:p w:rsidR="00A762D9" w:rsidRPr="00981BD4" w:rsidRDefault="00532A01" w:rsidP="00DA725A">
            <w:pPr>
              <w:jc w:val="center"/>
              <w:textAlignment w:val="baseline"/>
              <w:rPr>
                <w:rFonts w:ascii="Segoe UI" w:hAnsi="Segoe UI" w:cs="Segoe UI"/>
                <w:sz w:val="18"/>
                <w:szCs w:val="18"/>
                <w:lang w:val="it-IT" w:eastAsia="en-US"/>
              </w:rPr>
            </w:pPr>
            <w:r w:rsidRPr="00981BD4">
              <w:rPr>
                <w:b/>
                <w:bCs/>
                <w:sz w:val="18"/>
                <w:szCs w:val="18"/>
                <w:lang w:val="it-IT" w:eastAsia="en-US"/>
              </w:rPr>
              <w:t xml:space="preserve">A </w:t>
            </w:r>
            <w:r w:rsidR="00A762D9" w:rsidRPr="00981BD4">
              <w:rPr>
                <w:b/>
                <w:bCs/>
                <w:sz w:val="18"/>
                <w:szCs w:val="18"/>
                <w:lang w:val="it-IT" w:eastAsia="en-US"/>
              </w:rPr>
              <w:t>rticolul 28</w:t>
            </w:r>
          </w:p>
          <w:p w:rsidR="00A762D9" w:rsidRPr="00981BD4" w:rsidRDefault="00A762D9" w:rsidP="00DA725A">
            <w:pPr>
              <w:jc w:val="center"/>
              <w:textAlignment w:val="baseline"/>
              <w:rPr>
                <w:rFonts w:ascii="Segoe UI" w:hAnsi="Segoe UI" w:cs="Segoe UI"/>
                <w:sz w:val="18"/>
                <w:szCs w:val="18"/>
                <w:lang w:val="it-IT" w:eastAsia="en-US"/>
              </w:rPr>
            </w:pPr>
            <w:r w:rsidRPr="00981BD4">
              <w:rPr>
                <w:b/>
                <w:bCs/>
                <w:sz w:val="18"/>
                <w:szCs w:val="18"/>
                <w:lang w:val="it-IT" w:eastAsia="en-US"/>
              </w:rPr>
              <w:t>Obligații în cursul zilei existente</w:t>
            </w:r>
          </w:p>
          <w:p w:rsidR="00A762D9" w:rsidRPr="00981BD4" w:rsidRDefault="00A762D9" w:rsidP="00DA725A">
            <w:pPr>
              <w:jc w:val="both"/>
              <w:textAlignment w:val="baseline"/>
              <w:rPr>
                <w:rFonts w:ascii="Segoe UI" w:hAnsi="Segoe UI" w:cs="Segoe UI"/>
                <w:sz w:val="18"/>
                <w:szCs w:val="18"/>
                <w:lang w:val="it-IT" w:eastAsia="en-US"/>
              </w:rPr>
            </w:pPr>
            <w:r w:rsidRPr="00981BD4">
              <w:rPr>
                <w:sz w:val="18"/>
                <w:szCs w:val="18"/>
                <w:lang w:val="it-IT" w:eastAsia="en-US"/>
              </w:rPr>
              <w:t>În cazul în care operatorul de sistem de transport are una sau mai multe obligații la data intrării în vigoare a prezentului regulament, acesta urmează, în termen de șase luni, procesul prevăzut la articolul 26 alineatele (5)-(7) și prezintă autorității naționale de reglementare obligația (obligațiile) în cursul zilei, în conformitate cu articolul 27, pentru a obține aprobarea de continuare a utilizării acesteia (acestora). </w:t>
            </w:r>
          </w:p>
          <w:p w:rsidR="003A47F8" w:rsidRPr="00981BD4" w:rsidRDefault="003A47F8" w:rsidP="00DA725A">
            <w:pPr>
              <w:jc w:val="center"/>
              <w:textAlignment w:val="baseline"/>
              <w:rPr>
                <w:b/>
                <w:bCs/>
                <w:sz w:val="18"/>
                <w:szCs w:val="18"/>
                <w:lang w:val="it-IT" w:eastAsia="en-US"/>
              </w:rPr>
            </w:pPr>
          </w:p>
        </w:tc>
        <w:tc>
          <w:tcPr>
            <w:tcW w:w="4962" w:type="dxa"/>
            <w:shd w:val="clear" w:color="auto" w:fill="auto"/>
          </w:tcPr>
          <w:p w:rsidR="004C3779" w:rsidRDefault="004C3779" w:rsidP="008850FA">
            <w:pPr>
              <w:jc w:val="both"/>
              <w:textAlignment w:val="baseline"/>
              <w:rPr>
                <w:b/>
                <w:bCs/>
                <w:sz w:val="18"/>
                <w:szCs w:val="18"/>
                <w:lang w:val="ro-RO" w:eastAsia="en-US"/>
              </w:rPr>
            </w:pPr>
          </w:p>
          <w:p w:rsidR="004C3779" w:rsidRDefault="004C3779" w:rsidP="008850FA">
            <w:pPr>
              <w:jc w:val="both"/>
              <w:textAlignment w:val="baseline"/>
              <w:rPr>
                <w:b/>
                <w:bCs/>
                <w:sz w:val="18"/>
                <w:szCs w:val="18"/>
                <w:lang w:val="ro-RO" w:eastAsia="en-US"/>
              </w:rPr>
            </w:pPr>
          </w:p>
          <w:p w:rsidR="00751872" w:rsidRPr="00EC47F8" w:rsidRDefault="00751872" w:rsidP="008850FA">
            <w:pPr>
              <w:jc w:val="both"/>
              <w:textAlignment w:val="baseline"/>
              <w:rPr>
                <w:bCs/>
                <w:sz w:val="18"/>
                <w:szCs w:val="18"/>
                <w:lang w:val="ro-RO" w:eastAsia="en-US"/>
              </w:rPr>
            </w:pPr>
            <w:r w:rsidRPr="00EC47F8">
              <w:rPr>
                <w:b/>
                <w:bCs/>
                <w:sz w:val="18"/>
                <w:szCs w:val="18"/>
                <w:lang w:val="ro-RO" w:eastAsia="en-US"/>
              </w:rPr>
              <w:t>537.</w:t>
            </w:r>
            <w:r w:rsidRPr="00EC47F8">
              <w:rPr>
                <w:bCs/>
                <w:sz w:val="18"/>
                <w:szCs w:val="18"/>
                <w:lang w:val="ro-RO" w:eastAsia="en-US"/>
              </w:rPr>
              <w:t xml:space="preserve"> În cazul în care OST are una sau mai multe obligaţii la data intrării în vigoare a prezentului Titlu, acesta urmează, în termen de 6 luni de la data respectivă, să aplice procedura prevăzută la punctele 535-536 şi prezintă Agenţiei obligaţia (obligaţiile) intrazilnică (-e), în conformitate cu punctul 535, pentru a obţine aprobarea utilizării acesteia (acestora).</w:t>
            </w:r>
          </w:p>
          <w:p w:rsidR="003A47F8" w:rsidRPr="00751872" w:rsidRDefault="003A47F8" w:rsidP="008850FA">
            <w:pPr>
              <w:jc w:val="both"/>
              <w:textAlignment w:val="baseline"/>
              <w:rPr>
                <w:b/>
                <w:bCs/>
                <w:sz w:val="18"/>
                <w:szCs w:val="18"/>
                <w:lang w:val="ro-RO" w:eastAsia="en-US"/>
              </w:rPr>
            </w:pPr>
          </w:p>
        </w:tc>
        <w:tc>
          <w:tcPr>
            <w:tcW w:w="1275" w:type="dxa"/>
            <w:shd w:val="clear" w:color="auto" w:fill="auto"/>
          </w:tcPr>
          <w:p w:rsidR="003A47F8" w:rsidRPr="00485F66" w:rsidRDefault="003A47F8" w:rsidP="008850FA">
            <w:pPr>
              <w:jc w:val="both"/>
              <w:rPr>
                <w:b/>
                <w:sz w:val="18"/>
                <w:szCs w:val="18"/>
                <w:lang w:val="ro-RO"/>
              </w:rPr>
            </w:pPr>
          </w:p>
          <w:p w:rsidR="000408EB" w:rsidRPr="00485F66" w:rsidRDefault="000408EB" w:rsidP="008850FA">
            <w:pPr>
              <w:jc w:val="both"/>
              <w:rPr>
                <w:b/>
                <w:sz w:val="18"/>
                <w:szCs w:val="18"/>
                <w:lang w:val="ro-RO"/>
              </w:rPr>
            </w:pPr>
          </w:p>
          <w:p w:rsidR="000408EB" w:rsidRPr="00D82EE4" w:rsidRDefault="000408EB" w:rsidP="008850FA">
            <w:pPr>
              <w:jc w:val="both"/>
              <w:rPr>
                <w:b/>
                <w:sz w:val="18"/>
                <w:szCs w:val="18"/>
                <w:lang w:val="it-IT"/>
              </w:rPr>
            </w:pPr>
            <w:r w:rsidRPr="00E55B82">
              <w:rPr>
                <w:sz w:val="18"/>
                <w:szCs w:val="18"/>
              </w:rPr>
              <w:t>Compatibil</w:t>
            </w:r>
          </w:p>
        </w:tc>
        <w:tc>
          <w:tcPr>
            <w:tcW w:w="4253" w:type="dxa"/>
            <w:shd w:val="clear" w:color="auto" w:fill="auto"/>
          </w:tcPr>
          <w:p w:rsidR="00A762D9" w:rsidRPr="00E84D74" w:rsidRDefault="00A762D9" w:rsidP="008850FA">
            <w:pPr>
              <w:autoSpaceDE w:val="0"/>
              <w:autoSpaceDN w:val="0"/>
              <w:adjustRightInd w:val="0"/>
              <w:jc w:val="both"/>
              <w:rPr>
                <w:b/>
                <w:bCs/>
                <w:i/>
                <w:iCs/>
                <w:sz w:val="18"/>
                <w:szCs w:val="18"/>
              </w:rPr>
            </w:pPr>
            <w:r w:rsidRPr="00E84D74">
              <w:rPr>
                <w:b/>
                <w:bCs/>
                <w:i/>
                <w:iCs/>
                <w:sz w:val="18"/>
                <w:szCs w:val="18"/>
              </w:rPr>
              <w:t>Article 28</w:t>
            </w:r>
          </w:p>
          <w:p w:rsidR="00A762D9" w:rsidRPr="00E84D74" w:rsidRDefault="00A762D9" w:rsidP="008850FA">
            <w:pPr>
              <w:autoSpaceDE w:val="0"/>
              <w:autoSpaceDN w:val="0"/>
              <w:adjustRightInd w:val="0"/>
              <w:jc w:val="both"/>
              <w:rPr>
                <w:b/>
                <w:bCs/>
                <w:sz w:val="18"/>
                <w:szCs w:val="18"/>
              </w:rPr>
            </w:pPr>
            <w:r w:rsidRPr="00E84D74">
              <w:rPr>
                <w:b/>
                <w:bCs/>
                <w:sz w:val="18"/>
                <w:szCs w:val="18"/>
              </w:rPr>
              <w:t>Existing within day obligations</w:t>
            </w:r>
          </w:p>
          <w:p w:rsidR="00A762D9" w:rsidRPr="00E84D74" w:rsidRDefault="00A762D9" w:rsidP="008850FA">
            <w:pPr>
              <w:autoSpaceDE w:val="0"/>
              <w:autoSpaceDN w:val="0"/>
              <w:adjustRightInd w:val="0"/>
              <w:jc w:val="both"/>
              <w:rPr>
                <w:b/>
                <w:bCs/>
                <w:sz w:val="18"/>
                <w:szCs w:val="18"/>
              </w:rPr>
            </w:pPr>
            <w:r w:rsidRPr="00E84D74">
              <w:rPr>
                <w:sz w:val="18"/>
                <w:szCs w:val="18"/>
              </w:rPr>
              <w:t xml:space="preserve">Where the transmission system operator has within day obligation(s) at the date of </w:t>
            </w:r>
            <w:r w:rsidRPr="00E84D74">
              <w:rPr>
                <w:b/>
                <w:bCs/>
                <w:sz w:val="18"/>
                <w:szCs w:val="18"/>
              </w:rPr>
              <w:t>expiry of the</w:t>
            </w:r>
          </w:p>
          <w:p w:rsidR="00A762D9" w:rsidRPr="00E84D74" w:rsidRDefault="00A762D9" w:rsidP="008850FA">
            <w:pPr>
              <w:autoSpaceDE w:val="0"/>
              <w:autoSpaceDN w:val="0"/>
              <w:adjustRightInd w:val="0"/>
              <w:jc w:val="both"/>
              <w:rPr>
                <w:sz w:val="18"/>
                <w:szCs w:val="18"/>
              </w:rPr>
            </w:pPr>
            <w:r w:rsidRPr="00E84D74">
              <w:rPr>
                <w:b/>
                <w:bCs/>
                <w:sz w:val="18"/>
                <w:szCs w:val="18"/>
              </w:rPr>
              <w:t xml:space="preserve">deadline for transposition </w:t>
            </w:r>
            <w:r w:rsidRPr="00E84D74">
              <w:rPr>
                <w:sz w:val="18"/>
                <w:szCs w:val="18"/>
              </w:rPr>
              <w:t>of this Regulation, within six months from such date this transmission</w:t>
            </w:r>
          </w:p>
          <w:p w:rsidR="00A762D9" w:rsidRPr="00E84D74" w:rsidRDefault="00A762D9" w:rsidP="008850FA">
            <w:pPr>
              <w:autoSpaceDE w:val="0"/>
              <w:autoSpaceDN w:val="0"/>
              <w:adjustRightInd w:val="0"/>
              <w:jc w:val="both"/>
              <w:rPr>
                <w:sz w:val="18"/>
                <w:szCs w:val="18"/>
              </w:rPr>
            </w:pPr>
            <w:r w:rsidRPr="00E84D74">
              <w:rPr>
                <w:sz w:val="18"/>
                <w:szCs w:val="18"/>
              </w:rPr>
              <w:t>system operator shall follow the process set out in Article 26(5) to (7) and shall submit the within</w:t>
            </w:r>
          </w:p>
          <w:p w:rsidR="00A762D9" w:rsidRPr="00E84D74" w:rsidRDefault="00A762D9" w:rsidP="008850FA">
            <w:pPr>
              <w:autoSpaceDE w:val="0"/>
              <w:autoSpaceDN w:val="0"/>
              <w:adjustRightInd w:val="0"/>
              <w:jc w:val="both"/>
              <w:rPr>
                <w:sz w:val="18"/>
                <w:szCs w:val="18"/>
              </w:rPr>
            </w:pPr>
            <w:r w:rsidRPr="00E84D74">
              <w:rPr>
                <w:sz w:val="18"/>
                <w:szCs w:val="18"/>
              </w:rPr>
              <w:t>day obligation(s) to the national regulatory authority for approval in accordance with Article 27 to</w:t>
            </w:r>
          </w:p>
          <w:p w:rsidR="00A762D9" w:rsidRPr="00E84D74" w:rsidRDefault="00A762D9" w:rsidP="008850FA">
            <w:pPr>
              <w:autoSpaceDE w:val="0"/>
              <w:autoSpaceDN w:val="0"/>
              <w:adjustRightInd w:val="0"/>
              <w:jc w:val="both"/>
              <w:rPr>
                <w:sz w:val="18"/>
                <w:szCs w:val="18"/>
              </w:rPr>
            </w:pPr>
            <w:r w:rsidRPr="00E84D74">
              <w:rPr>
                <w:sz w:val="18"/>
                <w:szCs w:val="18"/>
              </w:rPr>
              <w:t>continue its (their) use.</w:t>
            </w:r>
          </w:p>
          <w:p w:rsidR="003A47F8" w:rsidRPr="00E84D74" w:rsidRDefault="003A47F8" w:rsidP="008850FA">
            <w:pPr>
              <w:autoSpaceDE w:val="0"/>
              <w:autoSpaceDN w:val="0"/>
              <w:adjustRightInd w:val="0"/>
              <w:jc w:val="both"/>
              <w:rPr>
                <w:b/>
                <w:bCs/>
                <w:i/>
                <w:iCs/>
                <w:sz w:val="18"/>
                <w:szCs w:val="18"/>
              </w:rPr>
            </w:pPr>
          </w:p>
        </w:tc>
      </w:tr>
      <w:tr w:rsidR="00654881" w:rsidRPr="00043955" w:rsidTr="00FC3840">
        <w:trPr>
          <w:trHeight w:val="1240"/>
        </w:trPr>
        <w:tc>
          <w:tcPr>
            <w:tcW w:w="5245" w:type="dxa"/>
            <w:shd w:val="clear" w:color="auto" w:fill="auto"/>
          </w:tcPr>
          <w:p w:rsidR="00654881" w:rsidRPr="00981BD4" w:rsidRDefault="00654881" w:rsidP="00DA725A">
            <w:pPr>
              <w:jc w:val="center"/>
              <w:textAlignment w:val="baseline"/>
              <w:rPr>
                <w:rFonts w:ascii="Segoe UI" w:hAnsi="Segoe UI" w:cs="Segoe UI"/>
                <w:sz w:val="18"/>
                <w:szCs w:val="18"/>
                <w:lang w:val="it-IT" w:eastAsia="en-US"/>
              </w:rPr>
            </w:pPr>
            <w:r w:rsidRPr="00981BD4">
              <w:rPr>
                <w:b/>
                <w:bCs/>
                <w:sz w:val="18"/>
                <w:szCs w:val="18"/>
                <w:lang w:val="it-IT" w:eastAsia="en-US"/>
              </w:rPr>
              <w:t>CAPITOLUL VII</w:t>
            </w:r>
          </w:p>
          <w:p w:rsidR="00654881" w:rsidRPr="00981BD4" w:rsidRDefault="00654881" w:rsidP="00DA725A">
            <w:pPr>
              <w:jc w:val="center"/>
              <w:textAlignment w:val="baseline"/>
              <w:rPr>
                <w:rFonts w:ascii="Segoe UI" w:hAnsi="Segoe UI" w:cs="Segoe UI"/>
                <w:sz w:val="18"/>
                <w:szCs w:val="18"/>
                <w:lang w:val="it-IT" w:eastAsia="en-US"/>
              </w:rPr>
            </w:pPr>
            <w:r w:rsidRPr="00981BD4">
              <w:rPr>
                <w:b/>
                <w:bCs/>
                <w:sz w:val="18"/>
                <w:szCs w:val="18"/>
                <w:lang w:val="it-IT" w:eastAsia="en-US"/>
              </w:rPr>
              <w:t>MĂSURI PRIVIND NEUTRALITATEA</w:t>
            </w:r>
          </w:p>
          <w:p w:rsidR="00654881" w:rsidRPr="00981BD4" w:rsidRDefault="00654881" w:rsidP="00DA725A">
            <w:pPr>
              <w:jc w:val="center"/>
              <w:textAlignment w:val="baseline"/>
              <w:rPr>
                <w:rFonts w:ascii="Segoe UI" w:hAnsi="Segoe UI" w:cs="Segoe UI"/>
                <w:sz w:val="18"/>
                <w:szCs w:val="18"/>
                <w:lang w:val="it-IT" w:eastAsia="en-US"/>
              </w:rPr>
            </w:pPr>
            <w:r w:rsidRPr="00981BD4">
              <w:rPr>
                <w:sz w:val="18"/>
                <w:szCs w:val="18"/>
                <w:lang w:val="it-IT" w:eastAsia="en-US"/>
              </w:rPr>
              <w:t>Articolul 29</w:t>
            </w:r>
          </w:p>
          <w:p w:rsidR="00654881" w:rsidRPr="00981BD4" w:rsidRDefault="00654881" w:rsidP="00DA725A">
            <w:pPr>
              <w:jc w:val="center"/>
              <w:textAlignment w:val="baseline"/>
              <w:rPr>
                <w:rFonts w:ascii="Segoe UI" w:hAnsi="Segoe UI" w:cs="Segoe UI"/>
                <w:sz w:val="18"/>
                <w:szCs w:val="18"/>
                <w:lang w:val="it-IT" w:eastAsia="en-US"/>
              </w:rPr>
            </w:pPr>
            <w:r w:rsidRPr="00981BD4">
              <w:rPr>
                <w:sz w:val="18"/>
                <w:szCs w:val="18"/>
                <w:lang w:val="it-IT" w:eastAsia="en-US"/>
              </w:rPr>
              <w:t>Principii de neutralitate</w:t>
            </w:r>
          </w:p>
          <w:p w:rsidR="00E660DF" w:rsidRDefault="00654881" w:rsidP="00DA725A">
            <w:pPr>
              <w:jc w:val="both"/>
              <w:textAlignment w:val="baseline"/>
              <w:rPr>
                <w:sz w:val="18"/>
                <w:szCs w:val="18"/>
                <w:lang w:val="it-IT" w:eastAsia="en-US"/>
              </w:rPr>
            </w:pPr>
            <w:r w:rsidRPr="00981BD4">
              <w:rPr>
                <w:sz w:val="18"/>
                <w:szCs w:val="18"/>
                <w:lang w:val="it-IT" w:eastAsia="en-US"/>
              </w:rPr>
              <w:t>(1)   Operatorul de sistem de transport nu înregistrează câștiguri sau pierderi ca urmare a achitării sau perceperii de tarife de dezechilibru zilnic, de tarife în cursul zilei, de tarife privind acțiunile de echilibrare și de alte tarife legate de activitățile de echilibrare, care reprezintă de fapt toate activitățile desfășurate de operatorul de sistem de transport în vederea îndeplinirii obligațiilor prevăzute în prezentul regulament.</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transferă către utilizatorii rețelei: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toate costurile și veniturile rezultate din tarifele de dezechilibru zilnic și din tarifele în cursul zilei;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toate costurile și veniturile rezultate din acțiunile de echilibrare întreprinse în temeiul articolului 9, cu excepția cazului în care autoritatea națională de reglementare consideră respectivele costuri și venituri ca fiind suportate în mod ineficient în conformitate cu normele naționale aplicabile. O astfel de considerație se bazează pe o evaluare care: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demonstrează în ce măsură operatorul de sistem de transport ar fi putut să reducă în mod rezonabil costurile suportate pentru desfășurarea acțiunii de echilibrare; precum și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se realizează cu privire la informațiile, timpul și instrumentele aflate la dispoziția operatorului de sistem de transport în momentul în care a decis să întreprindă acțiunea de echilibrare;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54881" w:rsidRDefault="00654881"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toate celelalte costuri și venituri aferente activităților de echilibrare întreprinse de operatorul de sistem de transport, cu excepția cazului în care autoritatea națională de reglementare consideră respectivele costuri și venituri ca fiind suportate în mod ineficient în conformitate cu normele naționale aplicabile. </w:t>
            </w:r>
          </w:p>
          <w:p w:rsidR="00E660DF" w:rsidRDefault="00E660DF" w:rsidP="00DA725A">
            <w:pPr>
              <w:jc w:val="both"/>
              <w:textAlignment w:val="baseline"/>
              <w:rPr>
                <w:rFonts w:ascii="Segoe UI" w:hAnsi="Segoe UI" w:cs="Segoe UI"/>
                <w:sz w:val="18"/>
                <w:szCs w:val="18"/>
                <w:lang w:val="it-IT" w:eastAsia="en-US"/>
              </w:rPr>
            </w:pPr>
          </w:p>
          <w:p w:rsidR="005004DA" w:rsidRPr="00981BD4" w:rsidRDefault="005004DA" w:rsidP="00DA725A">
            <w:pPr>
              <w:jc w:val="both"/>
              <w:textAlignment w:val="baseline"/>
              <w:rPr>
                <w:rFonts w:ascii="Segoe UI" w:hAnsi="Segoe UI" w:cs="Segoe UI"/>
                <w:sz w:val="18"/>
                <w:szCs w:val="18"/>
                <w:lang w:val="it-IT" w:eastAsia="en-US"/>
              </w:rPr>
            </w:pP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(3)   Atunci când se pune în aplicare un stimulent pentru promovarea desfășurării eficiente de acțiuni de echilibrare, pierderile financiare cumulate se limitează la costurile și veniturile suportate în mod ineficient de către operatorul de sistem de transport. </w:t>
            </w:r>
          </w:p>
          <w:p w:rsidR="00654881" w:rsidRDefault="00654881" w:rsidP="00DA725A">
            <w:pPr>
              <w:jc w:val="both"/>
              <w:textAlignment w:val="baseline"/>
              <w:rPr>
                <w:sz w:val="18"/>
                <w:szCs w:val="18"/>
                <w:lang w:val="it-IT" w:eastAsia="en-US"/>
              </w:rPr>
            </w:pPr>
            <w:r w:rsidRPr="00981BD4">
              <w:rPr>
                <w:sz w:val="18"/>
                <w:szCs w:val="18"/>
                <w:lang w:val="it-IT" w:eastAsia="en-US"/>
              </w:rPr>
              <w:t>(4)   Operatorii de sisteme de transport publică datele relevante privind tarifele cumulate menționate la alineatul (1) și tarifele cumulate de neutralitate pentru echilibrare, cel puțin cu aceeași frecvență cu care sunt facturate tarifele respective către utilizatorii rețelei, dar nu mai puțin de o dată pe lună. </w:t>
            </w:r>
          </w:p>
          <w:p w:rsidR="005004DA" w:rsidRDefault="005004DA" w:rsidP="00DA725A">
            <w:pPr>
              <w:jc w:val="both"/>
              <w:textAlignment w:val="baseline"/>
              <w:rPr>
                <w:sz w:val="18"/>
                <w:szCs w:val="18"/>
                <w:lang w:val="it-IT" w:eastAsia="en-US"/>
              </w:rPr>
            </w:pPr>
          </w:p>
          <w:p w:rsidR="00654881" w:rsidRPr="00981BD4" w:rsidRDefault="00654881" w:rsidP="00DA725A">
            <w:pPr>
              <w:jc w:val="both"/>
              <w:textAlignment w:val="baseline"/>
              <w:rPr>
                <w:b/>
                <w:bCs/>
                <w:sz w:val="18"/>
                <w:szCs w:val="18"/>
                <w:lang w:val="it-IT" w:eastAsia="en-US"/>
              </w:rPr>
            </w:pPr>
            <w:r w:rsidRPr="00981BD4">
              <w:rPr>
                <w:sz w:val="18"/>
                <w:szCs w:val="18"/>
                <w:lang w:val="it-IT" w:eastAsia="en-US"/>
              </w:rPr>
              <w:t>(5)   Fără a aduce atingere alineatelor (1) și (2), operatorul de sistem de transport, în rolul său de responsabil cu echilibrarea, poate face obiectul unui mecanism de stimulare, în conformitate cu articolul 11.</w:t>
            </w:r>
          </w:p>
        </w:tc>
        <w:tc>
          <w:tcPr>
            <w:tcW w:w="4962" w:type="dxa"/>
            <w:shd w:val="clear" w:color="auto" w:fill="auto"/>
          </w:tcPr>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lastRenderedPageBreak/>
              <w:t>Capitolul VII</w:t>
            </w:r>
          </w:p>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t>MĂSURI PRIVIND NEUTRALITATEA</w:t>
            </w:r>
          </w:p>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t>Secţiunea 1</w:t>
            </w:r>
          </w:p>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t>Principii de neutralitate</w:t>
            </w:r>
          </w:p>
          <w:p w:rsidR="00785E2E" w:rsidRDefault="00785E2E" w:rsidP="00785E2E">
            <w:pPr>
              <w:textAlignment w:val="baseline"/>
              <w:rPr>
                <w:bCs/>
                <w:sz w:val="18"/>
                <w:szCs w:val="18"/>
                <w:lang w:val="ro-RO" w:eastAsia="en-US"/>
              </w:rPr>
            </w:pPr>
            <w:r w:rsidRPr="00785E2E">
              <w:rPr>
                <w:b/>
                <w:bCs/>
                <w:sz w:val="18"/>
                <w:szCs w:val="18"/>
                <w:lang w:val="ro-RO" w:eastAsia="en-US"/>
              </w:rPr>
              <w:t>538.</w:t>
            </w:r>
            <w:r w:rsidRPr="00785E2E">
              <w:rPr>
                <w:bCs/>
                <w:sz w:val="18"/>
                <w:szCs w:val="18"/>
                <w:lang w:val="ro-RO" w:eastAsia="en-US"/>
              </w:rPr>
              <w:t xml:space="preserve"> OST nu înregistrează câştiguri sau pierderi ca urmare a achitării sau perceperii plăţii pentru dezechilibru zilnic, plăţii intrazilnice, plăţilor privind acţiunile de echilibrare şi de alte cheltuieli legate de activităţile de echilibrare, care reprezintă de fapt toate activităţile desfăşurate de OST în vederea îndeplinirii obligaţiilor prevăzute în prezentul Titlu.</w:t>
            </w:r>
          </w:p>
          <w:p w:rsidR="00E660DF" w:rsidRPr="00785E2E" w:rsidRDefault="00E660DF"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539.</w:t>
            </w:r>
            <w:r w:rsidRPr="00785E2E">
              <w:rPr>
                <w:bCs/>
                <w:sz w:val="18"/>
                <w:szCs w:val="18"/>
                <w:lang w:val="ro-RO" w:eastAsia="en-US"/>
              </w:rPr>
              <w:t xml:space="preserve"> OST transferă către utilizatorii de sistem:</w:t>
            </w:r>
          </w:p>
          <w:p w:rsidR="00785E2E" w:rsidRPr="00785E2E" w:rsidRDefault="00785E2E" w:rsidP="00785E2E">
            <w:pPr>
              <w:textAlignment w:val="baseline"/>
              <w:rPr>
                <w:bCs/>
                <w:sz w:val="18"/>
                <w:szCs w:val="18"/>
                <w:lang w:val="ro-RO" w:eastAsia="en-US"/>
              </w:rPr>
            </w:pPr>
            <w:r w:rsidRPr="00785E2E">
              <w:rPr>
                <w:bCs/>
                <w:sz w:val="18"/>
                <w:szCs w:val="18"/>
                <w:lang w:val="ro-RO" w:eastAsia="en-US"/>
              </w:rPr>
              <w:lastRenderedPageBreak/>
              <w:t>1) toate costurile şi veniturile rezultate din plăţile pentru dezechilibru zilnic şi din plăţile intrazilnice;</w:t>
            </w:r>
          </w:p>
          <w:p w:rsidR="00CA6D15" w:rsidRDefault="00CA6D15"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Cs/>
                <w:sz w:val="18"/>
                <w:szCs w:val="18"/>
                <w:lang w:val="ro-RO" w:eastAsia="en-US"/>
              </w:rPr>
              <w:t xml:space="preserve">2) toate costurile şi veniturile rezultate din acţiunile de echilibrare întreprinse în temeiul prevederilor din Secţiunea 4 Capitolul IV din prezentul Titlu, cu excepţia cazului în care Agenţia consideră respectivele costuri şi venituri ca fiind suportate în mod ineficient în conformitate cu </w:t>
            </w:r>
            <w:r w:rsidRPr="00785E2E">
              <w:rPr>
                <w:b/>
                <w:bCs/>
                <w:sz w:val="18"/>
                <w:szCs w:val="18"/>
                <w:lang w:val="ro-RO" w:eastAsia="en-US"/>
              </w:rPr>
              <w:t>normele naţionale aplicabile</w:t>
            </w:r>
            <w:r w:rsidRPr="00785E2E">
              <w:rPr>
                <w:bCs/>
                <w:sz w:val="18"/>
                <w:szCs w:val="18"/>
                <w:lang w:val="ro-RO" w:eastAsia="en-US"/>
              </w:rPr>
              <w:t>. O astfel de consideraţie se bazează pe o evaluare care:</w:t>
            </w:r>
          </w:p>
          <w:p w:rsidR="00785E2E" w:rsidRPr="00785E2E" w:rsidRDefault="00785E2E" w:rsidP="00785E2E">
            <w:pPr>
              <w:textAlignment w:val="baseline"/>
              <w:rPr>
                <w:bCs/>
                <w:sz w:val="18"/>
                <w:szCs w:val="18"/>
                <w:lang w:val="ro-RO" w:eastAsia="en-US"/>
              </w:rPr>
            </w:pPr>
            <w:r w:rsidRPr="00785E2E">
              <w:rPr>
                <w:bCs/>
                <w:sz w:val="18"/>
                <w:szCs w:val="18"/>
                <w:lang w:val="ro-RO" w:eastAsia="en-US"/>
              </w:rPr>
              <w:t>a) demonstrează în ce măsură OST ar fi putut să reducă în mod rezonabil costurile suportate pentru desfăşurarea acţiunii de echilibrare; precum şi</w:t>
            </w:r>
          </w:p>
          <w:p w:rsidR="00785E2E" w:rsidRPr="00785E2E" w:rsidRDefault="00785E2E" w:rsidP="00785E2E">
            <w:pPr>
              <w:textAlignment w:val="baseline"/>
              <w:rPr>
                <w:bCs/>
                <w:sz w:val="18"/>
                <w:szCs w:val="18"/>
                <w:lang w:val="ro-RO" w:eastAsia="en-US"/>
              </w:rPr>
            </w:pPr>
            <w:r w:rsidRPr="00785E2E">
              <w:rPr>
                <w:bCs/>
                <w:sz w:val="18"/>
                <w:szCs w:val="18"/>
                <w:lang w:val="ro-RO" w:eastAsia="en-US"/>
              </w:rPr>
              <w:t>b) se realizează cu privire la informaţiile, timpul şi instrumentele aflate la dispoziţia OST în momentul în care a decis să întreprindă acţiunea de echilibrare;</w:t>
            </w:r>
          </w:p>
          <w:p w:rsidR="00CA6D15" w:rsidRDefault="00CA6D15" w:rsidP="00785E2E">
            <w:pPr>
              <w:textAlignment w:val="baseline"/>
              <w:rPr>
                <w:bCs/>
                <w:sz w:val="18"/>
                <w:szCs w:val="18"/>
                <w:lang w:val="ro-RO" w:eastAsia="en-US"/>
              </w:rPr>
            </w:pPr>
          </w:p>
          <w:p w:rsidR="00785E2E" w:rsidRDefault="00785E2E" w:rsidP="00785E2E">
            <w:pPr>
              <w:textAlignment w:val="baseline"/>
              <w:rPr>
                <w:bCs/>
                <w:sz w:val="18"/>
                <w:szCs w:val="18"/>
                <w:lang w:val="ro-RO" w:eastAsia="en-US"/>
              </w:rPr>
            </w:pPr>
            <w:r w:rsidRPr="00785E2E">
              <w:rPr>
                <w:bCs/>
                <w:sz w:val="18"/>
                <w:szCs w:val="18"/>
                <w:lang w:val="ro-RO" w:eastAsia="en-US"/>
              </w:rPr>
              <w:t xml:space="preserve">3) toate celelalte costuri şi venituri aferente activităţilor de echilibrare întreprinse de OST, cu excepţia cazului în care Agenţia consideră respectivele costuri şi venituri ca fiind suportate în mod ineficient în conformitate cu </w:t>
            </w:r>
            <w:r w:rsidRPr="00785E2E">
              <w:rPr>
                <w:b/>
                <w:bCs/>
                <w:sz w:val="18"/>
                <w:szCs w:val="18"/>
                <w:lang w:val="ro-RO" w:eastAsia="en-US"/>
              </w:rPr>
              <w:t>normele naţionale</w:t>
            </w:r>
            <w:r w:rsidRPr="00785E2E">
              <w:rPr>
                <w:bCs/>
                <w:sz w:val="18"/>
                <w:szCs w:val="18"/>
                <w:lang w:val="ro-RO" w:eastAsia="en-US"/>
              </w:rPr>
              <w:t xml:space="preserve"> aplicabile.</w:t>
            </w:r>
          </w:p>
          <w:p w:rsidR="00E660DF" w:rsidRPr="00785E2E" w:rsidRDefault="00E660DF"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540.</w:t>
            </w:r>
            <w:r w:rsidRPr="00785E2E">
              <w:rPr>
                <w:bCs/>
                <w:sz w:val="18"/>
                <w:szCs w:val="18"/>
                <w:lang w:val="ro-RO" w:eastAsia="en-US"/>
              </w:rPr>
              <w:t xml:space="preserve"> Atunci când se pune în aplicare un stimulent pentru promovarea desfăşurării eficiente de acţiuni de echilibrare, pierderile financiare cumulate se limitează la costurile şi veniturile suportate în mod ineficient de către OST.</w:t>
            </w:r>
          </w:p>
          <w:p w:rsidR="00785E2E" w:rsidRDefault="00785E2E" w:rsidP="00785E2E">
            <w:pPr>
              <w:textAlignment w:val="baseline"/>
              <w:rPr>
                <w:bCs/>
                <w:sz w:val="18"/>
                <w:szCs w:val="18"/>
                <w:lang w:val="ro-RO" w:eastAsia="en-US"/>
              </w:rPr>
            </w:pPr>
            <w:r w:rsidRPr="00785E2E">
              <w:rPr>
                <w:b/>
                <w:bCs/>
                <w:sz w:val="18"/>
                <w:szCs w:val="18"/>
                <w:lang w:val="ro-RO" w:eastAsia="en-US"/>
              </w:rPr>
              <w:t>541.</w:t>
            </w:r>
            <w:r w:rsidRPr="00785E2E">
              <w:rPr>
                <w:bCs/>
                <w:sz w:val="18"/>
                <w:szCs w:val="18"/>
                <w:lang w:val="ro-RO" w:eastAsia="en-US"/>
              </w:rPr>
              <w:t xml:space="preserve"> OST publică datele relevante privind plăţile cumulate menţionate la pct.539 şi plăţile cumulate de neutralitate, cel puţin cu aceeaşi frecvenţă cu care sunt facturate plăţile respective către utilizatorii de sistem, dar nu mai puţin de o dată pe lună.</w:t>
            </w:r>
          </w:p>
          <w:p w:rsidR="00E660DF" w:rsidRDefault="00E660DF" w:rsidP="00785E2E">
            <w:pPr>
              <w:textAlignment w:val="baseline"/>
              <w:rPr>
                <w:bCs/>
                <w:sz w:val="18"/>
                <w:szCs w:val="18"/>
                <w:lang w:val="ro-RO" w:eastAsia="en-US"/>
              </w:rPr>
            </w:pPr>
          </w:p>
          <w:p w:rsidR="005004DA" w:rsidRPr="00785E2E" w:rsidRDefault="005004DA"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542.</w:t>
            </w:r>
            <w:r w:rsidRPr="00785E2E">
              <w:rPr>
                <w:bCs/>
                <w:sz w:val="18"/>
                <w:szCs w:val="18"/>
                <w:lang w:val="ro-RO" w:eastAsia="en-US"/>
              </w:rPr>
              <w:t xml:space="preserve"> Fără a aduce atingere punctelor 539-540, OST poate în calitate de responsabil de echilibrare, să beneficieze de un mecanism de stimulare, în conformitate cu Secţiunea 6 Capitolul III din prezentul Titlu.</w:t>
            </w:r>
          </w:p>
          <w:p w:rsidR="00654881" w:rsidRPr="00BE464B" w:rsidRDefault="00654881" w:rsidP="00785E2E">
            <w:pPr>
              <w:textAlignment w:val="baseline"/>
              <w:rPr>
                <w:b/>
                <w:bCs/>
                <w:sz w:val="18"/>
                <w:szCs w:val="18"/>
                <w:lang w:val="ro-MD" w:eastAsia="en-US"/>
              </w:rPr>
            </w:pPr>
            <w:r w:rsidRPr="00981BD4">
              <w:rPr>
                <w:sz w:val="18"/>
                <w:szCs w:val="18"/>
                <w:lang w:val="it-IT" w:eastAsia="en-US"/>
              </w:rPr>
              <w:t> </w:t>
            </w:r>
          </w:p>
        </w:tc>
        <w:tc>
          <w:tcPr>
            <w:tcW w:w="1275" w:type="dxa"/>
            <w:shd w:val="clear" w:color="auto" w:fill="auto"/>
          </w:tcPr>
          <w:p w:rsidR="00654881" w:rsidRDefault="00654881" w:rsidP="00DA725A">
            <w:pPr>
              <w:jc w:val="both"/>
              <w:rPr>
                <w:b/>
                <w:sz w:val="18"/>
                <w:szCs w:val="18"/>
                <w:lang w:val="it-IT"/>
              </w:rPr>
            </w:pPr>
          </w:p>
          <w:p w:rsidR="000408EB" w:rsidRDefault="000408EB" w:rsidP="00DA725A">
            <w:pPr>
              <w:jc w:val="both"/>
              <w:rPr>
                <w:b/>
                <w:sz w:val="18"/>
                <w:szCs w:val="18"/>
                <w:lang w:val="it-IT"/>
              </w:rPr>
            </w:pPr>
          </w:p>
          <w:p w:rsidR="000408EB" w:rsidRDefault="000408EB" w:rsidP="00DA725A">
            <w:pPr>
              <w:jc w:val="both"/>
              <w:rPr>
                <w:b/>
                <w:sz w:val="18"/>
                <w:szCs w:val="18"/>
                <w:lang w:val="it-IT"/>
              </w:rPr>
            </w:pPr>
          </w:p>
          <w:p w:rsidR="000408EB" w:rsidRDefault="000408EB" w:rsidP="00DA725A">
            <w:pPr>
              <w:jc w:val="both"/>
              <w:rPr>
                <w:b/>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Default="000408EB" w:rsidP="00DA725A">
            <w:pPr>
              <w:jc w:val="both"/>
              <w:rPr>
                <w:sz w:val="18"/>
                <w:szCs w:val="18"/>
                <w:lang w:val="it-IT"/>
              </w:rPr>
            </w:pPr>
          </w:p>
          <w:p w:rsidR="00E660DF" w:rsidRDefault="00E660DF" w:rsidP="00DA725A">
            <w:pPr>
              <w:jc w:val="both"/>
              <w:rPr>
                <w:sz w:val="18"/>
                <w:szCs w:val="18"/>
                <w:lang w:val="it-IT"/>
              </w:rPr>
            </w:pPr>
          </w:p>
          <w:p w:rsidR="00E660DF" w:rsidRPr="00981BD4" w:rsidRDefault="00E660DF"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7A512E" w:rsidRPr="00981BD4" w:rsidRDefault="007A512E" w:rsidP="00DA725A">
            <w:pPr>
              <w:jc w:val="both"/>
              <w:rPr>
                <w:sz w:val="18"/>
                <w:szCs w:val="18"/>
                <w:lang w:val="it-IT"/>
              </w:rPr>
            </w:pPr>
          </w:p>
          <w:p w:rsidR="007A512E" w:rsidRDefault="007A512E" w:rsidP="00DA725A">
            <w:pPr>
              <w:jc w:val="both"/>
              <w:rPr>
                <w:sz w:val="18"/>
                <w:szCs w:val="18"/>
                <w:lang w:val="it-IT"/>
              </w:rPr>
            </w:pPr>
          </w:p>
          <w:p w:rsidR="00E660DF" w:rsidRDefault="00E660DF" w:rsidP="00DA725A">
            <w:pPr>
              <w:jc w:val="both"/>
              <w:rPr>
                <w:sz w:val="18"/>
                <w:szCs w:val="18"/>
                <w:lang w:val="it-IT"/>
              </w:rPr>
            </w:pPr>
          </w:p>
          <w:p w:rsidR="00E660DF" w:rsidRDefault="00E660DF" w:rsidP="00DA725A">
            <w:pPr>
              <w:jc w:val="both"/>
              <w:rPr>
                <w:sz w:val="18"/>
                <w:szCs w:val="18"/>
                <w:lang w:val="it-IT"/>
              </w:rPr>
            </w:pPr>
          </w:p>
          <w:p w:rsidR="00E660DF" w:rsidRDefault="00E660DF" w:rsidP="00DA725A">
            <w:pPr>
              <w:jc w:val="both"/>
              <w:rPr>
                <w:sz w:val="18"/>
                <w:szCs w:val="18"/>
                <w:lang w:val="it-IT"/>
              </w:rPr>
            </w:pPr>
          </w:p>
          <w:p w:rsidR="00E660DF" w:rsidRPr="00981BD4" w:rsidRDefault="00E660DF"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D82EE4" w:rsidRDefault="000408EB" w:rsidP="00DA725A">
            <w:pPr>
              <w:jc w:val="both"/>
              <w:rPr>
                <w:b/>
                <w:sz w:val="18"/>
                <w:szCs w:val="18"/>
                <w:lang w:val="it-IT"/>
              </w:rPr>
            </w:pPr>
            <w:r w:rsidRPr="00981BD4">
              <w:rPr>
                <w:sz w:val="18"/>
                <w:szCs w:val="18"/>
                <w:lang w:val="it-IT"/>
              </w:rPr>
              <w:t>Compatibil</w:t>
            </w:r>
          </w:p>
        </w:tc>
        <w:tc>
          <w:tcPr>
            <w:tcW w:w="4253" w:type="dxa"/>
            <w:shd w:val="clear" w:color="auto" w:fill="auto"/>
          </w:tcPr>
          <w:p w:rsidR="00654881" w:rsidRPr="00E84D74" w:rsidRDefault="00654881" w:rsidP="00DA725A">
            <w:pPr>
              <w:autoSpaceDE w:val="0"/>
              <w:autoSpaceDN w:val="0"/>
              <w:adjustRightInd w:val="0"/>
              <w:jc w:val="center"/>
              <w:rPr>
                <w:b/>
                <w:bCs/>
                <w:sz w:val="18"/>
                <w:szCs w:val="18"/>
              </w:rPr>
            </w:pPr>
            <w:r w:rsidRPr="00E84D74">
              <w:rPr>
                <w:b/>
                <w:bCs/>
                <w:sz w:val="18"/>
                <w:szCs w:val="18"/>
              </w:rPr>
              <w:lastRenderedPageBreak/>
              <w:t>CHAPTER VII</w:t>
            </w:r>
          </w:p>
          <w:p w:rsidR="00654881" w:rsidRPr="00E84D74" w:rsidRDefault="00654881" w:rsidP="00DA725A">
            <w:pPr>
              <w:autoSpaceDE w:val="0"/>
              <w:autoSpaceDN w:val="0"/>
              <w:adjustRightInd w:val="0"/>
              <w:jc w:val="center"/>
              <w:rPr>
                <w:b/>
                <w:bCs/>
                <w:sz w:val="18"/>
                <w:szCs w:val="18"/>
              </w:rPr>
            </w:pPr>
            <w:r w:rsidRPr="00E84D74">
              <w:rPr>
                <w:b/>
                <w:bCs/>
                <w:sz w:val="18"/>
                <w:szCs w:val="18"/>
              </w:rPr>
              <w:t>NEUTRALITY ARRANGEMENTS</w:t>
            </w:r>
          </w:p>
          <w:p w:rsidR="00654881" w:rsidRPr="00E84D74" w:rsidRDefault="00654881" w:rsidP="00DA725A">
            <w:pPr>
              <w:autoSpaceDE w:val="0"/>
              <w:autoSpaceDN w:val="0"/>
              <w:adjustRightInd w:val="0"/>
              <w:jc w:val="center"/>
              <w:rPr>
                <w:b/>
                <w:bCs/>
                <w:i/>
                <w:iCs/>
                <w:sz w:val="18"/>
                <w:szCs w:val="18"/>
              </w:rPr>
            </w:pPr>
            <w:r w:rsidRPr="00E84D74">
              <w:rPr>
                <w:b/>
                <w:bCs/>
                <w:i/>
                <w:iCs/>
                <w:sz w:val="18"/>
                <w:szCs w:val="18"/>
              </w:rPr>
              <w:t>Article 29</w:t>
            </w:r>
          </w:p>
          <w:p w:rsidR="00654881" w:rsidRPr="00E84D74" w:rsidRDefault="00654881" w:rsidP="00DA725A">
            <w:pPr>
              <w:autoSpaceDE w:val="0"/>
              <w:autoSpaceDN w:val="0"/>
              <w:adjustRightInd w:val="0"/>
              <w:jc w:val="center"/>
              <w:rPr>
                <w:b/>
                <w:bCs/>
                <w:sz w:val="18"/>
                <w:szCs w:val="18"/>
              </w:rPr>
            </w:pPr>
            <w:r w:rsidRPr="00E84D74">
              <w:rPr>
                <w:b/>
                <w:bCs/>
                <w:sz w:val="18"/>
                <w:szCs w:val="18"/>
              </w:rPr>
              <w:t>Principles of neutrality</w:t>
            </w:r>
          </w:p>
          <w:p w:rsidR="00654881" w:rsidRPr="00E84D74" w:rsidRDefault="00654881" w:rsidP="00DA725A">
            <w:pPr>
              <w:autoSpaceDE w:val="0"/>
              <w:autoSpaceDN w:val="0"/>
              <w:adjustRightInd w:val="0"/>
              <w:rPr>
                <w:sz w:val="18"/>
                <w:szCs w:val="18"/>
              </w:rPr>
            </w:pPr>
            <w:r w:rsidRPr="00E84D74">
              <w:rPr>
                <w:sz w:val="18"/>
                <w:szCs w:val="18"/>
              </w:rPr>
              <w:t>1. The transmission system operator shall not gain or lose by the payment and receipt of daily imbal ance charges, within day charges, balancing actions charges and other charges related to its balancing activities, which shall be considered as all the activities undertaken by the transmission system operator to fulfil the obligations set out in this Regulation.</w:t>
            </w:r>
          </w:p>
          <w:p w:rsidR="00654881" w:rsidRPr="00E84D74" w:rsidRDefault="00654881" w:rsidP="00DA725A">
            <w:pPr>
              <w:autoSpaceDE w:val="0"/>
              <w:autoSpaceDN w:val="0"/>
              <w:adjustRightInd w:val="0"/>
              <w:rPr>
                <w:sz w:val="18"/>
                <w:szCs w:val="18"/>
              </w:rPr>
            </w:pPr>
            <w:r w:rsidRPr="00E84D74">
              <w:rPr>
                <w:sz w:val="18"/>
                <w:szCs w:val="18"/>
              </w:rPr>
              <w:t>2. The transmission system operator shall pass to network users:</w:t>
            </w:r>
          </w:p>
          <w:p w:rsidR="00654881" w:rsidRPr="00E84D74" w:rsidRDefault="00654881" w:rsidP="00DA725A">
            <w:pPr>
              <w:autoSpaceDE w:val="0"/>
              <w:autoSpaceDN w:val="0"/>
              <w:adjustRightInd w:val="0"/>
              <w:rPr>
                <w:sz w:val="18"/>
                <w:szCs w:val="18"/>
              </w:rPr>
            </w:pPr>
            <w:r w:rsidRPr="00E84D74">
              <w:rPr>
                <w:sz w:val="18"/>
                <w:szCs w:val="18"/>
              </w:rPr>
              <w:lastRenderedPageBreak/>
              <w:t>(a) any costs and revenues arising from daily imbalance charges and within day charges;</w:t>
            </w:r>
          </w:p>
          <w:p w:rsidR="00654881" w:rsidRPr="00E84D74" w:rsidRDefault="00654881" w:rsidP="00DA725A">
            <w:pPr>
              <w:autoSpaceDE w:val="0"/>
              <w:autoSpaceDN w:val="0"/>
              <w:adjustRightInd w:val="0"/>
              <w:rPr>
                <w:sz w:val="18"/>
                <w:szCs w:val="18"/>
              </w:rPr>
            </w:pPr>
            <w:r w:rsidRPr="00E84D74">
              <w:rPr>
                <w:sz w:val="18"/>
                <w:szCs w:val="18"/>
              </w:rPr>
              <w:t>(b) any costs and revenues arising from the balancing actions undertaken pursuant to Article 9, unless the national regulatory authority considers those costs and revenues as incurred inefficiently in accordance with the applicable national rules. This consideration shall be based upon an assessment which:</w:t>
            </w:r>
          </w:p>
          <w:p w:rsidR="00052D01" w:rsidRPr="00E84D74" w:rsidRDefault="00654881" w:rsidP="00DA725A">
            <w:pPr>
              <w:autoSpaceDE w:val="0"/>
              <w:autoSpaceDN w:val="0"/>
              <w:adjustRightInd w:val="0"/>
              <w:rPr>
                <w:sz w:val="18"/>
                <w:szCs w:val="18"/>
              </w:rPr>
            </w:pPr>
            <w:r w:rsidRPr="00E84D74">
              <w:rPr>
                <w:sz w:val="18"/>
                <w:szCs w:val="18"/>
              </w:rPr>
              <w:t>(i) shall demonstrate to what extent the transmission system operator could have reasonably mitigated the costs incurred when undertaking the balancing action; and</w:t>
            </w:r>
            <w:r w:rsidR="00052D01" w:rsidRPr="00E84D74">
              <w:rPr>
                <w:sz w:val="18"/>
                <w:szCs w:val="18"/>
              </w:rPr>
              <w:t xml:space="preserve"> </w:t>
            </w:r>
          </w:p>
          <w:p w:rsidR="00654881" w:rsidRPr="00E84D74" w:rsidRDefault="00654881" w:rsidP="00DA725A">
            <w:pPr>
              <w:autoSpaceDE w:val="0"/>
              <w:autoSpaceDN w:val="0"/>
              <w:adjustRightInd w:val="0"/>
              <w:rPr>
                <w:sz w:val="18"/>
                <w:szCs w:val="18"/>
              </w:rPr>
            </w:pPr>
            <w:r w:rsidRPr="00E84D74">
              <w:rPr>
                <w:sz w:val="18"/>
                <w:szCs w:val="18"/>
              </w:rPr>
              <w:t>(ii) shall be made with regard to the information, the time and the tools available to the transmission system operator at the moment it decided to undertake the balancing action;</w:t>
            </w:r>
          </w:p>
          <w:p w:rsidR="00654881" w:rsidRDefault="00654881" w:rsidP="00E660DF">
            <w:pPr>
              <w:autoSpaceDE w:val="0"/>
              <w:autoSpaceDN w:val="0"/>
              <w:adjustRightInd w:val="0"/>
              <w:rPr>
                <w:sz w:val="18"/>
                <w:szCs w:val="18"/>
              </w:rPr>
            </w:pPr>
            <w:r w:rsidRPr="00E84D74">
              <w:rPr>
                <w:sz w:val="18"/>
                <w:szCs w:val="18"/>
              </w:rPr>
              <w:t>(c) any other costs and revenues related to thebalancing activities undertaken by the transmission system perator, unless the national regulatory authority onsiders these costs and revenues as incurred efficiently in accordance with the applicable national rules.</w:t>
            </w:r>
          </w:p>
          <w:p w:rsidR="004C3779" w:rsidRPr="00E84D74" w:rsidRDefault="004C3779" w:rsidP="00E660DF">
            <w:pPr>
              <w:autoSpaceDE w:val="0"/>
              <w:autoSpaceDN w:val="0"/>
              <w:adjustRightInd w:val="0"/>
              <w:rPr>
                <w:sz w:val="18"/>
                <w:szCs w:val="18"/>
              </w:rPr>
            </w:pPr>
          </w:p>
          <w:p w:rsidR="00654881" w:rsidRPr="00E84D74" w:rsidRDefault="00654881" w:rsidP="00E660DF">
            <w:pPr>
              <w:autoSpaceDE w:val="0"/>
              <w:autoSpaceDN w:val="0"/>
              <w:adjustRightInd w:val="0"/>
              <w:rPr>
                <w:sz w:val="18"/>
                <w:szCs w:val="18"/>
              </w:rPr>
            </w:pPr>
            <w:r w:rsidRPr="00E84D74">
              <w:rPr>
                <w:sz w:val="18"/>
                <w:szCs w:val="18"/>
              </w:rPr>
              <w:t>3. Where an incentive to promote efficient undertaking of balancing actions is implemented, the aggregate inancial loss shall be limited to the transmission system operator’s inefficiently incurred costs and revenues.</w:t>
            </w:r>
          </w:p>
          <w:p w:rsidR="00654881" w:rsidRPr="00E84D74" w:rsidRDefault="00654881" w:rsidP="00DA725A">
            <w:pPr>
              <w:autoSpaceDE w:val="0"/>
              <w:autoSpaceDN w:val="0"/>
              <w:adjustRightInd w:val="0"/>
              <w:rPr>
                <w:sz w:val="18"/>
                <w:szCs w:val="18"/>
              </w:rPr>
            </w:pPr>
            <w:r w:rsidRPr="00E84D74">
              <w:rPr>
                <w:sz w:val="18"/>
                <w:szCs w:val="18"/>
              </w:rPr>
              <w:t>4. Transmission system operators shall publish the relevant data regarding the aggregate charges referred to in paragraph 1 and the aggregate neutrality charges for balancing, at least at the same frequency as the respective charges are invoiced to network users, but no less than once per month.</w:t>
            </w:r>
          </w:p>
          <w:p w:rsidR="00654881" w:rsidRPr="00E84D74" w:rsidRDefault="00654881" w:rsidP="00DA725A">
            <w:pPr>
              <w:autoSpaceDE w:val="0"/>
              <w:autoSpaceDN w:val="0"/>
              <w:adjustRightInd w:val="0"/>
              <w:rPr>
                <w:b/>
                <w:bCs/>
                <w:sz w:val="18"/>
                <w:szCs w:val="18"/>
              </w:rPr>
            </w:pPr>
            <w:r w:rsidRPr="00E84D74">
              <w:rPr>
                <w:sz w:val="18"/>
                <w:szCs w:val="18"/>
              </w:rPr>
              <w:t>5. Notwithstanding paragraphs 1 and 2, the transmission system operator in its balancing role may be subject to an incentive mechanism as referred to in Article 11.</w:t>
            </w:r>
          </w:p>
        </w:tc>
      </w:tr>
      <w:tr w:rsidR="00637D2C" w:rsidRPr="00043955" w:rsidTr="00FC3840">
        <w:trPr>
          <w:trHeight w:val="1240"/>
        </w:trPr>
        <w:tc>
          <w:tcPr>
            <w:tcW w:w="5245" w:type="dxa"/>
            <w:shd w:val="clear" w:color="auto" w:fill="auto"/>
          </w:tcPr>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30</w:t>
            </w:r>
          </w:p>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t>Fluxurile de trezorerie pentru neutralitatea echilibrării</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(1)   Tariful de neutralitate pentru echilibrare este plătit utilizatorului în cauză al rețelei sau de către acesta.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37D2C" w:rsidRDefault="00637D2C" w:rsidP="00DA725A">
            <w:pPr>
              <w:jc w:val="both"/>
              <w:textAlignment w:val="baseline"/>
              <w:rPr>
                <w:sz w:val="18"/>
                <w:szCs w:val="18"/>
                <w:lang w:val="it-IT" w:eastAsia="en-US"/>
              </w:rPr>
            </w:pPr>
            <w:r w:rsidRPr="00981BD4">
              <w:rPr>
                <w:sz w:val="18"/>
                <w:szCs w:val="18"/>
                <w:lang w:val="it-IT" w:eastAsia="en-US"/>
              </w:rPr>
              <w:t>(2)   Autoritatea națională de reglementare stabilește sau aprobă și publică metodologia pentru calcularea tarifelor de neutralitate pentru echilibrare, inclusiv repartizarea lor în rândul utilizatorilor rețelei și normele de administrare a riscului de credit. </w:t>
            </w:r>
          </w:p>
          <w:p w:rsidR="00E672A5" w:rsidRDefault="00E672A5" w:rsidP="00DA725A">
            <w:pPr>
              <w:jc w:val="both"/>
              <w:textAlignment w:val="baseline"/>
              <w:rPr>
                <w:rFonts w:ascii="Segoe UI" w:hAnsi="Segoe UI" w:cs="Segoe UI"/>
                <w:sz w:val="18"/>
                <w:szCs w:val="18"/>
                <w:lang w:val="it-IT" w:eastAsia="en-US"/>
              </w:rPr>
            </w:pPr>
          </w:p>
          <w:p w:rsidR="005004DA" w:rsidRPr="00981BD4" w:rsidRDefault="005004DA" w:rsidP="00DA725A">
            <w:pPr>
              <w:jc w:val="both"/>
              <w:textAlignment w:val="baseline"/>
              <w:rPr>
                <w:rFonts w:ascii="Segoe UI" w:hAnsi="Segoe UI" w:cs="Segoe UI"/>
                <w:sz w:val="18"/>
                <w:szCs w:val="18"/>
                <w:lang w:val="it-IT" w:eastAsia="en-US"/>
              </w:rPr>
            </w:pPr>
          </w:p>
          <w:p w:rsidR="00637D2C" w:rsidRDefault="00637D2C" w:rsidP="00DA725A">
            <w:pPr>
              <w:jc w:val="both"/>
              <w:textAlignment w:val="baseline"/>
              <w:rPr>
                <w:sz w:val="18"/>
                <w:szCs w:val="18"/>
                <w:lang w:val="it-IT" w:eastAsia="en-US"/>
              </w:rPr>
            </w:pPr>
            <w:r w:rsidRPr="00981BD4">
              <w:rPr>
                <w:sz w:val="18"/>
                <w:szCs w:val="18"/>
                <w:lang w:val="it-IT" w:eastAsia="en-US"/>
              </w:rPr>
              <w:t>(3)   Tariful de neutralitate pentru echilibrare trebuie să fie proporțional, în măsura în care utilizatorul rețelei face uz de punctele de intrare sau de ieșire relevante sau de rețeaua de transport. </w:t>
            </w:r>
          </w:p>
          <w:p w:rsidR="00E672A5" w:rsidRPr="00981BD4" w:rsidRDefault="00E672A5" w:rsidP="00DA725A">
            <w:pPr>
              <w:jc w:val="both"/>
              <w:textAlignment w:val="baseline"/>
              <w:rPr>
                <w:rFonts w:ascii="Segoe UI" w:hAnsi="Segoe UI" w:cs="Segoe UI"/>
                <w:sz w:val="18"/>
                <w:szCs w:val="18"/>
                <w:lang w:val="it-IT" w:eastAsia="en-US"/>
              </w:rPr>
            </w:pP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(4)   Tariful de neutralitate pentru echilibrare se identifică separat în momentul facturării către utilizatorii rețelei, iar factura este însoțită de suficiente informații justificative definite în metodologia menționată la alineatul (2).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(5)   În cazul în care se aplică varianta 2 a modelului de informare și, astfel, tariful de neutralitate pentru echilibrare se poate baza pe costurile și pe veniturile estimate, metodologia operatorului de sistem de transport pentru stabilirea tarifelor de neutralitate pentru echilibrare prevede norme referitoare la un tarif separat de neutralitate pentru echilibrarea cu privire la ieșirile contorizate cu o frecvență care nu este zilnică. </w:t>
            </w:r>
          </w:p>
          <w:p w:rsidR="00637D2C" w:rsidRPr="00981BD4" w:rsidRDefault="00637D2C" w:rsidP="00DA725A">
            <w:pPr>
              <w:jc w:val="both"/>
              <w:textAlignment w:val="baseline"/>
              <w:rPr>
                <w:b/>
                <w:bCs/>
                <w:sz w:val="18"/>
                <w:szCs w:val="18"/>
                <w:lang w:val="it-IT" w:eastAsia="en-US"/>
              </w:rPr>
            </w:pPr>
            <w:r w:rsidRPr="00981BD4">
              <w:rPr>
                <w:sz w:val="18"/>
                <w:szCs w:val="18"/>
                <w:lang w:val="it-IT" w:eastAsia="en-US"/>
              </w:rPr>
              <w:t>(6)   După caz, metodologia operatorului de sistem de transport pentru calcularea tarifului de neutralitate pentru echilibrare poate prevedea norme pentru împărțirea tarifului de neutralitate pentru componente ale echilibrării și repartizarea ulterioară a sumelor corespunzătoare în rândul utilizatorilor rețelei în vederea reducerii subvențiilor încrucișate. </w:t>
            </w:r>
          </w:p>
        </w:tc>
        <w:tc>
          <w:tcPr>
            <w:tcW w:w="4962" w:type="dxa"/>
            <w:shd w:val="clear" w:color="auto" w:fill="auto"/>
          </w:tcPr>
          <w:p w:rsidR="00785E2E" w:rsidRPr="00785E2E" w:rsidRDefault="00785E2E" w:rsidP="00785E2E">
            <w:pPr>
              <w:jc w:val="center"/>
              <w:textAlignment w:val="baseline"/>
              <w:rPr>
                <w:b/>
                <w:bCs/>
                <w:sz w:val="18"/>
                <w:szCs w:val="18"/>
                <w:lang w:val="ro-RO" w:eastAsia="en-US"/>
              </w:rPr>
            </w:pPr>
            <w:r w:rsidRPr="00785E2E">
              <w:rPr>
                <w:b/>
                <w:bCs/>
                <w:sz w:val="18"/>
                <w:szCs w:val="18"/>
                <w:lang w:val="ro-RO" w:eastAsia="en-US"/>
              </w:rPr>
              <w:lastRenderedPageBreak/>
              <w:t>Secţiunea 2</w:t>
            </w:r>
          </w:p>
          <w:p w:rsidR="00785E2E" w:rsidRPr="00785E2E" w:rsidRDefault="00785E2E" w:rsidP="00785E2E">
            <w:pPr>
              <w:jc w:val="center"/>
              <w:textAlignment w:val="baseline"/>
              <w:rPr>
                <w:b/>
                <w:bCs/>
                <w:sz w:val="18"/>
                <w:szCs w:val="18"/>
                <w:lang w:val="ro-RO" w:eastAsia="en-US"/>
              </w:rPr>
            </w:pPr>
            <w:r w:rsidRPr="00785E2E">
              <w:rPr>
                <w:b/>
                <w:bCs/>
                <w:sz w:val="18"/>
                <w:szCs w:val="18"/>
                <w:lang w:val="ro-RO" w:eastAsia="en-US"/>
              </w:rPr>
              <w:t>Fluxurile de numerar privind neutralitatea echilibrării</w:t>
            </w:r>
          </w:p>
          <w:p w:rsidR="00CA6D15" w:rsidRDefault="00CA6D15" w:rsidP="00785E2E">
            <w:pPr>
              <w:textAlignment w:val="baseline"/>
              <w:rPr>
                <w:b/>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543.</w:t>
            </w:r>
            <w:r w:rsidRPr="00785E2E">
              <w:rPr>
                <w:bCs/>
                <w:sz w:val="18"/>
                <w:szCs w:val="18"/>
                <w:lang w:val="ro-RO" w:eastAsia="en-US"/>
              </w:rPr>
              <w:t xml:space="preserve"> Plata pentru neutralitate în scop de echilibrare (în continuare – plata pentru neutralitate) este plătită utilizatorului de sistem sau de către acesta.</w:t>
            </w:r>
          </w:p>
          <w:p w:rsidR="00785E2E" w:rsidRDefault="00785E2E" w:rsidP="00785E2E">
            <w:pPr>
              <w:textAlignment w:val="baseline"/>
              <w:rPr>
                <w:bCs/>
                <w:sz w:val="18"/>
                <w:szCs w:val="18"/>
                <w:lang w:val="ro-RO" w:eastAsia="en-US"/>
              </w:rPr>
            </w:pPr>
            <w:r w:rsidRPr="00785E2E">
              <w:rPr>
                <w:b/>
                <w:bCs/>
                <w:sz w:val="18"/>
                <w:szCs w:val="18"/>
                <w:lang w:val="ro-RO" w:eastAsia="en-US"/>
              </w:rPr>
              <w:t>544.</w:t>
            </w:r>
            <w:r w:rsidRPr="00785E2E">
              <w:rPr>
                <w:bCs/>
                <w:sz w:val="18"/>
                <w:szCs w:val="18"/>
                <w:lang w:val="ro-RO" w:eastAsia="en-US"/>
              </w:rPr>
              <w:t xml:space="preserve"> OST elaborează şi prezintă la Agenţie metoda pentru calcularea plăţilor pentru neutralitate în scop de echilibrare, inclusiv repartizarea lor în rândul utilizatorilor de sistem şi normele de administrare (gestionare) a riscului de credit.</w:t>
            </w:r>
          </w:p>
          <w:p w:rsidR="00E672A5" w:rsidRDefault="00E672A5" w:rsidP="00785E2E">
            <w:pPr>
              <w:textAlignment w:val="baseline"/>
              <w:rPr>
                <w:bCs/>
                <w:sz w:val="18"/>
                <w:szCs w:val="18"/>
                <w:lang w:val="ro-RO" w:eastAsia="en-US"/>
              </w:rPr>
            </w:pPr>
          </w:p>
          <w:p w:rsidR="005004DA" w:rsidRPr="00785E2E" w:rsidRDefault="005004DA" w:rsidP="00785E2E">
            <w:pPr>
              <w:textAlignment w:val="baseline"/>
              <w:rPr>
                <w:bCs/>
                <w:sz w:val="18"/>
                <w:szCs w:val="18"/>
                <w:lang w:val="ro-RO" w:eastAsia="en-US"/>
              </w:rPr>
            </w:pPr>
          </w:p>
          <w:p w:rsidR="00785E2E" w:rsidRDefault="00785E2E" w:rsidP="00785E2E">
            <w:pPr>
              <w:textAlignment w:val="baseline"/>
              <w:rPr>
                <w:bCs/>
                <w:sz w:val="18"/>
                <w:szCs w:val="18"/>
                <w:lang w:val="ro-RO" w:eastAsia="en-US"/>
              </w:rPr>
            </w:pPr>
            <w:r w:rsidRPr="00785E2E">
              <w:rPr>
                <w:b/>
                <w:bCs/>
                <w:sz w:val="18"/>
                <w:szCs w:val="18"/>
                <w:lang w:val="ro-RO" w:eastAsia="en-US"/>
              </w:rPr>
              <w:t>545.</w:t>
            </w:r>
            <w:r w:rsidRPr="00785E2E">
              <w:rPr>
                <w:bCs/>
                <w:sz w:val="18"/>
                <w:szCs w:val="18"/>
                <w:lang w:val="ro-RO" w:eastAsia="en-US"/>
              </w:rPr>
              <w:t xml:space="preserve"> Plata pentru neutralitate trebuie să fie proporţională utilizării de către utilizatorul de sistem a punctelor de intrare sau de ieşire relevante sau de reţeaua de transport al gazelor naturale.</w:t>
            </w:r>
          </w:p>
          <w:p w:rsidR="005004DA" w:rsidRPr="00785E2E" w:rsidRDefault="005004DA"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546.</w:t>
            </w:r>
            <w:r w:rsidRPr="00785E2E">
              <w:rPr>
                <w:bCs/>
                <w:sz w:val="18"/>
                <w:szCs w:val="18"/>
                <w:lang w:val="ro-RO" w:eastAsia="en-US"/>
              </w:rPr>
              <w:t xml:space="preserve"> Plata pentru neutralitate în scop de echilibrare se menţionează separat atunci cînd este facturată utilizatorilor de sistem, iar factura este însoţită de suficiente informaţii/documente justificative definite în metoda menţionată la pct.547.</w:t>
            </w:r>
          </w:p>
          <w:p w:rsidR="00785E2E" w:rsidRDefault="00785E2E" w:rsidP="00785E2E">
            <w:pPr>
              <w:textAlignment w:val="baseline"/>
              <w:rPr>
                <w:bCs/>
                <w:sz w:val="18"/>
                <w:szCs w:val="18"/>
                <w:lang w:val="ro-RO" w:eastAsia="en-US"/>
              </w:rPr>
            </w:pPr>
            <w:r w:rsidRPr="00785E2E">
              <w:rPr>
                <w:b/>
                <w:bCs/>
                <w:sz w:val="18"/>
                <w:szCs w:val="18"/>
                <w:lang w:val="ro-RO" w:eastAsia="en-US"/>
              </w:rPr>
              <w:t>547.</w:t>
            </w:r>
            <w:r w:rsidRPr="00785E2E">
              <w:rPr>
                <w:bCs/>
                <w:sz w:val="18"/>
                <w:szCs w:val="18"/>
                <w:lang w:val="ro-RO" w:eastAsia="en-US"/>
              </w:rPr>
              <w:t xml:space="preserve"> În cazul în care se aplică varianta 2 a modelului de informare plata pentru neutralitate pentru echilibrare se poate baza pe costurile şi pe veniturile estimate, iar metoda OST pentru stabilirea plăţilor de neutralitate în scop de echilibrare prevede norme referitoare la o plată pentru neutralitate separată cu privire la ieşirile cu măsurare nonzilnică.</w:t>
            </w:r>
          </w:p>
          <w:p w:rsidR="00E672A5" w:rsidRPr="00785E2E" w:rsidRDefault="00E672A5" w:rsidP="00785E2E">
            <w:pPr>
              <w:textAlignment w:val="baseline"/>
              <w:rPr>
                <w:bCs/>
                <w:sz w:val="18"/>
                <w:szCs w:val="18"/>
                <w:lang w:val="ro-RO" w:eastAsia="en-US"/>
              </w:rPr>
            </w:pPr>
          </w:p>
          <w:p w:rsidR="00637D2C" w:rsidRPr="00380C00" w:rsidRDefault="00785E2E" w:rsidP="00785E2E">
            <w:pPr>
              <w:textAlignment w:val="baseline"/>
              <w:rPr>
                <w:b/>
                <w:bCs/>
                <w:sz w:val="18"/>
                <w:szCs w:val="18"/>
                <w:lang w:val="ro-RO" w:eastAsia="en-US"/>
              </w:rPr>
            </w:pPr>
            <w:r w:rsidRPr="00785E2E">
              <w:rPr>
                <w:b/>
                <w:bCs/>
                <w:sz w:val="18"/>
                <w:szCs w:val="18"/>
                <w:lang w:val="ro-RO" w:eastAsia="en-US"/>
              </w:rPr>
              <w:t>548.</w:t>
            </w:r>
            <w:r w:rsidRPr="00785E2E">
              <w:rPr>
                <w:bCs/>
                <w:sz w:val="18"/>
                <w:szCs w:val="18"/>
                <w:lang w:val="ro-RO" w:eastAsia="en-US"/>
              </w:rPr>
              <w:t xml:space="preserve"> După caz, metoda elaborată de OST pentru calcularea plăţii pentru neutralitate poate prevedea norme pentru împărţirea în diferite componente a plăţii pentru neutralitate şi repartizarea ulterioară a sumelor corespunzătoare în rândul utilizatorilor de sistem, în vederea reducerii subvenţiilor încrucişate.</w:t>
            </w:r>
          </w:p>
        </w:tc>
        <w:tc>
          <w:tcPr>
            <w:tcW w:w="1275" w:type="dxa"/>
            <w:shd w:val="clear" w:color="auto" w:fill="auto"/>
          </w:tcPr>
          <w:p w:rsidR="00637D2C" w:rsidRPr="00380C00" w:rsidRDefault="00637D2C" w:rsidP="00DA725A">
            <w:pPr>
              <w:jc w:val="both"/>
              <w:rPr>
                <w:b/>
                <w:sz w:val="18"/>
                <w:szCs w:val="18"/>
                <w:lang w:val="ro-RO"/>
              </w:rPr>
            </w:pPr>
          </w:p>
          <w:p w:rsidR="00D06AF7" w:rsidRDefault="00D06AF7" w:rsidP="00DA725A">
            <w:pPr>
              <w:jc w:val="both"/>
              <w:rPr>
                <w:b/>
                <w:sz w:val="18"/>
                <w:szCs w:val="18"/>
                <w:lang w:val="ro-RO"/>
              </w:rPr>
            </w:pPr>
          </w:p>
          <w:p w:rsidR="00E672A5" w:rsidRDefault="00E672A5" w:rsidP="00DA725A">
            <w:pPr>
              <w:jc w:val="both"/>
              <w:rPr>
                <w:b/>
                <w:sz w:val="18"/>
                <w:szCs w:val="18"/>
                <w:lang w:val="ro-RO"/>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E672A5" w:rsidRDefault="00E672A5"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Default="00D06AF7" w:rsidP="00DA725A">
            <w:pPr>
              <w:jc w:val="both"/>
              <w:rPr>
                <w:sz w:val="18"/>
                <w:szCs w:val="18"/>
                <w:lang w:val="it-IT"/>
              </w:rPr>
            </w:pPr>
          </w:p>
          <w:p w:rsidR="005004DA" w:rsidRPr="00981BD4" w:rsidRDefault="005004DA"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Default="00D06AF7" w:rsidP="00DA725A">
            <w:pPr>
              <w:jc w:val="both"/>
              <w:rPr>
                <w:sz w:val="18"/>
                <w:szCs w:val="18"/>
                <w:lang w:val="it-IT"/>
              </w:rPr>
            </w:pPr>
          </w:p>
          <w:p w:rsidR="00E672A5" w:rsidRPr="00981BD4" w:rsidRDefault="00E672A5"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Default="00D06AF7" w:rsidP="00DA725A">
            <w:pPr>
              <w:jc w:val="both"/>
              <w:rPr>
                <w:sz w:val="18"/>
                <w:szCs w:val="18"/>
                <w:lang w:val="it-IT"/>
              </w:rPr>
            </w:pPr>
          </w:p>
          <w:p w:rsidR="00E672A5" w:rsidRPr="00981BD4" w:rsidRDefault="00E672A5"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E672A5" w:rsidRDefault="00E672A5" w:rsidP="00DA725A">
            <w:pPr>
              <w:jc w:val="both"/>
              <w:rPr>
                <w:sz w:val="18"/>
                <w:szCs w:val="18"/>
                <w:lang w:val="it-IT"/>
              </w:rPr>
            </w:pPr>
          </w:p>
          <w:p w:rsidR="00E672A5" w:rsidRDefault="00E672A5" w:rsidP="00DA725A">
            <w:pPr>
              <w:jc w:val="both"/>
              <w:rPr>
                <w:sz w:val="18"/>
                <w:szCs w:val="18"/>
                <w:lang w:val="it-IT"/>
              </w:rPr>
            </w:pPr>
          </w:p>
          <w:p w:rsidR="00D06AF7" w:rsidRPr="00D82EE4" w:rsidRDefault="00D06AF7" w:rsidP="00DA725A">
            <w:pPr>
              <w:jc w:val="both"/>
              <w:rPr>
                <w:b/>
                <w:sz w:val="18"/>
                <w:szCs w:val="18"/>
                <w:lang w:val="it-IT"/>
              </w:rPr>
            </w:pPr>
            <w:r w:rsidRPr="00981BD4">
              <w:rPr>
                <w:sz w:val="18"/>
                <w:szCs w:val="18"/>
                <w:lang w:val="it-IT"/>
              </w:rPr>
              <w:t>Compatibil</w:t>
            </w:r>
          </w:p>
        </w:tc>
        <w:tc>
          <w:tcPr>
            <w:tcW w:w="4253" w:type="dxa"/>
            <w:shd w:val="clear" w:color="auto" w:fill="auto"/>
          </w:tcPr>
          <w:p w:rsidR="00637D2C" w:rsidRPr="00E84D74" w:rsidRDefault="00637D2C" w:rsidP="005004DA">
            <w:pPr>
              <w:autoSpaceDE w:val="0"/>
              <w:autoSpaceDN w:val="0"/>
              <w:adjustRightInd w:val="0"/>
              <w:jc w:val="both"/>
              <w:rPr>
                <w:b/>
                <w:bCs/>
                <w:i/>
                <w:iCs/>
                <w:sz w:val="18"/>
                <w:szCs w:val="18"/>
              </w:rPr>
            </w:pPr>
            <w:r w:rsidRPr="00E84D74">
              <w:rPr>
                <w:b/>
                <w:bCs/>
                <w:i/>
                <w:iCs/>
                <w:sz w:val="18"/>
                <w:szCs w:val="18"/>
              </w:rPr>
              <w:lastRenderedPageBreak/>
              <w:t>Article 30</w:t>
            </w:r>
          </w:p>
          <w:p w:rsidR="00637D2C" w:rsidRPr="00E84D74" w:rsidRDefault="00637D2C" w:rsidP="005004DA">
            <w:pPr>
              <w:autoSpaceDE w:val="0"/>
              <w:autoSpaceDN w:val="0"/>
              <w:adjustRightInd w:val="0"/>
              <w:jc w:val="both"/>
              <w:rPr>
                <w:b/>
                <w:bCs/>
                <w:sz w:val="18"/>
                <w:szCs w:val="18"/>
              </w:rPr>
            </w:pPr>
            <w:r w:rsidRPr="00E84D74">
              <w:rPr>
                <w:b/>
                <w:bCs/>
                <w:sz w:val="18"/>
                <w:szCs w:val="18"/>
              </w:rPr>
              <w:t>Balancing neutrality cash flows</w:t>
            </w:r>
          </w:p>
          <w:p w:rsidR="00637D2C" w:rsidRDefault="00637D2C" w:rsidP="005004DA">
            <w:pPr>
              <w:autoSpaceDE w:val="0"/>
              <w:autoSpaceDN w:val="0"/>
              <w:adjustRightInd w:val="0"/>
              <w:jc w:val="both"/>
              <w:rPr>
                <w:sz w:val="18"/>
                <w:szCs w:val="18"/>
              </w:rPr>
            </w:pPr>
            <w:r w:rsidRPr="00E84D74">
              <w:rPr>
                <w:sz w:val="18"/>
                <w:szCs w:val="18"/>
              </w:rPr>
              <w:t>1. The neutrality charge for balancing shall be paid by or to the network user concerned.</w:t>
            </w:r>
          </w:p>
          <w:p w:rsidR="00E672A5" w:rsidRDefault="00E672A5" w:rsidP="005004DA">
            <w:pPr>
              <w:autoSpaceDE w:val="0"/>
              <w:autoSpaceDN w:val="0"/>
              <w:adjustRightInd w:val="0"/>
              <w:jc w:val="both"/>
              <w:rPr>
                <w:sz w:val="18"/>
                <w:szCs w:val="18"/>
              </w:rPr>
            </w:pPr>
          </w:p>
          <w:p w:rsidR="00E672A5" w:rsidRPr="00E84D74" w:rsidRDefault="00E672A5" w:rsidP="005004DA">
            <w:pPr>
              <w:autoSpaceDE w:val="0"/>
              <w:autoSpaceDN w:val="0"/>
              <w:adjustRightInd w:val="0"/>
              <w:jc w:val="both"/>
              <w:rPr>
                <w:sz w:val="18"/>
                <w:szCs w:val="18"/>
              </w:rPr>
            </w:pPr>
          </w:p>
          <w:p w:rsidR="00637D2C" w:rsidRPr="00E84D74" w:rsidRDefault="00637D2C" w:rsidP="005004DA">
            <w:pPr>
              <w:autoSpaceDE w:val="0"/>
              <w:autoSpaceDN w:val="0"/>
              <w:adjustRightInd w:val="0"/>
              <w:jc w:val="both"/>
              <w:rPr>
                <w:sz w:val="18"/>
                <w:szCs w:val="18"/>
              </w:rPr>
            </w:pPr>
            <w:r w:rsidRPr="00E84D74">
              <w:rPr>
                <w:sz w:val="18"/>
                <w:szCs w:val="18"/>
              </w:rPr>
              <w:t xml:space="preserve">2. The national regulatory authority shall set or approve and publish the methodology for the calculationof the neutrality charges for balancing, including their </w:t>
            </w:r>
            <w:r w:rsidRPr="00E84D74">
              <w:rPr>
                <w:sz w:val="18"/>
                <w:szCs w:val="18"/>
              </w:rPr>
              <w:lastRenderedPageBreak/>
              <w:t>apportionment amongst network users and credit risk management rules.</w:t>
            </w:r>
          </w:p>
          <w:p w:rsidR="00637D2C" w:rsidRPr="00E84D74" w:rsidRDefault="00637D2C" w:rsidP="005004DA">
            <w:pPr>
              <w:autoSpaceDE w:val="0"/>
              <w:autoSpaceDN w:val="0"/>
              <w:adjustRightInd w:val="0"/>
              <w:jc w:val="both"/>
              <w:rPr>
                <w:sz w:val="18"/>
                <w:szCs w:val="18"/>
              </w:rPr>
            </w:pPr>
            <w:r w:rsidRPr="00E84D74">
              <w:rPr>
                <w:sz w:val="18"/>
                <w:szCs w:val="18"/>
              </w:rPr>
              <w:t>3. The neutrality charge for balancing shall be proportionate to the extent the network user makes</w:t>
            </w:r>
          </w:p>
          <w:p w:rsidR="00637D2C" w:rsidRPr="00E84D74" w:rsidRDefault="00637D2C" w:rsidP="005004DA">
            <w:pPr>
              <w:autoSpaceDE w:val="0"/>
              <w:autoSpaceDN w:val="0"/>
              <w:adjustRightInd w:val="0"/>
              <w:jc w:val="both"/>
              <w:rPr>
                <w:sz w:val="18"/>
                <w:szCs w:val="18"/>
              </w:rPr>
            </w:pPr>
            <w:r w:rsidRPr="00E84D74">
              <w:rPr>
                <w:sz w:val="18"/>
                <w:szCs w:val="18"/>
              </w:rPr>
              <w:t>use of the relevant entry or exit points concerned or the transmission network.</w:t>
            </w:r>
          </w:p>
          <w:p w:rsidR="00637D2C" w:rsidRPr="00E84D74" w:rsidRDefault="00637D2C" w:rsidP="005004DA">
            <w:pPr>
              <w:autoSpaceDE w:val="0"/>
              <w:autoSpaceDN w:val="0"/>
              <w:adjustRightInd w:val="0"/>
              <w:jc w:val="both"/>
              <w:rPr>
                <w:sz w:val="18"/>
                <w:szCs w:val="18"/>
              </w:rPr>
            </w:pPr>
            <w:r w:rsidRPr="00E84D74">
              <w:rPr>
                <w:sz w:val="18"/>
                <w:szCs w:val="18"/>
              </w:rPr>
              <w:t>4. The neutrality charge for balancing shall be identified separately when invoiced to network users and the invoice shall be accompanied by sufficient supporting information defined in the methodology referred to in paragraph 2.</w:t>
            </w:r>
          </w:p>
          <w:p w:rsidR="00637D2C" w:rsidRPr="00E84D74" w:rsidRDefault="00637D2C" w:rsidP="005004DA">
            <w:pPr>
              <w:autoSpaceDE w:val="0"/>
              <w:autoSpaceDN w:val="0"/>
              <w:adjustRightInd w:val="0"/>
              <w:jc w:val="both"/>
              <w:rPr>
                <w:sz w:val="18"/>
                <w:szCs w:val="18"/>
              </w:rPr>
            </w:pPr>
            <w:r w:rsidRPr="00E84D74">
              <w:rPr>
                <w:sz w:val="18"/>
                <w:szCs w:val="18"/>
              </w:rPr>
              <w:t>5. Where the information model variant 2 is applied and thus the neutrality charge for balancing may be based on forecasted costs and revenues, the ransmission system operator’s methodology for the calculation of neutrality charge for balancing shall provide rules for a separate neutrality charge for balancing in respect of non- daily metered off-takes.</w:t>
            </w:r>
          </w:p>
          <w:p w:rsidR="00637D2C" w:rsidRPr="00E84D74" w:rsidRDefault="00637D2C" w:rsidP="005004DA">
            <w:pPr>
              <w:autoSpaceDE w:val="0"/>
              <w:autoSpaceDN w:val="0"/>
              <w:adjustRightInd w:val="0"/>
              <w:jc w:val="both"/>
              <w:rPr>
                <w:sz w:val="18"/>
                <w:szCs w:val="18"/>
              </w:rPr>
            </w:pPr>
            <w:r w:rsidRPr="00E84D74">
              <w:rPr>
                <w:sz w:val="18"/>
                <w:szCs w:val="18"/>
              </w:rPr>
              <w:t>6. Where relevant, the transmission system operator’s methodology for the calculation of the neutrality charge for balancing may provide rules for the division of the neutrality charge for balancing components and the subsequent apportionment of the corresponding sums amongst the network users in order to reduce cross subsidies.</w:t>
            </w:r>
          </w:p>
          <w:p w:rsidR="00637D2C" w:rsidRPr="00E84D74" w:rsidRDefault="00637D2C" w:rsidP="005004DA">
            <w:pPr>
              <w:autoSpaceDE w:val="0"/>
              <w:autoSpaceDN w:val="0"/>
              <w:adjustRightInd w:val="0"/>
              <w:jc w:val="both"/>
              <w:rPr>
                <w:sz w:val="18"/>
                <w:szCs w:val="18"/>
              </w:rPr>
            </w:pPr>
          </w:p>
        </w:tc>
      </w:tr>
      <w:tr w:rsidR="00637D2C" w:rsidRPr="00043955" w:rsidTr="00FC3840">
        <w:trPr>
          <w:trHeight w:val="692"/>
        </w:trPr>
        <w:tc>
          <w:tcPr>
            <w:tcW w:w="5245" w:type="dxa"/>
            <w:shd w:val="clear" w:color="auto" w:fill="auto"/>
          </w:tcPr>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31</w:t>
            </w:r>
          </w:p>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t>Măsuri privind administrarea riscului de credit</w:t>
            </w:r>
          </w:p>
          <w:p w:rsidR="00637D2C" w:rsidRDefault="00637D2C" w:rsidP="00DA725A">
            <w:pPr>
              <w:jc w:val="both"/>
              <w:textAlignment w:val="baseline"/>
              <w:rPr>
                <w:sz w:val="18"/>
                <w:szCs w:val="18"/>
                <w:lang w:val="it-IT" w:eastAsia="en-US"/>
              </w:rPr>
            </w:pPr>
            <w:r w:rsidRPr="00981BD4">
              <w:rPr>
                <w:sz w:val="18"/>
                <w:szCs w:val="18"/>
                <w:lang w:val="it-IT" w:eastAsia="en-US"/>
              </w:rPr>
              <w:t>(1)   Operatorul de sistem de transport are dreptul să ia măsurile necesare și să impună utilizatorilor rețelei cerințe contractuale relevante, inclusiv garanții de securitate financiară, pentru a reduce riscul de neplată aferent plăților datorate pentru tarifele menționate la articolele 29 și 30. </w:t>
            </w:r>
          </w:p>
          <w:p w:rsidR="003974AA" w:rsidRPr="00981BD4" w:rsidRDefault="003974AA" w:rsidP="00DA725A">
            <w:pPr>
              <w:jc w:val="both"/>
              <w:textAlignment w:val="baseline"/>
              <w:rPr>
                <w:rFonts w:ascii="Segoe UI" w:hAnsi="Segoe UI" w:cs="Segoe UI"/>
                <w:sz w:val="18"/>
                <w:szCs w:val="18"/>
                <w:lang w:val="it-IT" w:eastAsia="en-US"/>
              </w:rPr>
            </w:pPr>
          </w:p>
          <w:p w:rsidR="00637D2C" w:rsidRDefault="00637D2C" w:rsidP="00DA725A">
            <w:pPr>
              <w:jc w:val="both"/>
              <w:textAlignment w:val="baseline"/>
              <w:rPr>
                <w:sz w:val="18"/>
                <w:szCs w:val="18"/>
                <w:lang w:val="it-IT" w:eastAsia="en-US"/>
              </w:rPr>
            </w:pPr>
            <w:r w:rsidRPr="00981BD4">
              <w:rPr>
                <w:sz w:val="18"/>
                <w:szCs w:val="18"/>
                <w:lang w:val="it-IT" w:eastAsia="en-US"/>
              </w:rPr>
              <w:t>(2)   Cerințele contractuale trebuie să fie transparente, să respecte principiul egalității de tratament, să fie proporționale scopului și să fie definite în metodologia menționată la articolul 30 alineatul (2). </w:t>
            </w:r>
          </w:p>
          <w:p w:rsidR="003974AA" w:rsidRPr="00981BD4" w:rsidRDefault="003974AA" w:rsidP="00DA725A">
            <w:pPr>
              <w:jc w:val="both"/>
              <w:textAlignment w:val="baseline"/>
              <w:rPr>
                <w:rFonts w:ascii="Segoe UI" w:hAnsi="Segoe UI" w:cs="Segoe UI"/>
                <w:sz w:val="18"/>
                <w:szCs w:val="18"/>
                <w:lang w:val="it-IT" w:eastAsia="en-US"/>
              </w:rPr>
            </w:pP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(3)   În cazul neefectuării unei plăți care poate fi atribuită unui utilizator al rețelei, operatorul de sistem de transport nu este răspunzător de pierderile suferite, cu condiția ca măsurile și cerințele menționate la alineatele (1) și (2) să fi fost puse în aplicare în mod adecvat, iar astfel de pierderi se recuperează în conformitate cu metodologia menționată la articolul 30 alineatul (2). </w:t>
            </w:r>
          </w:p>
          <w:p w:rsidR="00637D2C" w:rsidRPr="00981BD4" w:rsidRDefault="00637D2C" w:rsidP="00DA725A">
            <w:pPr>
              <w:jc w:val="center"/>
              <w:textAlignment w:val="baseline"/>
              <w:rPr>
                <w:b/>
                <w:bCs/>
                <w:sz w:val="18"/>
                <w:szCs w:val="18"/>
                <w:lang w:val="it-IT" w:eastAsia="en-US"/>
              </w:rPr>
            </w:pPr>
          </w:p>
        </w:tc>
        <w:tc>
          <w:tcPr>
            <w:tcW w:w="4962" w:type="dxa"/>
            <w:shd w:val="clear" w:color="auto" w:fill="auto"/>
          </w:tcPr>
          <w:p w:rsidR="00491325" w:rsidRPr="00491325" w:rsidRDefault="00491325" w:rsidP="00B15C42">
            <w:pPr>
              <w:jc w:val="center"/>
              <w:textAlignment w:val="baseline"/>
              <w:rPr>
                <w:bCs/>
                <w:sz w:val="18"/>
                <w:szCs w:val="18"/>
                <w:lang w:val="ro-RO" w:eastAsia="en-US"/>
              </w:rPr>
            </w:pPr>
            <w:r w:rsidRPr="00491325">
              <w:rPr>
                <w:b/>
                <w:bCs/>
                <w:sz w:val="18"/>
                <w:szCs w:val="18"/>
                <w:lang w:val="ro-RO" w:eastAsia="en-US"/>
              </w:rPr>
              <w:t>Secţiunea 3</w:t>
            </w:r>
          </w:p>
          <w:p w:rsidR="00491325" w:rsidRPr="00491325" w:rsidRDefault="00491325" w:rsidP="00B15C42">
            <w:pPr>
              <w:jc w:val="center"/>
              <w:textAlignment w:val="baseline"/>
              <w:rPr>
                <w:bCs/>
                <w:sz w:val="18"/>
                <w:szCs w:val="18"/>
                <w:lang w:val="ro-RO" w:eastAsia="en-US"/>
              </w:rPr>
            </w:pPr>
            <w:r w:rsidRPr="00491325">
              <w:rPr>
                <w:b/>
                <w:bCs/>
                <w:sz w:val="18"/>
                <w:szCs w:val="18"/>
                <w:lang w:val="ro-RO" w:eastAsia="en-US"/>
              </w:rPr>
              <w:t>Măsuri privind administrarea riscului de credit</w:t>
            </w:r>
          </w:p>
          <w:p w:rsidR="00491325" w:rsidRDefault="00491325" w:rsidP="00491325">
            <w:pPr>
              <w:textAlignment w:val="baseline"/>
              <w:rPr>
                <w:bCs/>
                <w:sz w:val="18"/>
                <w:szCs w:val="18"/>
                <w:lang w:val="ro-RO" w:eastAsia="en-US"/>
              </w:rPr>
            </w:pPr>
            <w:r w:rsidRPr="00491325">
              <w:rPr>
                <w:b/>
                <w:bCs/>
                <w:sz w:val="18"/>
                <w:szCs w:val="18"/>
                <w:lang w:val="ro-RO" w:eastAsia="en-US"/>
              </w:rPr>
              <w:t>549.</w:t>
            </w:r>
            <w:r w:rsidRPr="00491325">
              <w:rPr>
                <w:bCs/>
                <w:sz w:val="18"/>
                <w:szCs w:val="18"/>
                <w:lang w:val="ro-RO" w:eastAsia="en-US"/>
              </w:rPr>
              <w:t xml:space="preserve"> OST are dreptul să ia măsurile necesare şi să solicite utilizatorilor de sistem includerea cerinţelor contractuale necesare, inclusiv garanţii de securitate financiară, pentru a reduce riscul de neplată aferent plăţilor datorate pentru plăţile menţionate în Secţiunea 2 din prezentul Capitol. </w:t>
            </w:r>
          </w:p>
          <w:p w:rsidR="003974AA" w:rsidRPr="00491325" w:rsidRDefault="003974AA" w:rsidP="00491325">
            <w:pPr>
              <w:textAlignment w:val="baseline"/>
              <w:rPr>
                <w:bCs/>
                <w:sz w:val="18"/>
                <w:szCs w:val="18"/>
                <w:lang w:val="ro-RO" w:eastAsia="en-US"/>
              </w:rPr>
            </w:pPr>
          </w:p>
          <w:p w:rsidR="00491325" w:rsidRDefault="00491325" w:rsidP="00491325">
            <w:pPr>
              <w:textAlignment w:val="baseline"/>
              <w:rPr>
                <w:bCs/>
                <w:sz w:val="18"/>
                <w:szCs w:val="18"/>
                <w:lang w:val="ro-RO" w:eastAsia="en-US"/>
              </w:rPr>
            </w:pPr>
            <w:r w:rsidRPr="00491325">
              <w:rPr>
                <w:b/>
                <w:bCs/>
                <w:sz w:val="18"/>
                <w:szCs w:val="18"/>
                <w:lang w:val="ro-RO" w:eastAsia="en-US"/>
              </w:rPr>
              <w:t>550.</w:t>
            </w:r>
            <w:r w:rsidRPr="00491325">
              <w:rPr>
                <w:bCs/>
                <w:sz w:val="18"/>
                <w:szCs w:val="18"/>
                <w:lang w:val="ro-RO" w:eastAsia="en-US"/>
              </w:rPr>
              <w:t xml:space="preserve"> Clauzele contractuale trebuie să fie transparente, să respecte principiul egalităţii, să fie proporţionale scopului şi să fie definite în metoda menţionată în pct.544.</w:t>
            </w:r>
          </w:p>
          <w:p w:rsidR="003974AA" w:rsidRPr="00491325" w:rsidRDefault="003974AA" w:rsidP="00491325">
            <w:pPr>
              <w:textAlignment w:val="baseline"/>
              <w:rPr>
                <w:bCs/>
                <w:sz w:val="18"/>
                <w:szCs w:val="18"/>
                <w:lang w:val="ro-RO" w:eastAsia="en-US"/>
              </w:rPr>
            </w:pPr>
          </w:p>
          <w:p w:rsidR="00491325" w:rsidRPr="00491325" w:rsidRDefault="00491325" w:rsidP="00491325">
            <w:pPr>
              <w:textAlignment w:val="baseline"/>
              <w:rPr>
                <w:bCs/>
                <w:sz w:val="18"/>
                <w:szCs w:val="18"/>
                <w:lang w:val="ro-RO" w:eastAsia="en-US"/>
              </w:rPr>
            </w:pPr>
            <w:r w:rsidRPr="00491325">
              <w:rPr>
                <w:b/>
                <w:bCs/>
                <w:sz w:val="18"/>
                <w:szCs w:val="18"/>
                <w:lang w:val="ro-RO" w:eastAsia="en-US"/>
              </w:rPr>
              <w:t>551.</w:t>
            </w:r>
            <w:r w:rsidRPr="00491325">
              <w:rPr>
                <w:bCs/>
                <w:sz w:val="18"/>
                <w:szCs w:val="18"/>
                <w:lang w:val="ro-RO" w:eastAsia="en-US"/>
              </w:rPr>
              <w:t xml:space="preserve"> În cazul neefectuării unei plăţi care poate fi atribuită unui utilizator de sistem, OST nu este răspunzător de pierderile suferite, cu condiţia ca măsurile şi cerinţele menţionate în punctele 549 şi 550 să fi fost puse în aplicare în mod adecvat, iar astfel de pierderi se recuperează în conformitate cu metoda menţionată în pct.544.</w:t>
            </w:r>
          </w:p>
          <w:p w:rsidR="00637D2C" w:rsidRPr="00491325" w:rsidRDefault="00637D2C" w:rsidP="00491325">
            <w:pPr>
              <w:textAlignment w:val="baseline"/>
              <w:rPr>
                <w:b/>
                <w:bCs/>
                <w:sz w:val="18"/>
                <w:szCs w:val="18"/>
                <w:lang w:val="ro-RO" w:eastAsia="en-US"/>
              </w:rPr>
            </w:pPr>
          </w:p>
        </w:tc>
        <w:tc>
          <w:tcPr>
            <w:tcW w:w="1275" w:type="dxa"/>
            <w:shd w:val="clear" w:color="auto" w:fill="auto"/>
          </w:tcPr>
          <w:p w:rsidR="00637D2C" w:rsidRPr="00380C00" w:rsidRDefault="00637D2C" w:rsidP="00DA725A">
            <w:pPr>
              <w:jc w:val="both"/>
              <w:rPr>
                <w:b/>
                <w:sz w:val="18"/>
                <w:szCs w:val="18"/>
                <w:lang w:val="ro-RO"/>
              </w:rPr>
            </w:pPr>
          </w:p>
          <w:p w:rsidR="00D06AF7" w:rsidRPr="00380C00" w:rsidRDefault="00D06AF7" w:rsidP="00DA725A">
            <w:pPr>
              <w:jc w:val="both"/>
              <w:rPr>
                <w:b/>
                <w:sz w:val="18"/>
                <w:szCs w:val="18"/>
                <w:lang w:val="ro-RO"/>
              </w:rPr>
            </w:pPr>
          </w:p>
          <w:p w:rsidR="00D06AF7" w:rsidRDefault="00D06AF7" w:rsidP="00DA725A">
            <w:pPr>
              <w:jc w:val="both"/>
              <w:rPr>
                <w:sz w:val="18"/>
                <w:szCs w:val="18"/>
              </w:rPr>
            </w:pPr>
            <w:r w:rsidRPr="00E55B82">
              <w:rPr>
                <w:sz w:val="18"/>
                <w:szCs w:val="18"/>
              </w:rPr>
              <w:t>Compatibil</w:t>
            </w:r>
          </w:p>
          <w:p w:rsidR="00D06AF7" w:rsidRDefault="00D06AF7" w:rsidP="00DA725A">
            <w:pPr>
              <w:jc w:val="both"/>
              <w:rPr>
                <w:sz w:val="18"/>
                <w:szCs w:val="18"/>
              </w:rPr>
            </w:pPr>
          </w:p>
          <w:p w:rsidR="00D06AF7" w:rsidRDefault="00D06AF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C44FCD" w:rsidRDefault="00C44FCD" w:rsidP="00DA725A">
            <w:pPr>
              <w:jc w:val="both"/>
              <w:rPr>
                <w:sz w:val="18"/>
                <w:szCs w:val="18"/>
              </w:rPr>
            </w:pPr>
          </w:p>
          <w:p w:rsidR="00D06AF7" w:rsidRDefault="00D06AF7" w:rsidP="00DA725A">
            <w:pPr>
              <w:jc w:val="both"/>
              <w:rPr>
                <w:sz w:val="18"/>
                <w:szCs w:val="18"/>
              </w:rPr>
            </w:pPr>
            <w:r w:rsidRPr="00E55B82">
              <w:rPr>
                <w:sz w:val="18"/>
                <w:szCs w:val="18"/>
              </w:rPr>
              <w:t>Compatibil</w:t>
            </w:r>
          </w:p>
          <w:p w:rsidR="00D06AF7" w:rsidRDefault="00D06AF7" w:rsidP="00DA725A">
            <w:pPr>
              <w:jc w:val="both"/>
              <w:rPr>
                <w:sz w:val="18"/>
                <w:szCs w:val="18"/>
              </w:rPr>
            </w:pPr>
          </w:p>
          <w:p w:rsidR="00D06AF7" w:rsidRDefault="00D06AF7" w:rsidP="00DA725A">
            <w:pPr>
              <w:jc w:val="both"/>
              <w:rPr>
                <w:sz w:val="18"/>
                <w:szCs w:val="18"/>
              </w:rPr>
            </w:pPr>
          </w:p>
          <w:p w:rsidR="003974AA" w:rsidRDefault="003974AA" w:rsidP="00DA725A">
            <w:pPr>
              <w:jc w:val="both"/>
              <w:rPr>
                <w:sz w:val="18"/>
                <w:szCs w:val="18"/>
              </w:rPr>
            </w:pPr>
          </w:p>
          <w:p w:rsidR="00D06AF7" w:rsidRDefault="00D06AF7" w:rsidP="00DA725A">
            <w:pPr>
              <w:jc w:val="both"/>
              <w:rPr>
                <w:sz w:val="18"/>
                <w:szCs w:val="18"/>
              </w:rPr>
            </w:pPr>
            <w:r w:rsidRPr="00E55B82">
              <w:rPr>
                <w:sz w:val="18"/>
                <w:szCs w:val="18"/>
              </w:rPr>
              <w:t>Compatibil</w:t>
            </w:r>
          </w:p>
          <w:p w:rsidR="00D06AF7" w:rsidRDefault="00D06AF7" w:rsidP="00DA725A">
            <w:pPr>
              <w:jc w:val="both"/>
              <w:rPr>
                <w:sz w:val="18"/>
                <w:szCs w:val="18"/>
              </w:rPr>
            </w:pPr>
          </w:p>
          <w:p w:rsidR="00D06AF7" w:rsidRDefault="00D06AF7" w:rsidP="00DA725A">
            <w:pPr>
              <w:jc w:val="both"/>
              <w:rPr>
                <w:sz w:val="18"/>
                <w:szCs w:val="18"/>
              </w:rPr>
            </w:pPr>
          </w:p>
          <w:p w:rsidR="00D06AF7" w:rsidRPr="00D82EE4" w:rsidRDefault="00D06AF7" w:rsidP="00DA725A">
            <w:pPr>
              <w:rPr>
                <w:b/>
                <w:sz w:val="18"/>
                <w:szCs w:val="18"/>
                <w:lang w:val="it-IT"/>
              </w:rPr>
            </w:pPr>
          </w:p>
        </w:tc>
        <w:tc>
          <w:tcPr>
            <w:tcW w:w="4253" w:type="dxa"/>
            <w:shd w:val="clear" w:color="auto" w:fill="auto"/>
          </w:tcPr>
          <w:p w:rsidR="00637D2C" w:rsidRPr="00E84D74" w:rsidRDefault="00637D2C" w:rsidP="00DA725A">
            <w:pPr>
              <w:autoSpaceDE w:val="0"/>
              <w:autoSpaceDN w:val="0"/>
              <w:adjustRightInd w:val="0"/>
              <w:jc w:val="center"/>
              <w:rPr>
                <w:b/>
                <w:bCs/>
                <w:i/>
                <w:iCs/>
                <w:sz w:val="18"/>
                <w:szCs w:val="18"/>
              </w:rPr>
            </w:pPr>
            <w:r w:rsidRPr="00E84D74">
              <w:rPr>
                <w:b/>
                <w:bCs/>
                <w:i/>
                <w:iCs/>
                <w:sz w:val="18"/>
                <w:szCs w:val="18"/>
              </w:rPr>
              <w:t>Article 31</w:t>
            </w:r>
          </w:p>
          <w:p w:rsidR="00637D2C" w:rsidRPr="00E84D74" w:rsidRDefault="00637D2C" w:rsidP="00DA725A">
            <w:pPr>
              <w:autoSpaceDE w:val="0"/>
              <w:autoSpaceDN w:val="0"/>
              <w:adjustRightInd w:val="0"/>
              <w:jc w:val="center"/>
              <w:rPr>
                <w:b/>
                <w:bCs/>
                <w:sz w:val="18"/>
                <w:szCs w:val="18"/>
              </w:rPr>
            </w:pPr>
            <w:r w:rsidRPr="00E84D74">
              <w:rPr>
                <w:b/>
                <w:bCs/>
                <w:sz w:val="18"/>
                <w:szCs w:val="18"/>
              </w:rPr>
              <w:t>Credit risk management arrangements</w:t>
            </w:r>
          </w:p>
          <w:p w:rsidR="00637D2C" w:rsidRPr="00E84D74" w:rsidRDefault="00637D2C" w:rsidP="00DA725A">
            <w:pPr>
              <w:autoSpaceDE w:val="0"/>
              <w:autoSpaceDN w:val="0"/>
              <w:adjustRightInd w:val="0"/>
              <w:rPr>
                <w:sz w:val="18"/>
                <w:szCs w:val="18"/>
              </w:rPr>
            </w:pPr>
            <w:r w:rsidRPr="00E84D74">
              <w:rPr>
                <w:sz w:val="18"/>
                <w:szCs w:val="18"/>
              </w:rPr>
              <w:t>1. The transmission system operator shall be entitled to take necessary measures and impose relevant contractual requirements, including financial security safeguards, on network users to mitigate their default in payment  regarding any payment due for the charges referred to in Article 29 and 30.</w:t>
            </w:r>
          </w:p>
          <w:p w:rsidR="00637D2C" w:rsidRPr="00E84D74" w:rsidRDefault="00637D2C" w:rsidP="00DA725A">
            <w:pPr>
              <w:autoSpaceDE w:val="0"/>
              <w:autoSpaceDN w:val="0"/>
              <w:adjustRightInd w:val="0"/>
              <w:rPr>
                <w:sz w:val="18"/>
                <w:szCs w:val="18"/>
              </w:rPr>
            </w:pPr>
            <w:r w:rsidRPr="00E84D74">
              <w:rPr>
                <w:sz w:val="18"/>
                <w:szCs w:val="18"/>
              </w:rPr>
              <w:t>2. The contractual requirements shall be on a transparent and equal treatment basis, proportionate to the purpose and defined in the methodology referred to in Article 30(2).</w:t>
            </w:r>
          </w:p>
          <w:p w:rsidR="00637D2C" w:rsidRPr="00E84D74" w:rsidRDefault="00637D2C" w:rsidP="00DA725A">
            <w:pPr>
              <w:autoSpaceDE w:val="0"/>
              <w:autoSpaceDN w:val="0"/>
              <w:adjustRightInd w:val="0"/>
              <w:rPr>
                <w:sz w:val="18"/>
                <w:szCs w:val="18"/>
              </w:rPr>
            </w:pPr>
            <w:r w:rsidRPr="00E84D74">
              <w:rPr>
                <w:sz w:val="18"/>
                <w:szCs w:val="18"/>
              </w:rPr>
              <w:t>3. In case of a default attributable to a network user, the transmission system operator shall not be liable to bear any loss incurred provided the measures and requirements referred to paragraphs 1 and 2 were duly implemented and such loss shall be recovered in accordance with the methodology referred to in Article 30(2).</w:t>
            </w:r>
          </w:p>
          <w:p w:rsidR="00637D2C" w:rsidRPr="00E84D74" w:rsidRDefault="00637D2C" w:rsidP="00DA725A">
            <w:pPr>
              <w:autoSpaceDE w:val="0"/>
              <w:autoSpaceDN w:val="0"/>
              <w:adjustRightInd w:val="0"/>
              <w:rPr>
                <w:sz w:val="18"/>
                <w:szCs w:val="18"/>
              </w:rPr>
            </w:pPr>
          </w:p>
        </w:tc>
      </w:tr>
      <w:tr w:rsidR="002A5B0D" w:rsidRPr="00043955" w:rsidTr="00FC3840">
        <w:trPr>
          <w:trHeight w:val="1240"/>
        </w:trPr>
        <w:tc>
          <w:tcPr>
            <w:tcW w:w="5245" w:type="dxa"/>
            <w:shd w:val="clear" w:color="auto" w:fill="auto"/>
          </w:tcPr>
          <w:p w:rsidR="002A5B0D" w:rsidRPr="00981BD4" w:rsidRDefault="002A5B0D"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CAPITOLUL VIII</w:t>
            </w:r>
          </w:p>
          <w:p w:rsidR="002A5B0D" w:rsidRPr="00981BD4" w:rsidRDefault="002A5B0D" w:rsidP="00DA725A">
            <w:pPr>
              <w:jc w:val="center"/>
              <w:textAlignment w:val="baseline"/>
              <w:rPr>
                <w:rFonts w:ascii="Segoe UI" w:hAnsi="Segoe UI" w:cs="Segoe UI"/>
                <w:sz w:val="18"/>
                <w:szCs w:val="18"/>
                <w:lang w:val="it-IT" w:eastAsia="en-US"/>
              </w:rPr>
            </w:pPr>
            <w:r w:rsidRPr="00981BD4">
              <w:rPr>
                <w:b/>
                <w:bCs/>
                <w:sz w:val="18"/>
                <w:szCs w:val="18"/>
                <w:lang w:val="it-IT" w:eastAsia="en-US"/>
              </w:rPr>
              <w:t>FURNIZAREA DE INFORMAȚII</w:t>
            </w:r>
          </w:p>
          <w:p w:rsidR="002A5B0D" w:rsidRPr="00981BD4" w:rsidRDefault="002A5B0D" w:rsidP="00DA725A">
            <w:pPr>
              <w:jc w:val="both"/>
              <w:textAlignment w:val="baseline"/>
              <w:rPr>
                <w:rFonts w:ascii="Segoe UI" w:hAnsi="Segoe UI" w:cs="Segoe UI"/>
                <w:sz w:val="18"/>
                <w:szCs w:val="18"/>
                <w:lang w:val="it-IT" w:eastAsia="en-US"/>
              </w:rPr>
            </w:pPr>
            <w:r w:rsidRPr="00981BD4">
              <w:rPr>
                <w:b/>
                <w:bCs/>
                <w:sz w:val="18"/>
                <w:szCs w:val="18"/>
                <w:lang w:val="it-IT" w:eastAsia="en-US"/>
              </w:rPr>
              <w:t>Articolul 32</w:t>
            </w:r>
            <w:r w:rsidRPr="00981BD4">
              <w:rPr>
                <w:sz w:val="18"/>
                <w:szCs w:val="18"/>
                <w:lang w:val="it-IT" w:eastAsia="en-US"/>
              </w:rPr>
              <w:t> </w:t>
            </w:r>
          </w:p>
          <w:p w:rsidR="002A5B0D" w:rsidRDefault="002A5B0D" w:rsidP="00DA725A">
            <w:pPr>
              <w:jc w:val="both"/>
              <w:textAlignment w:val="baseline"/>
              <w:rPr>
                <w:sz w:val="18"/>
                <w:szCs w:val="18"/>
                <w:lang w:val="it-IT" w:eastAsia="en-US"/>
              </w:rPr>
            </w:pPr>
            <w:r w:rsidRPr="00981BD4">
              <w:rPr>
                <w:b/>
                <w:bCs/>
                <w:sz w:val="18"/>
                <w:szCs w:val="18"/>
                <w:lang w:val="it-IT" w:eastAsia="en-US"/>
              </w:rPr>
              <w:t>Obligațiile de informare ale operatorilor de sisteme de transport față de utilizatorii rețelei</w:t>
            </w:r>
            <w:r w:rsidRPr="00981BD4">
              <w:rPr>
                <w:sz w:val="18"/>
                <w:szCs w:val="18"/>
                <w:lang w:val="it-IT" w:eastAsia="en-US"/>
              </w:rPr>
              <w:t> </w:t>
            </w:r>
          </w:p>
          <w:p w:rsidR="003974AA" w:rsidRPr="00981BD4" w:rsidRDefault="003974AA" w:rsidP="00DA725A">
            <w:pPr>
              <w:jc w:val="both"/>
              <w:textAlignment w:val="baseline"/>
              <w:rPr>
                <w:rFonts w:ascii="Segoe UI" w:hAnsi="Segoe UI" w:cs="Segoe UI"/>
                <w:sz w:val="18"/>
                <w:szCs w:val="18"/>
                <w:lang w:val="it-IT" w:eastAsia="en-US"/>
              </w:rPr>
            </w:pP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Informațiile furnizate utilizatorilor rețelei de către operatorul de sistem de transport se referă la: </w:t>
            </w: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1.</w:t>
            </w:r>
            <w:r w:rsidRPr="00981BD4">
              <w:rPr>
                <w:rFonts w:ascii="Calibri" w:hAnsi="Calibri" w:cs="Calibri"/>
                <w:sz w:val="18"/>
                <w:szCs w:val="18"/>
                <w:lang w:val="it-IT" w:eastAsia="en-US"/>
              </w:rPr>
              <w:t xml:space="preserve"> </w:t>
            </w:r>
            <w:r w:rsidRPr="00981BD4">
              <w:rPr>
                <w:sz w:val="18"/>
                <w:szCs w:val="18"/>
                <w:lang w:val="it-IT" w:eastAsia="en-US"/>
              </w:rPr>
              <w:t>starea generală a rețelei de transport în conformitate cu punctul 3.4 subpunctul 5 din anexa I la Regulamentul (CE) nr. 715/2009; </w:t>
            </w: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acțiunile de echilibrare ale operatorului de sistem de transport, menționate în capitolul III; </w:t>
            </w: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3.</w:t>
            </w:r>
            <w:r w:rsidRPr="00981BD4">
              <w:rPr>
                <w:rFonts w:ascii="Calibri" w:hAnsi="Calibri" w:cs="Calibri"/>
                <w:sz w:val="18"/>
                <w:szCs w:val="18"/>
                <w:lang w:val="it-IT" w:eastAsia="en-US"/>
              </w:rPr>
              <w:t xml:space="preserve"> </w:t>
            </w:r>
            <w:r w:rsidRPr="00981BD4">
              <w:rPr>
                <w:sz w:val="18"/>
                <w:szCs w:val="18"/>
                <w:lang w:val="it-IT" w:eastAsia="en-US"/>
              </w:rPr>
              <w:t>intrările și ieșirile utilizatorului rețelei pentru ziua gazieră respectivă, menționate la articolele 33-42. </w:t>
            </w:r>
          </w:p>
          <w:p w:rsidR="002A5B0D" w:rsidRPr="00981BD4" w:rsidRDefault="002A5B0D" w:rsidP="00DA725A">
            <w:pPr>
              <w:jc w:val="both"/>
              <w:textAlignment w:val="baseline"/>
              <w:rPr>
                <w:b/>
                <w:bCs/>
                <w:sz w:val="18"/>
                <w:szCs w:val="18"/>
                <w:lang w:val="it-IT" w:eastAsia="en-US"/>
              </w:rPr>
            </w:pPr>
          </w:p>
        </w:tc>
        <w:tc>
          <w:tcPr>
            <w:tcW w:w="4962" w:type="dxa"/>
            <w:shd w:val="clear" w:color="auto" w:fill="auto"/>
          </w:tcPr>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Capitolul VIII</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PREZENTAREA INFORMAŢIILOR</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Secţiunea 1</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Dispoziţii generale</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Obligaţiile de informare ale OST faţă de utilizatorii de sistem</w:t>
            </w:r>
          </w:p>
          <w:p w:rsidR="00DE6401" w:rsidRPr="00DE6401" w:rsidRDefault="00DE6401" w:rsidP="00DE6401">
            <w:pPr>
              <w:textAlignment w:val="baseline"/>
              <w:rPr>
                <w:bCs/>
                <w:sz w:val="18"/>
                <w:szCs w:val="18"/>
                <w:lang w:val="ro-RO" w:eastAsia="en-US"/>
              </w:rPr>
            </w:pPr>
            <w:r w:rsidRPr="00DE6401">
              <w:rPr>
                <w:b/>
                <w:bCs/>
                <w:sz w:val="18"/>
                <w:szCs w:val="18"/>
                <w:lang w:val="ro-RO" w:eastAsia="en-US"/>
              </w:rPr>
              <w:t>552.</w:t>
            </w:r>
            <w:r w:rsidRPr="00DE6401">
              <w:rPr>
                <w:bCs/>
                <w:sz w:val="18"/>
                <w:szCs w:val="18"/>
                <w:lang w:val="ro-RO" w:eastAsia="en-US"/>
              </w:rPr>
              <w:t xml:space="preserve"> Informaţiile furnizate utilizatorilor de sistem de către OST se referă la:</w:t>
            </w:r>
          </w:p>
          <w:p w:rsidR="00DE6401" w:rsidRPr="00DE6401" w:rsidRDefault="00DE6401" w:rsidP="00DE6401">
            <w:pPr>
              <w:textAlignment w:val="baseline"/>
              <w:rPr>
                <w:bCs/>
                <w:sz w:val="18"/>
                <w:szCs w:val="18"/>
                <w:lang w:val="ro-RO" w:eastAsia="en-US"/>
              </w:rPr>
            </w:pPr>
            <w:r w:rsidRPr="00DE6401">
              <w:rPr>
                <w:bCs/>
                <w:sz w:val="18"/>
                <w:szCs w:val="18"/>
                <w:lang w:val="ro-RO" w:eastAsia="en-US"/>
              </w:rPr>
              <w:t xml:space="preserve">1) starea generală a reţelei de transport al gazelor naturale în conformitate cu Regulamentul privind accesul la reţelele de transport al gazelor naturale şi gestionarea congestiilor aprobat prin </w:t>
            </w:r>
            <w:hyperlink r:id="rId94" w:history="1">
              <w:r w:rsidRPr="00DE6401">
                <w:rPr>
                  <w:rStyle w:val="Hyperlink"/>
                  <w:bCs/>
                  <w:sz w:val="18"/>
                  <w:szCs w:val="18"/>
                  <w:lang w:val="ro-RO" w:eastAsia="en-US"/>
                </w:rPr>
                <w:t>Hotărârea ANRE nr.421/2019</w:t>
              </w:r>
            </w:hyperlink>
            <w:r w:rsidRPr="00DE6401">
              <w:rPr>
                <w:bCs/>
                <w:sz w:val="18"/>
                <w:szCs w:val="18"/>
                <w:lang w:val="ro-RO" w:eastAsia="en-US"/>
              </w:rPr>
              <w:t>;</w:t>
            </w:r>
          </w:p>
          <w:p w:rsidR="00DE6401" w:rsidRPr="00DE6401" w:rsidRDefault="00DE6401" w:rsidP="00DE6401">
            <w:pPr>
              <w:textAlignment w:val="baseline"/>
              <w:rPr>
                <w:bCs/>
                <w:sz w:val="18"/>
                <w:szCs w:val="18"/>
                <w:lang w:val="ro-RO" w:eastAsia="en-US"/>
              </w:rPr>
            </w:pPr>
            <w:r w:rsidRPr="00DE6401">
              <w:rPr>
                <w:bCs/>
                <w:sz w:val="18"/>
                <w:szCs w:val="18"/>
                <w:lang w:val="ro-RO" w:eastAsia="en-US"/>
              </w:rPr>
              <w:t>2) acţiunile de echilibrare ale OST, menţionate în Capitolul III al prezentului Titlu;</w:t>
            </w:r>
          </w:p>
          <w:p w:rsidR="00DE6401" w:rsidRPr="00DE6401" w:rsidRDefault="00DE6401" w:rsidP="00DE6401">
            <w:pPr>
              <w:textAlignment w:val="baseline"/>
              <w:rPr>
                <w:bCs/>
                <w:sz w:val="18"/>
                <w:szCs w:val="18"/>
                <w:lang w:val="ro-RO" w:eastAsia="en-US"/>
              </w:rPr>
            </w:pPr>
            <w:r w:rsidRPr="00DE6401">
              <w:rPr>
                <w:bCs/>
                <w:sz w:val="18"/>
                <w:szCs w:val="18"/>
                <w:lang w:val="ro-RO" w:eastAsia="en-US"/>
              </w:rPr>
              <w:t>3) intrările şi ieşirile utilizatorului de sistem pentru ziua gazieră respectivă, menţionate în prezentul Capitolul.</w:t>
            </w:r>
          </w:p>
          <w:p w:rsidR="002A5B0D" w:rsidRPr="00DE6401" w:rsidRDefault="002A5B0D" w:rsidP="00DA725A">
            <w:pPr>
              <w:jc w:val="both"/>
              <w:textAlignment w:val="baseline"/>
              <w:rPr>
                <w:b/>
                <w:bCs/>
                <w:sz w:val="18"/>
                <w:szCs w:val="18"/>
                <w:lang w:val="ro-RO" w:eastAsia="en-US"/>
              </w:rPr>
            </w:pPr>
          </w:p>
        </w:tc>
        <w:tc>
          <w:tcPr>
            <w:tcW w:w="1275" w:type="dxa"/>
            <w:shd w:val="clear" w:color="auto" w:fill="auto"/>
          </w:tcPr>
          <w:p w:rsidR="002A5B0D" w:rsidRDefault="002A5B0D"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Pr="00D82EE4" w:rsidRDefault="00177A93" w:rsidP="00DA725A">
            <w:pPr>
              <w:jc w:val="both"/>
              <w:rPr>
                <w:b/>
                <w:sz w:val="18"/>
                <w:szCs w:val="18"/>
                <w:lang w:val="it-IT"/>
              </w:rPr>
            </w:pPr>
            <w:r w:rsidRPr="00E55B82">
              <w:rPr>
                <w:sz w:val="18"/>
                <w:szCs w:val="18"/>
              </w:rPr>
              <w:t>Compatibil</w:t>
            </w:r>
          </w:p>
        </w:tc>
        <w:tc>
          <w:tcPr>
            <w:tcW w:w="4253" w:type="dxa"/>
            <w:shd w:val="clear" w:color="auto" w:fill="auto"/>
          </w:tcPr>
          <w:p w:rsidR="002A5B0D" w:rsidRPr="00E84D74" w:rsidRDefault="002A5B0D" w:rsidP="00DA725A">
            <w:pPr>
              <w:autoSpaceDE w:val="0"/>
              <w:autoSpaceDN w:val="0"/>
              <w:adjustRightInd w:val="0"/>
              <w:jc w:val="center"/>
              <w:rPr>
                <w:b/>
                <w:bCs/>
                <w:sz w:val="18"/>
                <w:szCs w:val="18"/>
              </w:rPr>
            </w:pPr>
            <w:r w:rsidRPr="00E84D74">
              <w:rPr>
                <w:b/>
                <w:bCs/>
                <w:sz w:val="18"/>
                <w:szCs w:val="18"/>
              </w:rPr>
              <w:t>CHAPTER VIII</w:t>
            </w:r>
          </w:p>
          <w:p w:rsidR="002A5B0D" w:rsidRPr="00E84D74" w:rsidRDefault="002A5B0D" w:rsidP="00DA725A">
            <w:pPr>
              <w:autoSpaceDE w:val="0"/>
              <w:autoSpaceDN w:val="0"/>
              <w:adjustRightInd w:val="0"/>
              <w:jc w:val="center"/>
              <w:rPr>
                <w:b/>
                <w:bCs/>
                <w:sz w:val="18"/>
                <w:szCs w:val="18"/>
              </w:rPr>
            </w:pPr>
            <w:r w:rsidRPr="00E84D74">
              <w:rPr>
                <w:b/>
                <w:bCs/>
                <w:sz w:val="18"/>
                <w:szCs w:val="18"/>
              </w:rPr>
              <w:t>INFORMATION PROVISION</w:t>
            </w:r>
          </w:p>
          <w:p w:rsidR="002A5B0D" w:rsidRPr="00E84D74" w:rsidRDefault="002A5B0D" w:rsidP="00DA725A">
            <w:pPr>
              <w:autoSpaceDE w:val="0"/>
              <w:autoSpaceDN w:val="0"/>
              <w:adjustRightInd w:val="0"/>
              <w:jc w:val="center"/>
              <w:rPr>
                <w:b/>
                <w:bCs/>
                <w:i/>
                <w:iCs/>
                <w:sz w:val="18"/>
                <w:szCs w:val="18"/>
              </w:rPr>
            </w:pPr>
            <w:r w:rsidRPr="00E84D74">
              <w:rPr>
                <w:b/>
                <w:bCs/>
                <w:i/>
                <w:iCs/>
                <w:sz w:val="18"/>
                <w:szCs w:val="18"/>
              </w:rPr>
              <w:t>Article 32</w:t>
            </w:r>
          </w:p>
          <w:p w:rsidR="002A5B0D" w:rsidRPr="00E84D74" w:rsidRDefault="002A5B0D" w:rsidP="00DA725A">
            <w:pPr>
              <w:autoSpaceDE w:val="0"/>
              <w:autoSpaceDN w:val="0"/>
              <w:adjustRightInd w:val="0"/>
              <w:jc w:val="center"/>
              <w:rPr>
                <w:b/>
                <w:bCs/>
                <w:sz w:val="18"/>
                <w:szCs w:val="18"/>
              </w:rPr>
            </w:pPr>
            <w:r w:rsidRPr="00E84D74">
              <w:rPr>
                <w:b/>
                <w:bCs/>
                <w:sz w:val="18"/>
                <w:szCs w:val="18"/>
              </w:rPr>
              <w:t>Information obligations of transmission system operators towards the network users</w:t>
            </w:r>
          </w:p>
          <w:p w:rsidR="002A5B0D" w:rsidRPr="00E84D74" w:rsidRDefault="002A5B0D" w:rsidP="00DA725A">
            <w:pPr>
              <w:autoSpaceDE w:val="0"/>
              <w:autoSpaceDN w:val="0"/>
              <w:adjustRightInd w:val="0"/>
              <w:rPr>
                <w:sz w:val="18"/>
                <w:szCs w:val="18"/>
              </w:rPr>
            </w:pPr>
            <w:r w:rsidRPr="00E84D74">
              <w:rPr>
                <w:sz w:val="18"/>
                <w:szCs w:val="18"/>
              </w:rPr>
              <w:t>The information provided to network users by the transmission system operator shall refer to:</w:t>
            </w:r>
          </w:p>
          <w:p w:rsidR="002A5B0D" w:rsidRPr="00E84D74" w:rsidRDefault="002A5B0D" w:rsidP="00DA725A">
            <w:pPr>
              <w:autoSpaceDE w:val="0"/>
              <w:autoSpaceDN w:val="0"/>
              <w:adjustRightInd w:val="0"/>
              <w:rPr>
                <w:sz w:val="18"/>
                <w:szCs w:val="18"/>
              </w:rPr>
            </w:pPr>
            <w:r w:rsidRPr="00E84D74">
              <w:rPr>
                <w:sz w:val="18"/>
                <w:szCs w:val="18"/>
              </w:rPr>
              <w:t>(1) the overall status of the transmission network in accordance with point 3.4(5) of Annex I to Regulation</w:t>
            </w:r>
          </w:p>
          <w:p w:rsidR="002A5B0D" w:rsidRPr="00E84D74" w:rsidRDefault="002A5B0D" w:rsidP="00DA725A">
            <w:pPr>
              <w:autoSpaceDE w:val="0"/>
              <w:autoSpaceDN w:val="0"/>
              <w:adjustRightInd w:val="0"/>
              <w:rPr>
                <w:sz w:val="18"/>
                <w:szCs w:val="18"/>
              </w:rPr>
            </w:pPr>
            <w:r w:rsidRPr="00E84D74">
              <w:rPr>
                <w:sz w:val="18"/>
                <w:szCs w:val="18"/>
              </w:rPr>
              <w:t>(EC) No 715/2009;</w:t>
            </w:r>
          </w:p>
          <w:p w:rsidR="002A5B0D" w:rsidRPr="00E84D74" w:rsidRDefault="002A5B0D" w:rsidP="00DA725A">
            <w:pPr>
              <w:autoSpaceDE w:val="0"/>
              <w:autoSpaceDN w:val="0"/>
              <w:adjustRightInd w:val="0"/>
              <w:rPr>
                <w:sz w:val="18"/>
                <w:szCs w:val="18"/>
              </w:rPr>
            </w:pPr>
            <w:r w:rsidRPr="00E84D74">
              <w:rPr>
                <w:sz w:val="18"/>
                <w:szCs w:val="18"/>
              </w:rPr>
              <w:t>(2) the transmission system operator’s balancing actions referred to in Chapter III;</w:t>
            </w:r>
          </w:p>
          <w:p w:rsidR="002A5B0D" w:rsidRPr="00E84D74" w:rsidRDefault="002A5B0D" w:rsidP="00DA725A">
            <w:pPr>
              <w:autoSpaceDE w:val="0"/>
              <w:autoSpaceDN w:val="0"/>
              <w:adjustRightInd w:val="0"/>
              <w:rPr>
                <w:sz w:val="18"/>
                <w:szCs w:val="18"/>
              </w:rPr>
            </w:pPr>
            <w:r w:rsidRPr="00E84D74">
              <w:rPr>
                <w:sz w:val="18"/>
                <w:szCs w:val="18"/>
              </w:rPr>
              <w:t>(3) the network user’s inputs and off-takes for the gas day referred to in Articles 33 to 42.</w:t>
            </w:r>
          </w:p>
        </w:tc>
      </w:tr>
      <w:tr w:rsidR="007E33DD" w:rsidRPr="00043955" w:rsidTr="00FC3840">
        <w:trPr>
          <w:trHeight w:val="1240"/>
        </w:trPr>
        <w:tc>
          <w:tcPr>
            <w:tcW w:w="5245" w:type="dxa"/>
            <w:shd w:val="clear" w:color="auto" w:fill="auto"/>
          </w:tcPr>
          <w:p w:rsidR="007E33DD" w:rsidRPr="00981BD4" w:rsidRDefault="007E33DD"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33</w:t>
            </w:r>
          </w:p>
          <w:p w:rsidR="007E33DD" w:rsidRPr="00981BD4" w:rsidRDefault="007E33DD"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generale</w:t>
            </w:r>
          </w:p>
          <w:p w:rsidR="007E33DD" w:rsidRDefault="007E33DD" w:rsidP="00DA725A">
            <w:pPr>
              <w:jc w:val="both"/>
              <w:textAlignment w:val="baseline"/>
              <w:rPr>
                <w:sz w:val="18"/>
                <w:szCs w:val="18"/>
                <w:lang w:val="it-IT" w:eastAsia="en-US"/>
              </w:rPr>
            </w:pPr>
            <w:r w:rsidRPr="00981BD4">
              <w:rPr>
                <w:sz w:val="18"/>
                <w:szCs w:val="18"/>
                <w:lang w:val="it-IT" w:eastAsia="en-US"/>
              </w:rPr>
              <w:t>(1)   În cazul în care nu au fost deja furnizate de operatorul de sistem de transport conform punctului 3.1.2 din anexa I la Regulamentul (CE) nr. 715/2009, operatorul de sistem de transport furnizează toate informațiile menționate la articolul 32, după cum urmează: </w:t>
            </w:r>
          </w:p>
          <w:p w:rsidR="003974AA" w:rsidRPr="00981BD4" w:rsidRDefault="003974AA" w:rsidP="00DA725A">
            <w:pPr>
              <w:jc w:val="both"/>
              <w:textAlignment w:val="baseline"/>
              <w:rPr>
                <w:rFonts w:ascii="Segoe UI" w:hAnsi="Segoe UI" w:cs="Segoe UI"/>
                <w:sz w:val="18"/>
                <w:szCs w:val="18"/>
                <w:lang w:val="it-IT" w:eastAsia="en-US"/>
              </w:rPr>
            </w:pP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le publică pe site-ul web al operatorului de sistem de transport sau în cadrul unui alt sistem care furnizează informații în format electronic;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le pune gratuit la dispoziția utilizatorilor rețelei;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le elaborează într-un format ușor de utilizat;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le conferă un caracter clar, cuantificabil și ușor de accesat;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le comunică pe bază nediscriminatorie;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le exprimă în unități coerente, fie în kWh, fie în kWh/z și kWh/h;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(g)</w:t>
            </w:r>
            <w:r w:rsidRPr="00981BD4">
              <w:rPr>
                <w:rFonts w:ascii="Calibri" w:hAnsi="Calibri" w:cs="Calibri"/>
                <w:sz w:val="18"/>
                <w:szCs w:val="18"/>
                <w:lang w:val="it-IT" w:eastAsia="en-US"/>
              </w:rPr>
              <w:t xml:space="preserve"> </w:t>
            </w:r>
            <w:r w:rsidRPr="00981BD4">
              <w:rPr>
                <w:sz w:val="18"/>
                <w:szCs w:val="18"/>
                <w:lang w:val="it-IT" w:eastAsia="en-US"/>
              </w:rPr>
              <w:t>le pune la dispoziție în limba sau limbile oficiale ale statului membru și în limba engleză. </w:t>
            </w:r>
          </w:p>
          <w:p w:rsidR="007E33DD" w:rsidRDefault="007E33DD" w:rsidP="00DA725A">
            <w:pPr>
              <w:jc w:val="both"/>
              <w:textAlignment w:val="baseline"/>
              <w:rPr>
                <w:sz w:val="18"/>
                <w:szCs w:val="18"/>
                <w:lang w:val="it-IT" w:eastAsia="en-US"/>
              </w:rPr>
            </w:pPr>
            <w:r w:rsidRPr="00981BD4">
              <w:rPr>
                <w:sz w:val="18"/>
                <w:szCs w:val="18"/>
                <w:lang w:val="it-IT" w:eastAsia="en-US"/>
              </w:rPr>
              <w:t> </w:t>
            </w:r>
          </w:p>
          <w:p w:rsidR="003974AA" w:rsidRPr="00981BD4" w:rsidRDefault="003974AA" w:rsidP="00DA725A">
            <w:pPr>
              <w:jc w:val="both"/>
              <w:textAlignment w:val="baseline"/>
              <w:rPr>
                <w:rFonts w:ascii="Segoe UI" w:hAnsi="Segoe UI" w:cs="Segoe UI"/>
                <w:sz w:val="18"/>
                <w:szCs w:val="18"/>
                <w:lang w:val="it-IT" w:eastAsia="en-US"/>
              </w:rPr>
            </w:pP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(2)   Atunci când o cantitate măsurată nu poate fi obținută prin utilizarea unui contor, se poate utiliza o valoare de înlocuire. Această valoare de înlocuire este utilizată ca o valoare de referință alternativă, fără alte garanții suplimentare din partea operatorului de sistem de transport. </w:t>
            </w:r>
          </w:p>
          <w:p w:rsidR="007E33DD" w:rsidRDefault="007E33DD" w:rsidP="00DA725A">
            <w:pPr>
              <w:jc w:val="both"/>
              <w:textAlignment w:val="baseline"/>
              <w:rPr>
                <w:sz w:val="18"/>
                <w:szCs w:val="18"/>
                <w:lang w:val="it-IT" w:eastAsia="en-US"/>
              </w:rPr>
            </w:pPr>
            <w:r w:rsidRPr="00981BD4">
              <w:rPr>
                <w:sz w:val="18"/>
                <w:szCs w:val="18"/>
                <w:lang w:val="it-IT" w:eastAsia="en-US"/>
              </w:rPr>
              <w:t xml:space="preserve">(3)   Furnizarea accesului la informații nu se interpretează ca oferind o garanție anume, alta decât disponibilitatea acestor informații într-un format definit și printr-un instrument definit, cum ar fi un site internet sau o adresă de internet, și accesul aferent al utilizatorilor rețelei la aceste informații în condiții normale de utilizare. Operatorii de sisteme de transport nu sunt, în niciun caz, obligați să ofere garanții </w:t>
            </w:r>
            <w:r w:rsidRPr="00981BD4">
              <w:rPr>
                <w:sz w:val="18"/>
                <w:szCs w:val="18"/>
                <w:lang w:val="it-IT" w:eastAsia="en-US"/>
              </w:rPr>
              <w:lastRenderedPageBreak/>
              <w:t>suplimentare, în special în ceea ce privește sistemul informatic al utilizatorilor rețelei. </w:t>
            </w:r>
          </w:p>
          <w:p w:rsidR="003974AA" w:rsidRPr="00981BD4" w:rsidRDefault="003974AA" w:rsidP="00DA725A">
            <w:pPr>
              <w:jc w:val="both"/>
              <w:textAlignment w:val="baseline"/>
              <w:rPr>
                <w:rFonts w:ascii="Segoe UI" w:hAnsi="Segoe UI" w:cs="Segoe UI"/>
                <w:sz w:val="18"/>
                <w:szCs w:val="18"/>
                <w:lang w:val="it-IT" w:eastAsia="en-US"/>
              </w:rPr>
            </w:pP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(4)   Autoritatea națională de reglementare decide cu privire la un model unic de informare pentru fiecare zonă de echilibrare. Pentru furnizarea de informații cu privire la intrările și ieșirile contorizate pe parcursul zilei, se aplică aceleași norme tuturor modelelor. </w:t>
            </w:r>
          </w:p>
          <w:p w:rsidR="007E33DD" w:rsidRPr="00981BD4" w:rsidRDefault="007E33DD" w:rsidP="00A560BB">
            <w:pPr>
              <w:textAlignment w:val="baseline"/>
              <w:rPr>
                <w:b/>
                <w:bCs/>
                <w:sz w:val="18"/>
                <w:szCs w:val="18"/>
                <w:lang w:val="it-IT" w:eastAsia="en-US"/>
              </w:rPr>
            </w:pPr>
            <w:r w:rsidRPr="00981BD4">
              <w:rPr>
                <w:sz w:val="18"/>
                <w:szCs w:val="18"/>
                <w:lang w:val="it-IT" w:eastAsia="en-US"/>
              </w:rPr>
              <w:t>(5)   Pentru zonele de echilibrare unde se intenționează aplicarea variantei 2 a modelului de informare după intrarea în vigoare a prezentului regulament, trebuie derulată o consultare prealabilă a pieței de către operatorul de sistem de transport sau de către autoritatea națională de reglementare, după caz. </w:t>
            </w:r>
          </w:p>
        </w:tc>
        <w:tc>
          <w:tcPr>
            <w:tcW w:w="4962" w:type="dxa"/>
            <w:shd w:val="clear" w:color="auto" w:fill="auto"/>
          </w:tcPr>
          <w:p w:rsidR="004C3779" w:rsidRDefault="004C3779" w:rsidP="00DE6401">
            <w:pPr>
              <w:jc w:val="both"/>
              <w:textAlignment w:val="baseline"/>
              <w:rPr>
                <w:b/>
                <w:bCs/>
                <w:sz w:val="18"/>
                <w:szCs w:val="18"/>
                <w:lang w:val="ro-RO" w:eastAsia="en-US"/>
              </w:rPr>
            </w:pPr>
          </w:p>
          <w:p w:rsidR="004C3779" w:rsidRDefault="004C3779" w:rsidP="00DE6401">
            <w:pPr>
              <w:jc w:val="both"/>
              <w:textAlignment w:val="baseline"/>
              <w:rPr>
                <w:b/>
                <w:bCs/>
                <w:sz w:val="18"/>
                <w:szCs w:val="18"/>
                <w:lang w:val="ro-RO" w:eastAsia="en-US"/>
              </w:rPr>
            </w:pP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553.</w:t>
            </w:r>
            <w:r w:rsidRPr="00DE6401">
              <w:rPr>
                <w:sz w:val="18"/>
                <w:szCs w:val="18"/>
                <w:lang w:val="ro-RO" w:eastAsia="en-US"/>
              </w:rPr>
              <w:t xml:space="preserve"> În cazul în care nu au fost deja comunicate de OST conform Regulamentului privind accesul la reţelele de transport al gazelor naturale şi gestionarea congestiilor aprobat prin </w:t>
            </w:r>
            <w:hyperlink r:id="rId95" w:history="1">
              <w:r w:rsidRPr="00DE6401">
                <w:rPr>
                  <w:rStyle w:val="Hyperlink"/>
                  <w:sz w:val="18"/>
                  <w:szCs w:val="18"/>
                  <w:lang w:val="ro-RO" w:eastAsia="en-US"/>
                </w:rPr>
                <w:t>Hotărârea ANRE nr.421/2019</w:t>
              </w:r>
            </w:hyperlink>
            <w:r w:rsidRPr="00DE6401">
              <w:rPr>
                <w:sz w:val="18"/>
                <w:szCs w:val="18"/>
                <w:lang w:val="ro-RO" w:eastAsia="en-US"/>
              </w:rPr>
              <w:t>, OST transmite toate informaţiile menţionate în pct.552, conform următoarelor reguli:</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1) publicarea informaţiei pe pagina electronică al OST sau în cadrul unui alt sistem care furnizează informaţii în format electronic;</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2) punerea gratuită a informaţiei la dispoziţia utilizatorilor de sistem;</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3) prezentarea informaţiei într-un format uşor de utilizat;</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4) conferirea informaţiei unui caracter clar, cuantificabil şi uşor de accesat;</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5) prezentarea informaţiei pe bază nediscriminatorie;</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6) exprimate în unităţi coerente, fie în kWh, fie în kWh/zi şi kWh/h;</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7) punerea informaţiei la dispoziţie în limba română şi în limba engleză.</w:t>
            </w: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554.</w:t>
            </w:r>
            <w:r w:rsidRPr="00DE6401">
              <w:rPr>
                <w:sz w:val="18"/>
                <w:szCs w:val="18"/>
                <w:lang w:val="ro-RO" w:eastAsia="en-US"/>
              </w:rPr>
              <w:t xml:space="preserve"> Atunci când nu se poate obţine o citire a cantităţii măsurate prin utilizarea unui echipament de măsurare, se poate utiliza o valoare de înlocuire. Această valoare de înlocuire este utilizată ca o valoare de referinţă alternativă, fără alte garanţii suplimentare din partea OST.</w:t>
            </w: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555.</w:t>
            </w:r>
            <w:r w:rsidRPr="00DE6401">
              <w:rPr>
                <w:sz w:val="18"/>
                <w:szCs w:val="18"/>
                <w:lang w:val="ro-RO" w:eastAsia="en-US"/>
              </w:rPr>
              <w:t xml:space="preserve"> Accesul la informaţii nu implică nici o altă garanţie specială, alta decât disponibilitatea acestor informaţii într-un format definit şi printr-un instrument definit, cum ar fi o pagină electronică sau o adresă de internet, şi accesul utilizatorilor de sistem la aceste informaţii în condiţii normale de utilizare. OST nu este, în niciun </w:t>
            </w:r>
            <w:r w:rsidRPr="00DE6401">
              <w:rPr>
                <w:sz w:val="18"/>
                <w:szCs w:val="18"/>
                <w:lang w:val="ro-RO" w:eastAsia="en-US"/>
              </w:rPr>
              <w:lastRenderedPageBreak/>
              <w:t>caz, obligat să ofere garanţii suplimentare, în special în ceea ce priveşte sistemul informatic al utilizatorilor de sistem.</w:t>
            </w:r>
          </w:p>
          <w:p w:rsidR="00A560BB" w:rsidRDefault="00A560BB" w:rsidP="00DE6401">
            <w:pPr>
              <w:jc w:val="both"/>
              <w:textAlignment w:val="baseline"/>
              <w:rPr>
                <w:b/>
                <w:bCs/>
                <w:sz w:val="18"/>
                <w:szCs w:val="18"/>
                <w:lang w:val="ro-RO" w:eastAsia="en-US"/>
              </w:rPr>
            </w:pP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556.</w:t>
            </w:r>
            <w:r w:rsidRPr="00DE6401">
              <w:rPr>
                <w:sz w:val="18"/>
                <w:szCs w:val="18"/>
                <w:lang w:val="ro-RO" w:eastAsia="en-US"/>
              </w:rPr>
              <w:t xml:space="preserve"> Agenţia decide cu privire la un model unic de informare pentru fiecare zonă de echilibrare. Pentru furnizarea de informaţii cu privire la intrările şi ieşirile cu măsurare pe parcursul zilei, se aplică aceleaşi reguli tuturor modelelor.</w:t>
            </w: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557.</w:t>
            </w:r>
            <w:r w:rsidRPr="00DE6401">
              <w:rPr>
                <w:sz w:val="18"/>
                <w:szCs w:val="18"/>
                <w:lang w:val="ro-RO" w:eastAsia="en-US"/>
              </w:rPr>
              <w:t xml:space="preserve"> Pentru zonele de echilibrare unde se intenţionează aplicarea variantei 2 a modelului de informare după intrarea în vigoare a prezentului Titlu, urmează a fi derulată o consultare prealabilă a pieţei de către OST sau de către Agenţie, după caz.</w:t>
            </w:r>
          </w:p>
          <w:p w:rsidR="007E33DD" w:rsidRPr="00DE6401" w:rsidRDefault="007E33DD" w:rsidP="00DA725A">
            <w:pPr>
              <w:jc w:val="both"/>
              <w:textAlignment w:val="baseline"/>
              <w:rPr>
                <w:sz w:val="18"/>
                <w:szCs w:val="18"/>
                <w:lang w:val="ro-RO" w:eastAsia="en-US"/>
              </w:rPr>
            </w:pPr>
          </w:p>
          <w:p w:rsidR="007E33DD" w:rsidRPr="00BE464B" w:rsidRDefault="007E33DD" w:rsidP="00DA725A">
            <w:pPr>
              <w:jc w:val="center"/>
              <w:textAlignment w:val="baseline"/>
              <w:rPr>
                <w:b/>
                <w:bCs/>
                <w:sz w:val="18"/>
                <w:szCs w:val="18"/>
                <w:lang w:val="ro-MD" w:eastAsia="en-US"/>
              </w:rPr>
            </w:pPr>
          </w:p>
        </w:tc>
        <w:tc>
          <w:tcPr>
            <w:tcW w:w="1275" w:type="dxa"/>
            <w:shd w:val="clear" w:color="auto" w:fill="auto"/>
          </w:tcPr>
          <w:p w:rsidR="007E33DD" w:rsidRDefault="007E33DD" w:rsidP="00DA725A">
            <w:pPr>
              <w:jc w:val="both"/>
              <w:rPr>
                <w:b/>
                <w:sz w:val="18"/>
                <w:szCs w:val="18"/>
                <w:lang w:val="it-IT"/>
              </w:rPr>
            </w:pPr>
          </w:p>
          <w:p w:rsidR="00177A93" w:rsidRDefault="00177A93" w:rsidP="00DA725A">
            <w:pPr>
              <w:jc w:val="both"/>
              <w:rPr>
                <w:b/>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286DDA" w:rsidRPr="00981BD4" w:rsidRDefault="00286DDA" w:rsidP="00DA725A">
            <w:pPr>
              <w:jc w:val="both"/>
              <w:rPr>
                <w:sz w:val="18"/>
                <w:szCs w:val="18"/>
                <w:lang w:val="it-IT"/>
              </w:rPr>
            </w:pPr>
          </w:p>
          <w:p w:rsidR="00286DDA" w:rsidRDefault="00286DD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FC3840" w:rsidRDefault="00FC3840" w:rsidP="00DA725A">
            <w:pPr>
              <w:jc w:val="both"/>
              <w:rPr>
                <w:sz w:val="18"/>
                <w:szCs w:val="18"/>
                <w:lang w:val="it-IT"/>
              </w:rPr>
            </w:pPr>
          </w:p>
          <w:p w:rsidR="003974AA" w:rsidRPr="00981BD4" w:rsidRDefault="003974AA"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286DDA" w:rsidRPr="00981BD4" w:rsidRDefault="00286DDA"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Default="00177A93"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177A93" w:rsidRDefault="00177A93" w:rsidP="00DA725A">
            <w:pPr>
              <w:jc w:val="both"/>
              <w:rPr>
                <w:sz w:val="18"/>
                <w:szCs w:val="18"/>
                <w:lang w:val="it-IT"/>
              </w:rPr>
            </w:pPr>
          </w:p>
          <w:p w:rsidR="003856F5" w:rsidRPr="00981BD4" w:rsidRDefault="003856F5"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3856F5" w:rsidRPr="00981BD4" w:rsidRDefault="003856F5" w:rsidP="00DA725A">
            <w:pPr>
              <w:jc w:val="both"/>
              <w:rPr>
                <w:sz w:val="18"/>
                <w:szCs w:val="18"/>
                <w:lang w:val="it-IT"/>
              </w:rPr>
            </w:pPr>
          </w:p>
          <w:p w:rsidR="00177A93" w:rsidRPr="00D82EE4" w:rsidRDefault="005F3E1E" w:rsidP="00DA725A">
            <w:pPr>
              <w:jc w:val="both"/>
              <w:rPr>
                <w:b/>
                <w:sz w:val="18"/>
                <w:szCs w:val="18"/>
                <w:lang w:val="it-IT"/>
              </w:rPr>
            </w:pPr>
            <w:r w:rsidRPr="00380C00">
              <w:rPr>
                <w:sz w:val="18"/>
                <w:szCs w:val="18"/>
                <w:lang w:val="it-IT"/>
              </w:rPr>
              <w:t>C</w:t>
            </w:r>
            <w:r w:rsidR="00177A93" w:rsidRPr="00981BD4">
              <w:rPr>
                <w:sz w:val="18"/>
                <w:szCs w:val="18"/>
                <w:lang w:val="it-IT"/>
              </w:rPr>
              <w:t>ompatibil</w:t>
            </w:r>
          </w:p>
        </w:tc>
        <w:tc>
          <w:tcPr>
            <w:tcW w:w="4253" w:type="dxa"/>
            <w:shd w:val="clear" w:color="auto" w:fill="auto"/>
          </w:tcPr>
          <w:p w:rsidR="007E33DD" w:rsidRPr="00E84D74" w:rsidRDefault="007E33DD" w:rsidP="00DA725A">
            <w:pPr>
              <w:autoSpaceDE w:val="0"/>
              <w:autoSpaceDN w:val="0"/>
              <w:adjustRightInd w:val="0"/>
              <w:jc w:val="center"/>
              <w:rPr>
                <w:b/>
                <w:bCs/>
                <w:i/>
                <w:iCs/>
                <w:sz w:val="18"/>
                <w:szCs w:val="18"/>
              </w:rPr>
            </w:pPr>
            <w:r w:rsidRPr="00E84D74">
              <w:rPr>
                <w:b/>
                <w:bCs/>
                <w:i/>
                <w:iCs/>
                <w:sz w:val="18"/>
                <w:szCs w:val="18"/>
              </w:rPr>
              <w:lastRenderedPageBreak/>
              <w:t>Article 33</w:t>
            </w:r>
          </w:p>
          <w:p w:rsidR="007E33DD" w:rsidRPr="00E84D74" w:rsidRDefault="007E33DD" w:rsidP="00DA725A">
            <w:pPr>
              <w:autoSpaceDE w:val="0"/>
              <w:autoSpaceDN w:val="0"/>
              <w:adjustRightInd w:val="0"/>
              <w:jc w:val="center"/>
              <w:rPr>
                <w:b/>
                <w:bCs/>
                <w:sz w:val="18"/>
                <w:szCs w:val="18"/>
              </w:rPr>
            </w:pPr>
            <w:r w:rsidRPr="00E84D74">
              <w:rPr>
                <w:b/>
                <w:bCs/>
                <w:sz w:val="18"/>
                <w:szCs w:val="18"/>
              </w:rPr>
              <w:t>General provisions</w:t>
            </w:r>
          </w:p>
          <w:p w:rsidR="007E33DD" w:rsidRPr="00E84D74" w:rsidRDefault="007E33DD" w:rsidP="00DA725A">
            <w:pPr>
              <w:autoSpaceDE w:val="0"/>
              <w:autoSpaceDN w:val="0"/>
              <w:adjustRightInd w:val="0"/>
              <w:rPr>
                <w:sz w:val="18"/>
                <w:szCs w:val="18"/>
              </w:rPr>
            </w:pPr>
            <w:r w:rsidRPr="00E84D74">
              <w:rPr>
                <w:sz w:val="18"/>
                <w:szCs w:val="18"/>
              </w:rPr>
              <w:t>1. If not already provided by the transmission system operator according to point 3.1.2 of Annex I to</w:t>
            </w:r>
          </w:p>
          <w:p w:rsidR="007E33DD" w:rsidRPr="00E84D74" w:rsidRDefault="007E33DD" w:rsidP="00DA725A">
            <w:pPr>
              <w:autoSpaceDE w:val="0"/>
              <w:autoSpaceDN w:val="0"/>
              <w:adjustRightInd w:val="0"/>
              <w:rPr>
                <w:sz w:val="18"/>
                <w:szCs w:val="18"/>
              </w:rPr>
            </w:pPr>
            <w:r w:rsidRPr="00E84D74">
              <w:rPr>
                <w:sz w:val="18"/>
                <w:szCs w:val="18"/>
              </w:rPr>
              <w:t>Regulation (EC) No 715/2009, the transmission system operator shall provide all information referred to under Article 32 in the following manner:</w:t>
            </w:r>
          </w:p>
          <w:p w:rsidR="007E33DD" w:rsidRPr="00E84D74" w:rsidRDefault="007E33DD" w:rsidP="00DA725A">
            <w:pPr>
              <w:autoSpaceDE w:val="0"/>
              <w:autoSpaceDN w:val="0"/>
              <w:adjustRightInd w:val="0"/>
              <w:rPr>
                <w:sz w:val="18"/>
                <w:szCs w:val="18"/>
              </w:rPr>
            </w:pPr>
            <w:r w:rsidRPr="00E84D74">
              <w:rPr>
                <w:sz w:val="18"/>
                <w:szCs w:val="18"/>
              </w:rPr>
              <w:t>(a) on the transmission system operator’s website or other system providing the information in elec tronic format;</w:t>
            </w:r>
          </w:p>
          <w:p w:rsidR="007E33DD" w:rsidRPr="00E84D74" w:rsidRDefault="007E33DD" w:rsidP="00DA725A">
            <w:pPr>
              <w:autoSpaceDE w:val="0"/>
              <w:autoSpaceDN w:val="0"/>
              <w:adjustRightInd w:val="0"/>
              <w:rPr>
                <w:sz w:val="18"/>
                <w:szCs w:val="18"/>
              </w:rPr>
            </w:pPr>
            <w:r w:rsidRPr="00E84D74">
              <w:rPr>
                <w:sz w:val="18"/>
                <w:szCs w:val="18"/>
              </w:rPr>
              <w:t>(b) accessible to network users free of charge;</w:t>
            </w:r>
          </w:p>
          <w:p w:rsidR="007E33DD" w:rsidRPr="00E84D74" w:rsidRDefault="007E33DD" w:rsidP="00DA725A">
            <w:pPr>
              <w:autoSpaceDE w:val="0"/>
              <w:autoSpaceDN w:val="0"/>
              <w:adjustRightInd w:val="0"/>
              <w:rPr>
                <w:sz w:val="18"/>
                <w:szCs w:val="18"/>
              </w:rPr>
            </w:pPr>
            <w:r w:rsidRPr="00E84D74">
              <w:rPr>
                <w:sz w:val="18"/>
                <w:szCs w:val="18"/>
              </w:rPr>
              <w:t>(c) in a user-friendly manner;</w:t>
            </w:r>
          </w:p>
          <w:p w:rsidR="007E33DD" w:rsidRPr="00E84D74" w:rsidRDefault="007E33DD" w:rsidP="00DA725A">
            <w:pPr>
              <w:autoSpaceDE w:val="0"/>
              <w:autoSpaceDN w:val="0"/>
              <w:adjustRightInd w:val="0"/>
              <w:rPr>
                <w:sz w:val="18"/>
                <w:szCs w:val="18"/>
              </w:rPr>
            </w:pPr>
            <w:r w:rsidRPr="00E84D74">
              <w:rPr>
                <w:sz w:val="18"/>
                <w:szCs w:val="18"/>
              </w:rPr>
              <w:t>(d) clear, quantifiable and easily accessible;</w:t>
            </w:r>
          </w:p>
          <w:p w:rsidR="007E33DD" w:rsidRPr="00E84D74" w:rsidRDefault="007E33DD" w:rsidP="00DA725A">
            <w:pPr>
              <w:autoSpaceDE w:val="0"/>
              <w:autoSpaceDN w:val="0"/>
              <w:adjustRightInd w:val="0"/>
              <w:rPr>
                <w:sz w:val="18"/>
                <w:szCs w:val="18"/>
              </w:rPr>
            </w:pPr>
            <w:r w:rsidRPr="00E84D74">
              <w:rPr>
                <w:sz w:val="18"/>
                <w:szCs w:val="18"/>
              </w:rPr>
              <w:t>(e) on a non-discriminatory basis;</w:t>
            </w:r>
          </w:p>
          <w:p w:rsidR="007E33DD" w:rsidRPr="00E84D74" w:rsidRDefault="007E33DD" w:rsidP="00DA725A">
            <w:pPr>
              <w:autoSpaceDE w:val="0"/>
              <w:autoSpaceDN w:val="0"/>
              <w:adjustRightInd w:val="0"/>
              <w:rPr>
                <w:sz w:val="18"/>
                <w:szCs w:val="18"/>
              </w:rPr>
            </w:pPr>
            <w:r w:rsidRPr="00E84D74">
              <w:rPr>
                <w:sz w:val="18"/>
                <w:szCs w:val="18"/>
              </w:rPr>
              <w:t>(f) in consistent units either in kWh or kWh/d and kWh/h;</w:t>
            </w:r>
          </w:p>
          <w:p w:rsidR="007E33DD" w:rsidRDefault="007E33DD" w:rsidP="00DA725A">
            <w:pPr>
              <w:autoSpaceDE w:val="0"/>
              <w:autoSpaceDN w:val="0"/>
              <w:adjustRightInd w:val="0"/>
              <w:rPr>
                <w:sz w:val="18"/>
                <w:szCs w:val="18"/>
              </w:rPr>
            </w:pPr>
            <w:r w:rsidRPr="00E84D74">
              <w:rPr>
                <w:sz w:val="18"/>
                <w:szCs w:val="18"/>
              </w:rPr>
              <w:t xml:space="preserve">(g) in the official language(s) of the </w:t>
            </w:r>
            <w:r w:rsidRPr="00E84D74">
              <w:rPr>
                <w:b/>
                <w:bCs/>
                <w:sz w:val="18"/>
                <w:szCs w:val="18"/>
              </w:rPr>
              <w:t xml:space="preserve">Contracting Party </w:t>
            </w:r>
            <w:r w:rsidRPr="00E84D74">
              <w:rPr>
                <w:sz w:val="18"/>
                <w:szCs w:val="18"/>
              </w:rPr>
              <w:t>and in English.</w:t>
            </w:r>
          </w:p>
          <w:p w:rsidR="003974AA" w:rsidRDefault="003974AA" w:rsidP="00DA725A">
            <w:pPr>
              <w:autoSpaceDE w:val="0"/>
              <w:autoSpaceDN w:val="0"/>
              <w:adjustRightInd w:val="0"/>
              <w:rPr>
                <w:sz w:val="18"/>
                <w:szCs w:val="18"/>
              </w:rPr>
            </w:pPr>
          </w:p>
          <w:p w:rsidR="003974AA" w:rsidRPr="00E84D74" w:rsidRDefault="003974AA" w:rsidP="00DA725A">
            <w:pPr>
              <w:autoSpaceDE w:val="0"/>
              <w:autoSpaceDN w:val="0"/>
              <w:adjustRightInd w:val="0"/>
              <w:rPr>
                <w:sz w:val="18"/>
                <w:szCs w:val="18"/>
              </w:rPr>
            </w:pPr>
          </w:p>
          <w:p w:rsidR="007E33DD" w:rsidRPr="00E84D74" w:rsidRDefault="007E33DD" w:rsidP="00DA725A">
            <w:pPr>
              <w:autoSpaceDE w:val="0"/>
              <w:autoSpaceDN w:val="0"/>
              <w:adjustRightInd w:val="0"/>
              <w:rPr>
                <w:sz w:val="18"/>
                <w:szCs w:val="18"/>
              </w:rPr>
            </w:pPr>
            <w:r w:rsidRPr="00E84D74">
              <w:rPr>
                <w:sz w:val="18"/>
                <w:szCs w:val="18"/>
              </w:rPr>
              <w:t>2. Where a measured quantity cannot be obtained from a meter, a replacement value may be used.</w:t>
            </w:r>
          </w:p>
          <w:p w:rsidR="007E33DD" w:rsidRPr="00E84D74" w:rsidRDefault="007E33DD" w:rsidP="00DA725A">
            <w:pPr>
              <w:autoSpaceDE w:val="0"/>
              <w:autoSpaceDN w:val="0"/>
              <w:adjustRightInd w:val="0"/>
              <w:rPr>
                <w:sz w:val="18"/>
                <w:szCs w:val="18"/>
              </w:rPr>
            </w:pPr>
            <w:r w:rsidRPr="00E84D74">
              <w:rPr>
                <w:sz w:val="18"/>
                <w:szCs w:val="18"/>
              </w:rPr>
              <w:t>This replacement value shall be used as an alternative reference without any further warranty from the transmission system operator.</w:t>
            </w:r>
          </w:p>
          <w:p w:rsidR="007E33DD" w:rsidRPr="00E84D74" w:rsidRDefault="007E33DD" w:rsidP="00DA725A">
            <w:pPr>
              <w:autoSpaceDE w:val="0"/>
              <w:autoSpaceDN w:val="0"/>
              <w:adjustRightInd w:val="0"/>
              <w:rPr>
                <w:sz w:val="18"/>
                <w:szCs w:val="18"/>
              </w:rPr>
            </w:pPr>
            <w:r w:rsidRPr="00E84D74">
              <w:rPr>
                <w:sz w:val="18"/>
                <w:szCs w:val="18"/>
              </w:rPr>
              <w:t xml:space="preserve">3. Providing access to the information shall not be construed as giving any specific warranty other than the availability of this information in a defined format and via a defined tool such as a website or web address and the related access of the network users to this </w:t>
            </w:r>
            <w:r w:rsidR="000A30BB" w:rsidRPr="00E84D74">
              <w:rPr>
                <w:sz w:val="18"/>
                <w:szCs w:val="18"/>
              </w:rPr>
              <w:t>i</w:t>
            </w:r>
            <w:r w:rsidRPr="00E84D74">
              <w:rPr>
                <w:sz w:val="18"/>
                <w:szCs w:val="18"/>
              </w:rPr>
              <w:t xml:space="preserve">nformation under normal conditions of use. In no </w:t>
            </w:r>
            <w:r w:rsidRPr="00E84D74">
              <w:rPr>
                <w:sz w:val="18"/>
                <w:szCs w:val="18"/>
              </w:rPr>
              <w:lastRenderedPageBreak/>
              <w:t>circumstances shall the transmission system operators be liable to provide any further warranty, in particular as to the IT system of the network users.</w:t>
            </w:r>
          </w:p>
          <w:p w:rsidR="007E33DD" w:rsidRPr="00E84D74" w:rsidRDefault="007E33DD" w:rsidP="00DA725A">
            <w:pPr>
              <w:autoSpaceDE w:val="0"/>
              <w:autoSpaceDN w:val="0"/>
              <w:adjustRightInd w:val="0"/>
              <w:rPr>
                <w:sz w:val="18"/>
                <w:szCs w:val="18"/>
              </w:rPr>
            </w:pPr>
            <w:r w:rsidRPr="00E84D74">
              <w:rPr>
                <w:sz w:val="18"/>
                <w:szCs w:val="18"/>
              </w:rPr>
              <w:t>4. The national regulatory authority shall decide on one information model per balancing zone. For information</w:t>
            </w:r>
          </w:p>
          <w:p w:rsidR="007E33DD" w:rsidRPr="00E84D74" w:rsidRDefault="007E33DD" w:rsidP="00DA725A">
            <w:pPr>
              <w:autoSpaceDE w:val="0"/>
              <w:autoSpaceDN w:val="0"/>
              <w:adjustRightInd w:val="0"/>
              <w:rPr>
                <w:sz w:val="18"/>
                <w:szCs w:val="18"/>
              </w:rPr>
            </w:pPr>
            <w:r w:rsidRPr="00E84D74">
              <w:rPr>
                <w:sz w:val="18"/>
                <w:szCs w:val="18"/>
              </w:rPr>
              <w:t>provision on intraday metered inputs and off-takes, the same rules shall apply to all models.</w:t>
            </w:r>
          </w:p>
          <w:p w:rsidR="007E33DD" w:rsidRPr="00E84D74" w:rsidRDefault="007E33DD" w:rsidP="00DA725A">
            <w:pPr>
              <w:autoSpaceDE w:val="0"/>
              <w:autoSpaceDN w:val="0"/>
              <w:adjustRightInd w:val="0"/>
              <w:rPr>
                <w:sz w:val="18"/>
                <w:szCs w:val="18"/>
              </w:rPr>
            </w:pPr>
            <w:r w:rsidRPr="00E84D74">
              <w:rPr>
                <w:sz w:val="18"/>
                <w:szCs w:val="18"/>
              </w:rPr>
              <w:t xml:space="preserve">5. For balancing zones where the information model variant 2 is sought to be applied after the </w:t>
            </w:r>
            <w:r w:rsidRPr="00E84D74">
              <w:rPr>
                <w:b/>
                <w:bCs/>
                <w:sz w:val="18"/>
                <w:szCs w:val="18"/>
              </w:rPr>
              <w:t xml:space="preserve">expiry of the deadline for transposition </w:t>
            </w:r>
            <w:r w:rsidRPr="00E84D74">
              <w:rPr>
                <w:sz w:val="18"/>
                <w:szCs w:val="18"/>
              </w:rPr>
              <w:t>of this Regulation, a prior market consultation shall be conducted by the transmission system operator or the national regulatory authority as relevant.</w:t>
            </w:r>
          </w:p>
          <w:p w:rsidR="007E33DD" w:rsidRPr="00E84D74" w:rsidRDefault="007E33DD" w:rsidP="00DA725A">
            <w:pPr>
              <w:autoSpaceDE w:val="0"/>
              <w:autoSpaceDN w:val="0"/>
              <w:adjustRightInd w:val="0"/>
              <w:jc w:val="center"/>
              <w:rPr>
                <w:b/>
                <w:bCs/>
                <w:sz w:val="18"/>
                <w:szCs w:val="18"/>
              </w:rPr>
            </w:pPr>
          </w:p>
        </w:tc>
      </w:tr>
      <w:tr w:rsidR="00F22ADB" w:rsidRPr="00043955" w:rsidTr="00FC3840">
        <w:trPr>
          <w:trHeight w:val="1240"/>
        </w:trPr>
        <w:tc>
          <w:tcPr>
            <w:tcW w:w="5245"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34</w:t>
            </w:r>
          </w:p>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Intrări și ieșiri contorizate pe parcursul zilei</w:t>
            </w:r>
          </w:p>
          <w:p w:rsidR="00F22ADB" w:rsidRDefault="00F22ADB" w:rsidP="00DA725A">
            <w:pPr>
              <w:jc w:val="both"/>
              <w:textAlignment w:val="baseline"/>
              <w:rPr>
                <w:sz w:val="18"/>
                <w:szCs w:val="18"/>
                <w:lang w:val="it-IT" w:eastAsia="en-US"/>
              </w:rPr>
            </w:pPr>
            <w:r w:rsidRPr="00981BD4">
              <w:rPr>
                <w:sz w:val="18"/>
                <w:szCs w:val="18"/>
                <w:lang w:val="it-IT" w:eastAsia="en-US"/>
              </w:rPr>
              <w:t>(1)   Pentru intrările în și ieșirile din zona de echilibrare, contorizate pe parcursul zilei, în cazul în care alocarea către utilizatorul rețelei este egală cu cantitatea sa confirmată, operatorul de sistem de transport nu este obligat să furnizeze alte informații decât cele referitoare la cantitatea confirmată. </w:t>
            </w:r>
          </w:p>
          <w:p w:rsidR="003974AA" w:rsidRPr="00981BD4" w:rsidRDefault="003974AA" w:rsidP="00DA725A">
            <w:pPr>
              <w:jc w:val="both"/>
              <w:textAlignment w:val="baseline"/>
              <w:rPr>
                <w:rFonts w:ascii="Segoe UI" w:hAnsi="Segoe UI" w:cs="Segoe UI"/>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(2)   Pentru intrările în și ieșirile din zona de echilibrare, contorizate pe parcursul zilei, în cazul în care alocarea pentru un utilizator al rețelei nu este egală cu cantitatea sa confirmată, în ziua gazieră Z operatorul de sistem de transport furnizează utilizatorilor rețelei un minimum de două actualizări ale fluxurilor lor de intrare contorizate cel puțin pentru intrările și ieșirile cumulate contorizate pe parcursul zilei conform oricăreia dintre cele două opțiuni de mai jos, conform deciziei operatorului de sistem de transport: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de gaz de la începutul zilei gaziere Z respective; sau </w:t>
            </w:r>
          </w:p>
          <w:p w:rsidR="00F22ADB" w:rsidRDefault="00F22ADB"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incrementale de gaz de după fluxul raportat în actualizarea anterioară. </w:t>
            </w:r>
          </w:p>
          <w:p w:rsidR="003974AA" w:rsidRDefault="003974AA" w:rsidP="00DA725A">
            <w:pPr>
              <w:jc w:val="both"/>
              <w:textAlignment w:val="baseline"/>
              <w:rPr>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(3)   Primele actualizări acoperă cel puțin patru ore de flux de gaz din ziua gazieră Z. Aceste actualizări sunt furnizate fără nicio întârziere nejustificată și în termen de patru ore după fluxul de gaz, dar cel târziu la ora 17.00 UTC (ora de iarnă) sau la ora 16.00 UTC (ora de vară).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F22ADB" w:rsidRDefault="00F22ADB" w:rsidP="00DA725A">
            <w:pPr>
              <w:jc w:val="both"/>
              <w:textAlignment w:val="baseline"/>
              <w:rPr>
                <w:sz w:val="18"/>
                <w:szCs w:val="18"/>
                <w:lang w:val="it-IT" w:eastAsia="en-US"/>
              </w:rPr>
            </w:pPr>
            <w:r w:rsidRPr="00981BD4">
              <w:rPr>
                <w:sz w:val="18"/>
                <w:szCs w:val="18"/>
                <w:lang w:val="it-IT" w:eastAsia="en-US"/>
              </w:rPr>
              <w:t>(4)   Momentul furnizării celei de a doua actualizări este definit cu aprobarea autorității naționale de reglementare și este publicat de operatorul de sistem de transport. </w:t>
            </w:r>
          </w:p>
          <w:p w:rsidR="003974AA" w:rsidRDefault="003974AA" w:rsidP="00DA725A">
            <w:pPr>
              <w:jc w:val="both"/>
              <w:textAlignment w:val="baseline"/>
              <w:rPr>
                <w:sz w:val="18"/>
                <w:szCs w:val="18"/>
                <w:lang w:val="it-IT" w:eastAsia="en-US"/>
              </w:rPr>
            </w:pPr>
          </w:p>
          <w:p w:rsidR="00F22ADB" w:rsidRDefault="00F22ADB" w:rsidP="00DA725A">
            <w:pPr>
              <w:jc w:val="both"/>
              <w:textAlignment w:val="baseline"/>
              <w:rPr>
                <w:sz w:val="18"/>
                <w:szCs w:val="18"/>
                <w:lang w:val="it-IT" w:eastAsia="en-US"/>
              </w:rPr>
            </w:pPr>
            <w:r w:rsidRPr="00981BD4">
              <w:rPr>
                <w:sz w:val="18"/>
                <w:szCs w:val="18"/>
                <w:lang w:val="it-IT" w:eastAsia="en-US"/>
              </w:rPr>
              <w:t xml:space="preserve">(5)   Operatorul de sistem de transport poate solicita utilizatorilor rețelei să indice care sunt informațiile la care au acces în conformitate </w:t>
            </w:r>
            <w:r w:rsidRPr="00981BD4">
              <w:rPr>
                <w:sz w:val="18"/>
                <w:szCs w:val="18"/>
                <w:lang w:val="it-IT" w:eastAsia="en-US"/>
              </w:rPr>
              <w:lastRenderedPageBreak/>
              <w:t>cu alineatul (2). Pe baza răspunsului primit, operatorul de sistem de transport în cauză furnizează utilizatorului rețelei informațiile la care acesta nu are acces, în conformitate cu alineatele (2)-(4). </w:t>
            </w:r>
          </w:p>
          <w:p w:rsidR="003974AA" w:rsidRPr="00981BD4" w:rsidRDefault="003974AA" w:rsidP="00DA725A">
            <w:pPr>
              <w:jc w:val="both"/>
              <w:textAlignment w:val="baseline"/>
              <w:rPr>
                <w:rFonts w:ascii="Segoe UI" w:hAnsi="Segoe UI" w:cs="Segoe UI"/>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(6)   Atunci când operatorul de sistem de transport nu este responsabil cu repartizarea cantităților de gaz între utilizatorii rețelei ca parte a procesului de alocare, ca excepție de la alineatul (2), acesta furnizează cel puțin informațiile referitoare la intrările și ieșirile totale cu o frecvență de minimum două ori pe zi gazieră Z în ziua gazieră Z respectivă. </w:t>
            </w:r>
          </w:p>
          <w:p w:rsidR="00F22ADB" w:rsidRPr="00981BD4" w:rsidRDefault="00F22ADB" w:rsidP="00DA725A">
            <w:pPr>
              <w:jc w:val="center"/>
              <w:textAlignment w:val="baseline"/>
              <w:rPr>
                <w:b/>
                <w:bCs/>
                <w:sz w:val="18"/>
                <w:szCs w:val="18"/>
                <w:lang w:val="it-IT" w:eastAsia="en-US"/>
              </w:rPr>
            </w:pPr>
          </w:p>
        </w:tc>
        <w:tc>
          <w:tcPr>
            <w:tcW w:w="4962"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BE464B">
              <w:rPr>
                <w:b/>
                <w:bCs/>
                <w:sz w:val="18"/>
                <w:szCs w:val="18"/>
                <w:lang w:val="ro-MD" w:eastAsia="en-US"/>
              </w:rPr>
              <w:lastRenderedPageBreak/>
              <w:t>Secţiunea 3</w:t>
            </w:r>
          </w:p>
          <w:p w:rsidR="00F22ADB" w:rsidRPr="00981BD4" w:rsidRDefault="00F22ADB" w:rsidP="00DA725A">
            <w:pPr>
              <w:jc w:val="center"/>
              <w:textAlignment w:val="baseline"/>
              <w:rPr>
                <w:rFonts w:ascii="Segoe UI" w:hAnsi="Segoe UI" w:cs="Segoe UI"/>
                <w:sz w:val="18"/>
                <w:szCs w:val="18"/>
                <w:lang w:val="it-IT" w:eastAsia="en-US"/>
              </w:rPr>
            </w:pPr>
            <w:r w:rsidRPr="00BE464B">
              <w:rPr>
                <w:b/>
                <w:bCs/>
                <w:sz w:val="18"/>
                <w:szCs w:val="18"/>
                <w:lang w:val="ro-MD" w:eastAsia="en-US"/>
              </w:rPr>
              <w:t>Intrări și ieșiri contorizate pe parcursul zilei</w:t>
            </w:r>
          </w:p>
          <w:p w:rsidR="00E46EDA" w:rsidRDefault="00E46EDA" w:rsidP="00E46EDA">
            <w:pPr>
              <w:jc w:val="both"/>
              <w:textAlignment w:val="baseline"/>
              <w:rPr>
                <w:sz w:val="18"/>
                <w:szCs w:val="18"/>
                <w:lang w:val="ro-RO" w:eastAsia="en-US"/>
              </w:rPr>
            </w:pPr>
            <w:r w:rsidRPr="00E46EDA">
              <w:rPr>
                <w:b/>
                <w:bCs/>
                <w:sz w:val="18"/>
                <w:szCs w:val="18"/>
                <w:lang w:val="ro-RO" w:eastAsia="en-US"/>
              </w:rPr>
              <w:t>558.</w:t>
            </w:r>
            <w:r w:rsidRPr="00E46EDA">
              <w:rPr>
                <w:sz w:val="18"/>
                <w:szCs w:val="18"/>
                <w:lang w:val="ro-RO" w:eastAsia="en-US"/>
              </w:rPr>
              <w:t xml:space="preserve"> Pentru intrările în şi ieşirile din zona de echilibrare, cu măsurare pe parcursul zilei, în cazul în care alocarea unui utilizator de sistem este egală cu cantitatea sa confirmată, OST nu este obligat să comunice alte informaţii decât cele referitoare la cantitatea confirmată.</w:t>
            </w:r>
          </w:p>
          <w:p w:rsidR="003974AA" w:rsidRPr="00E46EDA" w:rsidRDefault="003974AA" w:rsidP="00E46EDA">
            <w:pPr>
              <w:jc w:val="both"/>
              <w:textAlignment w:val="baseline"/>
              <w:rPr>
                <w:sz w:val="18"/>
                <w:szCs w:val="18"/>
                <w:lang w:val="ro-RO" w:eastAsia="en-US"/>
              </w:rPr>
            </w:pP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559.</w:t>
            </w:r>
            <w:r w:rsidRPr="00E46EDA">
              <w:rPr>
                <w:sz w:val="18"/>
                <w:szCs w:val="18"/>
                <w:lang w:val="ro-RO" w:eastAsia="en-US"/>
              </w:rPr>
              <w:t xml:space="preserve"> Pentru intrările în şi ieşirile din zona de echilibrare cu măsurare pe parcursul zilei, în cazul în care alocarea unui utilizator de sistem nu este egală cu cantitatea sa confirmată, în ziua gazieră Z, OST transmite utilizatorilor de sistem un minimum de două actualizări ale fluxurilor lor de măsurare cel puţin pentru intrările şi ieşirile măsurate pe parcursul zilei, cumulate, conform uneia dintre cele două opţiuni de mai jos, la alegerea OST :</w:t>
            </w:r>
          </w:p>
          <w:p w:rsidR="00E46EDA" w:rsidRPr="00E46EDA" w:rsidRDefault="00E46EDA" w:rsidP="00E46EDA">
            <w:pPr>
              <w:jc w:val="both"/>
              <w:textAlignment w:val="baseline"/>
              <w:rPr>
                <w:sz w:val="18"/>
                <w:szCs w:val="18"/>
                <w:lang w:val="ro-RO" w:eastAsia="en-US"/>
              </w:rPr>
            </w:pPr>
            <w:r w:rsidRPr="00E46EDA">
              <w:rPr>
                <w:sz w:val="18"/>
                <w:szCs w:val="18"/>
                <w:lang w:val="ro-RO" w:eastAsia="en-US"/>
              </w:rPr>
              <w:t>1) fiecare actualizare se referă la fluxurile de gaze naturale de la începutul respectivei zilei gaziere Z; sau</w:t>
            </w:r>
          </w:p>
          <w:p w:rsidR="00E46EDA" w:rsidRPr="00E46EDA" w:rsidRDefault="00E46EDA" w:rsidP="00E46EDA">
            <w:pPr>
              <w:jc w:val="both"/>
              <w:textAlignment w:val="baseline"/>
              <w:rPr>
                <w:sz w:val="18"/>
                <w:szCs w:val="18"/>
                <w:lang w:val="ro-RO" w:eastAsia="en-US"/>
              </w:rPr>
            </w:pPr>
            <w:r w:rsidRPr="00E46EDA">
              <w:rPr>
                <w:sz w:val="18"/>
                <w:szCs w:val="18"/>
                <w:lang w:val="ro-RO" w:eastAsia="en-US"/>
              </w:rPr>
              <w:t>2) fiecare actualizare se referă la fluxurile incrementale de gaze naturale după fluxul raportat în actualizarea anterioară.</w:t>
            </w:r>
          </w:p>
          <w:p w:rsidR="00BD0D82" w:rsidRDefault="00BD0D82" w:rsidP="00E46EDA">
            <w:pPr>
              <w:jc w:val="both"/>
              <w:textAlignment w:val="baseline"/>
              <w:rPr>
                <w:b/>
                <w:bCs/>
                <w:sz w:val="18"/>
                <w:szCs w:val="18"/>
                <w:lang w:val="ro-RO" w:eastAsia="en-US"/>
              </w:rPr>
            </w:pPr>
          </w:p>
          <w:p w:rsidR="00BD0D82" w:rsidRDefault="00BD0D82" w:rsidP="00E46EDA">
            <w:pPr>
              <w:jc w:val="both"/>
              <w:textAlignment w:val="baseline"/>
              <w:rPr>
                <w:b/>
                <w:bCs/>
                <w:sz w:val="18"/>
                <w:szCs w:val="18"/>
                <w:lang w:val="ro-RO" w:eastAsia="en-US"/>
              </w:rPr>
            </w:pP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560.</w:t>
            </w:r>
            <w:r w:rsidRPr="00E46EDA">
              <w:rPr>
                <w:sz w:val="18"/>
                <w:szCs w:val="18"/>
                <w:lang w:val="ro-RO" w:eastAsia="en-US"/>
              </w:rPr>
              <w:t xml:space="preserve"> Primele actualizări acoperă cel puţin 4 ore de flux de gaze naturale din ziua gazieră Z. Aceste actualizări sunt comunicate cît mai curînd posibil, în termen de 4 ore după fluxul de gaz, dar nu mai târziu de ora 17.00 UTC (ora de iarnă) sau la ora 16.00 UTC (ora de vară).</w:t>
            </w: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561.</w:t>
            </w:r>
            <w:r w:rsidRPr="00E46EDA">
              <w:rPr>
                <w:sz w:val="18"/>
                <w:szCs w:val="18"/>
                <w:lang w:val="ro-RO" w:eastAsia="en-US"/>
              </w:rPr>
              <w:t xml:space="preserve"> Ora transmiterii celei de a doua actualizări este definită cu aprobarea Agenţiei şi este publicată de OST.</w:t>
            </w:r>
          </w:p>
          <w:p w:rsidR="00A560BB" w:rsidRDefault="00A560BB" w:rsidP="00E46EDA">
            <w:pPr>
              <w:jc w:val="both"/>
              <w:textAlignment w:val="baseline"/>
              <w:rPr>
                <w:b/>
                <w:bCs/>
                <w:sz w:val="18"/>
                <w:szCs w:val="18"/>
                <w:lang w:val="ro-RO" w:eastAsia="en-US"/>
              </w:rPr>
            </w:pPr>
          </w:p>
          <w:p w:rsidR="003974AA" w:rsidRDefault="003974AA" w:rsidP="00E46EDA">
            <w:pPr>
              <w:jc w:val="both"/>
              <w:textAlignment w:val="baseline"/>
              <w:rPr>
                <w:b/>
                <w:bCs/>
                <w:sz w:val="18"/>
                <w:szCs w:val="18"/>
                <w:lang w:val="ro-RO" w:eastAsia="en-US"/>
              </w:rPr>
            </w:pPr>
          </w:p>
          <w:p w:rsidR="00E46EDA" w:rsidRDefault="00E46EDA" w:rsidP="00E46EDA">
            <w:pPr>
              <w:jc w:val="both"/>
              <w:textAlignment w:val="baseline"/>
              <w:rPr>
                <w:sz w:val="18"/>
                <w:szCs w:val="18"/>
                <w:lang w:val="ro-RO" w:eastAsia="en-US"/>
              </w:rPr>
            </w:pPr>
            <w:r w:rsidRPr="00E46EDA">
              <w:rPr>
                <w:b/>
                <w:bCs/>
                <w:sz w:val="18"/>
                <w:szCs w:val="18"/>
                <w:lang w:val="ro-RO" w:eastAsia="en-US"/>
              </w:rPr>
              <w:t>562.</w:t>
            </w:r>
            <w:r w:rsidRPr="00E46EDA">
              <w:rPr>
                <w:sz w:val="18"/>
                <w:szCs w:val="18"/>
                <w:lang w:val="ro-RO" w:eastAsia="en-US"/>
              </w:rPr>
              <w:t xml:space="preserve"> OST poate solicita utilizatorilor de sistem să indice care sunt informaţiile la care au acces în conformitate cu pct.559. Pe baza răspunsului primit, OST în cauză comunică utilizatorului de sistem </w:t>
            </w:r>
            <w:r w:rsidRPr="00E46EDA">
              <w:rPr>
                <w:sz w:val="18"/>
                <w:szCs w:val="18"/>
                <w:lang w:val="ro-RO" w:eastAsia="en-US"/>
              </w:rPr>
              <w:lastRenderedPageBreak/>
              <w:t>informaţiile la care acesta nu are acces, în conformitate cu pct.559-561.</w:t>
            </w:r>
          </w:p>
          <w:p w:rsidR="003974AA" w:rsidRDefault="003974AA" w:rsidP="00E46EDA">
            <w:pPr>
              <w:jc w:val="both"/>
              <w:textAlignment w:val="baseline"/>
              <w:rPr>
                <w:sz w:val="18"/>
                <w:szCs w:val="18"/>
                <w:lang w:val="ro-RO" w:eastAsia="en-US"/>
              </w:rPr>
            </w:pPr>
          </w:p>
          <w:p w:rsidR="003974AA" w:rsidRPr="00E46EDA" w:rsidRDefault="003974AA" w:rsidP="00E46EDA">
            <w:pPr>
              <w:jc w:val="both"/>
              <w:textAlignment w:val="baseline"/>
              <w:rPr>
                <w:sz w:val="18"/>
                <w:szCs w:val="18"/>
                <w:lang w:val="ro-RO" w:eastAsia="en-US"/>
              </w:rPr>
            </w:pP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563.</w:t>
            </w:r>
            <w:r w:rsidRPr="00E46EDA">
              <w:rPr>
                <w:sz w:val="18"/>
                <w:szCs w:val="18"/>
                <w:lang w:val="ro-RO" w:eastAsia="en-US"/>
              </w:rPr>
              <w:t xml:space="preserve"> În cazul în care OST nu este responsabil cu repartizarea cantităţilor de gaze naturale între utilizatorii de sistem ca parte a procesului de alocare, prin derogare de la pct.559, acesta transmite cel puţin informaţiile referitoare la intrările şi ieşirile totale (agregate) cu o frecvenţă de minimum două ori pe zi gazieră Z, în ziua gazieră Z respectivă.</w:t>
            </w:r>
          </w:p>
          <w:p w:rsidR="00F22ADB" w:rsidRPr="00E46EDA" w:rsidRDefault="00F22ADB" w:rsidP="00DA725A">
            <w:pPr>
              <w:jc w:val="center"/>
              <w:textAlignment w:val="baseline"/>
              <w:rPr>
                <w:b/>
                <w:bCs/>
                <w:sz w:val="18"/>
                <w:szCs w:val="18"/>
                <w:lang w:val="ro-RO" w:eastAsia="en-US"/>
              </w:rPr>
            </w:pPr>
          </w:p>
        </w:tc>
        <w:tc>
          <w:tcPr>
            <w:tcW w:w="1275" w:type="dxa"/>
            <w:shd w:val="clear" w:color="auto" w:fill="auto"/>
          </w:tcPr>
          <w:p w:rsidR="00F22ADB" w:rsidRDefault="00F22ADB" w:rsidP="00DA725A">
            <w:pPr>
              <w:jc w:val="both"/>
              <w:rPr>
                <w:b/>
                <w:sz w:val="18"/>
                <w:szCs w:val="18"/>
                <w:lang w:val="it-IT"/>
              </w:rPr>
            </w:pPr>
          </w:p>
          <w:p w:rsidR="00177A93" w:rsidRDefault="00177A93" w:rsidP="00DA725A">
            <w:pPr>
              <w:jc w:val="both"/>
              <w:rPr>
                <w:b/>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6C7F53" w:rsidRPr="00981BD4" w:rsidRDefault="006C7F53" w:rsidP="00DA725A">
            <w:pPr>
              <w:jc w:val="both"/>
              <w:rPr>
                <w:sz w:val="18"/>
                <w:szCs w:val="18"/>
                <w:lang w:val="it-IT"/>
              </w:rPr>
            </w:pPr>
          </w:p>
          <w:p w:rsidR="006C7F53" w:rsidRPr="00981BD4" w:rsidRDefault="006C7F5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Default="00177A93"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6C7F53" w:rsidRPr="00981BD4" w:rsidRDefault="006C7F5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380C00" w:rsidRDefault="00177A93" w:rsidP="00DA725A">
            <w:pPr>
              <w:jc w:val="both"/>
              <w:rPr>
                <w:sz w:val="18"/>
                <w:szCs w:val="18"/>
                <w:lang w:val="it-IT"/>
              </w:rPr>
            </w:pPr>
          </w:p>
          <w:p w:rsidR="006C7F53" w:rsidRPr="00380C00" w:rsidRDefault="006C7F53" w:rsidP="00DA725A">
            <w:pPr>
              <w:jc w:val="both"/>
              <w:rPr>
                <w:sz w:val="18"/>
                <w:szCs w:val="18"/>
                <w:lang w:val="it-IT"/>
              </w:rPr>
            </w:pPr>
          </w:p>
          <w:p w:rsidR="00177A93" w:rsidRDefault="00177A93" w:rsidP="00DA725A">
            <w:pPr>
              <w:jc w:val="both"/>
              <w:rPr>
                <w:sz w:val="18"/>
                <w:szCs w:val="18"/>
                <w:lang w:val="it-IT"/>
              </w:rPr>
            </w:pPr>
          </w:p>
          <w:p w:rsidR="003974AA" w:rsidRDefault="003974AA" w:rsidP="00DA725A">
            <w:pPr>
              <w:jc w:val="both"/>
              <w:rPr>
                <w:sz w:val="18"/>
                <w:szCs w:val="18"/>
                <w:lang w:val="it-IT"/>
              </w:rPr>
            </w:pPr>
          </w:p>
          <w:p w:rsidR="003974AA" w:rsidRPr="00981BD4" w:rsidRDefault="003974AA" w:rsidP="00DA725A">
            <w:pPr>
              <w:jc w:val="both"/>
              <w:rPr>
                <w:sz w:val="18"/>
                <w:szCs w:val="18"/>
                <w:lang w:val="it-IT"/>
              </w:rPr>
            </w:pPr>
          </w:p>
          <w:p w:rsidR="00177A93" w:rsidRPr="00D82EE4" w:rsidRDefault="00177A93" w:rsidP="00DA725A">
            <w:pPr>
              <w:jc w:val="both"/>
              <w:rPr>
                <w:b/>
                <w:sz w:val="18"/>
                <w:szCs w:val="18"/>
                <w:lang w:val="it-IT"/>
              </w:rPr>
            </w:pPr>
            <w:r w:rsidRPr="00981BD4">
              <w:rPr>
                <w:sz w:val="18"/>
                <w:szCs w:val="18"/>
                <w:lang w:val="it-IT"/>
              </w:rPr>
              <w:t>Compatibil</w:t>
            </w:r>
          </w:p>
        </w:tc>
        <w:tc>
          <w:tcPr>
            <w:tcW w:w="4253" w:type="dxa"/>
            <w:shd w:val="clear" w:color="auto" w:fill="auto"/>
          </w:tcPr>
          <w:p w:rsidR="00F22ADB" w:rsidRPr="00E84D74" w:rsidRDefault="00F22ADB" w:rsidP="00DA725A">
            <w:pPr>
              <w:autoSpaceDE w:val="0"/>
              <w:autoSpaceDN w:val="0"/>
              <w:adjustRightInd w:val="0"/>
              <w:jc w:val="center"/>
              <w:rPr>
                <w:b/>
                <w:bCs/>
                <w:i/>
                <w:iCs/>
                <w:sz w:val="18"/>
                <w:szCs w:val="18"/>
              </w:rPr>
            </w:pPr>
            <w:r w:rsidRPr="00E84D74">
              <w:rPr>
                <w:b/>
                <w:bCs/>
                <w:i/>
                <w:iCs/>
                <w:sz w:val="18"/>
                <w:szCs w:val="18"/>
              </w:rPr>
              <w:lastRenderedPageBreak/>
              <w:t>Article 34</w:t>
            </w:r>
          </w:p>
          <w:p w:rsidR="00F22ADB" w:rsidRPr="00E84D74" w:rsidRDefault="00F22ADB" w:rsidP="00DA725A">
            <w:pPr>
              <w:autoSpaceDE w:val="0"/>
              <w:autoSpaceDN w:val="0"/>
              <w:adjustRightInd w:val="0"/>
              <w:jc w:val="center"/>
              <w:rPr>
                <w:b/>
                <w:bCs/>
                <w:sz w:val="18"/>
                <w:szCs w:val="18"/>
              </w:rPr>
            </w:pPr>
            <w:r w:rsidRPr="00E84D74">
              <w:rPr>
                <w:b/>
                <w:bCs/>
                <w:sz w:val="18"/>
                <w:szCs w:val="18"/>
              </w:rPr>
              <w:t>Intraday metered inputs and off-takes</w:t>
            </w:r>
          </w:p>
          <w:p w:rsidR="00F22ADB" w:rsidRPr="00E84D74" w:rsidRDefault="00F22ADB" w:rsidP="00DA725A">
            <w:pPr>
              <w:autoSpaceDE w:val="0"/>
              <w:autoSpaceDN w:val="0"/>
              <w:adjustRightInd w:val="0"/>
              <w:rPr>
                <w:sz w:val="18"/>
                <w:szCs w:val="18"/>
              </w:rPr>
            </w:pPr>
            <w:r w:rsidRPr="00E84D74">
              <w:rPr>
                <w:sz w:val="18"/>
                <w:szCs w:val="18"/>
              </w:rPr>
              <w:t>1. For intraday metered inputs to and off-takes from the balancing zone, where a network user’s allocation equals its confirmed quantity, the transmission system operator shall not be obliged to provide information other than the confirmed quantity.</w:t>
            </w:r>
          </w:p>
          <w:p w:rsidR="00BD08B8" w:rsidRPr="00E84D74" w:rsidRDefault="00BD08B8" w:rsidP="00DA725A">
            <w:pPr>
              <w:autoSpaceDE w:val="0"/>
              <w:autoSpaceDN w:val="0"/>
              <w:adjustRightInd w:val="0"/>
              <w:rPr>
                <w:sz w:val="18"/>
                <w:szCs w:val="18"/>
              </w:rPr>
            </w:pPr>
          </w:p>
          <w:p w:rsidR="00F22ADB" w:rsidRPr="00E84D74" w:rsidRDefault="00F22ADB" w:rsidP="00DA725A">
            <w:pPr>
              <w:autoSpaceDE w:val="0"/>
              <w:autoSpaceDN w:val="0"/>
              <w:adjustRightInd w:val="0"/>
              <w:rPr>
                <w:sz w:val="18"/>
                <w:szCs w:val="18"/>
              </w:rPr>
            </w:pPr>
            <w:r w:rsidRPr="00E84D74">
              <w:rPr>
                <w:sz w:val="18"/>
                <w:szCs w:val="18"/>
              </w:rPr>
              <w:t>2. For intraday metered inputs to and off-takes from the balancing zone, where a network user’s allocation does not equal its confirmed quantity, on gas day D the  transmission system operator</w:t>
            </w:r>
            <w:r w:rsidR="006B66DA" w:rsidRPr="00E84D74">
              <w:rPr>
                <w:sz w:val="18"/>
                <w:szCs w:val="18"/>
              </w:rPr>
              <w:t xml:space="preserve"> </w:t>
            </w:r>
            <w:r w:rsidRPr="00E84D74">
              <w:rPr>
                <w:sz w:val="18"/>
                <w:szCs w:val="18"/>
              </w:rPr>
              <w:t xml:space="preserve">shall provide network users with a </w:t>
            </w:r>
            <w:r w:rsidR="006B66DA" w:rsidRPr="00E84D74">
              <w:rPr>
                <w:sz w:val="18"/>
                <w:szCs w:val="18"/>
              </w:rPr>
              <w:t xml:space="preserve"> </w:t>
            </w:r>
            <w:r w:rsidRPr="00E84D74">
              <w:rPr>
                <w:sz w:val="18"/>
                <w:szCs w:val="18"/>
              </w:rPr>
              <w:t>minimum of two updates of their measured flows for at least the aggregate intraday metered inputs and off-takes according to either of the following two options, as decided by the transmission system operator:</w:t>
            </w:r>
          </w:p>
          <w:p w:rsidR="00F22ADB" w:rsidRPr="00E84D74" w:rsidRDefault="00F22ADB" w:rsidP="00DA725A">
            <w:pPr>
              <w:autoSpaceDE w:val="0"/>
              <w:autoSpaceDN w:val="0"/>
              <w:adjustRightInd w:val="0"/>
              <w:rPr>
                <w:sz w:val="18"/>
                <w:szCs w:val="18"/>
              </w:rPr>
            </w:pPr>
            <w:r w:rsidRPr="00E84D74">
              <w:rPr>
                <w:sz w:val="18"/>
                <w:szCs w:val="18"/>
              </w:rPr>
              <w:t>(a) each update covers gas flows from the beginning of this gas day D; or</w:t>
            </w:r>
          </w:p>
          <w:p w:rsidR="00F22ADB" w:rsidRPr="00E84D74" w:rsidRDefault="00F22ADB" w:rsidP="00DA725A">
            <w:pPr>
              <w:autoSpaceDE w:val="0"/>
              <w:autoSpaceDN w:val="0"/>
              <w:adjustRightInd w:val="0"/>
              <w:rPr>
                <w:sz w:val="18"/>
                <w:szCs w:val="18"/>
              </w:rPr>
            </w:pPr>
            <w:r w:rsidRPr="00E84D74">
              <w:rPr>
                <w:sz w:val="18"/>
                <w:szCs w:val="18"/>
              </w:rPr>
              <w:t>(b) each update covers incremental gas flows after that reported in the previous update.</w:t>
            </w:r>
          </w:p>
          <w:p w:rsidR="00F22ADB" w:rsidRPr="00E84D74" w:rsidRDefault="00F22ADB" w:rsidP="00DA725A">
            <w:pPr>
              <w:autoSpaceDE w:val="0"/>
              <w:autoSpaceDN w:val="0"/>
              <w:adjustRightInd w:val="0"/>
              <w:rPr>
                <w:sz w:val="18"/>
                <w:szCs w:val="18"/>
              </w:rPr>
            </w:pPr>
            <w:r w:rsidRPr="00E84D74">
              <w:rPr>
                <w:sz w:val="18"/>
                <w:szCs w:val="18"/>
              </w:rPr>
              <w:t>3. The first updates shall cover at least four hours of gas flow within gas day D. These updates shall</w:t>
            </w:r>
            <w:r w:rsidR="006B66DA" w:rsidRPr="00E84D74">
              <w:rPr>
                <w:sz w:val="18"/>
                <w:szCs w:val="18"/>
              </w:rPr>
              <w:t xml:space="preserve"> </w:t>
            </w:r>
            <w:r w:rsidRPr="00E84D74">
              <w:rPr>
                <w:sz w:val="18"/>
                <w:szCs w:val="18"/>
              </w:rPr>
              <w:t>be provided without undue delay and within four hours after the gas flow and no later than 17:00</w:t>
            </w:r>
            <w:r w:rsidR="006B66DA" w:rsidRPr="00E84D74">
              <w:rPr>
                <w:sz w:val="18"/>
                <w:szCs w:val="18"/>
              </w:rPr>
              <w:t xml:space="preserve"> </w:t>
            </w:r>
            <w:r w:rsidRPr="00E84D74">
              <w:rPr>
                <w:sz w:val="18"/>
                <w:szCs w:val="18"/>
              </w:rPr>
              <w:t>UTC (winter time) or 16:00 UTC (daylight saving).</w:t>
            </w:r>
          </w:p>
          <w:p w:rsidR="00F22ADB" w:rsidRPr="00E84D74" w:rsidRDefault="00F22ADB" w:rsidP="00DA725A">
            <w:pPr>
              <w:autoSpaceDE w:val="0"/>
              <w:autoSpaceDN w:val="0"/>
              <w:adjustRightInd w:val="0"/>
              <w:rPr>
                <w:sz w:val="18"/>
                <w:szCs w:val="18"/>
              </w:rPr>
            </w:pPr>
            <w:r w:rsidRPr="00E84D74">
              <w:rPr>
                <w:sz w:val="18"/>
                <w:szCs w:val="18"/>
              </w:rPr>
              <w:t>4. The time of the second update provision shall be defined upon approval by the national regulatory</w:t>
            </w:r>
            <w:r w:rsidR="006B66DA" w:rsidRPr="00E84D74">
              <w:rPr>
                <w:sz w:val="18"/>
                <w:szCs w:val="18"/>
              </w:rPr>
              <w:t xml:space="preserve"> </w:t>
            </w:r>
            <w:r w:rsidRPr="00E84D74">
              <w:rPr>
                <w:sz w:val="18"/>
                <w:szCs w:val="18"/>
              </w:rPr>
              <w:t>authority and published by the transmission system operator.</w:t>
            </w:r>
          </w:p>
          <w:p w:rsidR="00F22ADB" w:rsidRPr="00E84D74" w:rsidRDefault="00F22ADB" w:rsidP="00DA725A">
            <w:pPr>
              <w:autoSpaceDE w:val="0"/>
              <w:autoSpaceDN w:val="0"/>
              <w:adjustRightInd w:val="0"/>
              <w:rPr>
                <w:sz w:val="18"/>
                <w:szCs w:val="18"/>
              </w:rPr>
            </w:pPr>
            <w:r w:rsidRPr="00E84D74">
              <w:rPr>
                <w:sz w:val="18"/>
                <w:szCs w:val="18"/>
              </w:rPr>
              <w:t>5. The transmission system operator may request the network users to indicate which of the information</w:t>
            </w:r>
            <w:r w:rsidR="006B66DA" w:rsidRPr="00E84D74">
              <w:rPr>
                <w:sz w:val="18"/>
                <w:szCs w:val="18"/>
              </w:rPr>
              <w:t xml:space="preserve"> </w:t>
            </w:r>
            <w:r w:rsidRPr="00E84D74">
              <w:rPr>
                <w:sz w:val="18"/>
                <w:szCs w:val="18"/>
              </w:rPr>
              <w:t xml:space="preserve">referred to in paragraph 2 they have access to. Based on </w:t>
            </w:r>
            <w:r w:rsidRPr="00E84D74">
              <w:rPr>
                <w:sz w:val="18"/>
                <w:szCs w:val="18"/>
              </w:rPr>
              <w:lastRenderedPageBreak/>
              <w:t>the response received, this transmission system operator shall provide the network user with the part of information it does not have access to, in accordance with paragraphs 2 to 4.</w:t>
            </w:r>
          </w:p>
          <w:p w:rsidR="00F22ADB" w:rsidRPr="00E84D74" w:rsidRDefault="00F22ADB" w:rsidP="00DA725A">
            <w:pPr>
              <w:autoSpaceDE w:val="0"/>
              <w:autoSpaceDN w:val="0"/>
              <w:adjustRightInd w:val="0"/>
              <w:rPr>
                <w:sz w:val="18"/>
                <w:szCs w:val="18"/>
              </w:rPr>
            </w:pPr>
            <w:r w:rsidRPr="00E84D74">
              <w:rPr>
                <w:sz w:val="18"/>
                <w:szCs w:val="18"/>
              </w:rPr>
              <w:t>6. Where the transmission system operator is not responsible for apportioning the gas quantities between network users as part of the allocation process, as an exception to paragraph 2, it shall provide at least information on aggregate inputs and off-takes at a minimum of two times per gas day D on that gas day D.</w:t>
            </w:r>
          </w:p>
          <w:p w:rsidR="00BD08B8" w:rsidRPr="00E84D74" w:rsidRDefault="00BD08B8" w:rsidP="00DA725A">
            <w:pPr>
              <w:autoSpaceDE w:val="0"/>
              <w:autoSpaceDN w:val="0"/>
              <w:adjustRightInd w:val="0"/>
              <w:rPr>
                <w:sz w:val="18"/>
                <w:szCs w:val="18"/>
              </w:rPr>
            </w:pPr>
          </w:p>
          <w:p w:rsidR="00F22ADB" w:rsidRPr="00E84D74" w:rsidRDefault="00F22ADB" w:rsidP="00DA725A">
            <w:pPr>
              <w:autoSpaceDE w:val="0"/>
              <w:autoSpaceDN w:val="0"/>
              <w:adjustRightInd w:val="0"/>
              <w:jc w:val="center"/>
              <w:rPr>
                <w:b/>
                <w:bCs/>
                <w:sz w:val="18"/>
                <w:szCs w:val="18"/>
              </w:rPr>
            </w:pPr>
          </w:p>
        </w:tc>
      </w:tr>
      <w:tr w:rsidR="00F22ADB" w:rsidRPr="00043955" w:rsidTr="00FC3840">
        <w:trPr>
          <w:trHeight w:val="49"/>
        </w:trPr>
        <w:tc>
          <w:tcPr>
            <w:tcW w:w="5245"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35</w:t>
            </w:r>
          </w:p>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Ieșiri contorizate zilnic</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se aplică varianta 1 a modelului de informare, în ziua gazieră Z operatorul de sistem de transport furnizează utilizatorilor rețelei minimum două actualizări ale repartizării acestora de fluxuri contorizate, cel puțin pentru ieșirile totale contorizate zilnic, conform oricăreia din cele două opțiuni de mai jos, în temeiul deciziei operatorului de sistem de transport: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de gaz de la începutul zilei gaziere Z respective; sau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incrementale de gaz de după fluxul raportat în actualizarea anterioară. </w:t>
            </w:r>
          </w:p>
          <w:p w:rsidR="00F22ADB" w:rsidRPr="00981BD4" w:rsidRDefault="00F22ADB" w:rsidP="00DA725A">
            <w:pPr>
              <w:jc w:val="both"/>
              <w:textAlignment w:val="baseline"/>
              <w:rPr>
                <w:b/>
                <w:bCs/>
                <w:sz w:val="18"/>
                <w:szCs w:val="18"/>
                <w:lang w:val="it-IT" w:eastAsia="en-US"/>
              </w:rPr>
            </w:pPr>
            <w:r w:rsidRPr="00981BD4">
              <w:rPr>
                <w:sz w:val="18"/>
                <w:szCs w:val="18"/>
                <w:lang w:val="it-IT" w:eastAsia="en-US"/>
              </w:rPr>
              <w:t>(2)   Fiecare actualizare este furnizată în termen de două ore de la încheierea ultimei ore de fluxuri de gaze. </w:t>
            </w:r>
          </w:p>
        </w:tc>
        <w:tc>
          <w:tcPr>
            <w:tcW w:w="4962" w:type="dxa"/>
            <w:shd w:val="clear" w:color="auto" w:fill="auto"/>
          </w:tcPr>
          <w:p w:rsidR="001C3CF9" w:rsidRPr="001C3CF9" w:rsidRDefault="001C3CF9" w:rsidP="005925C0">
            <w:pPr>
              <w:jc w:val="center"/>
              <w:textAlignment w:val="baseline"/>
              <w:rPr>
                <w:bCs/>
                <w:sz w:val="18"/>
                <w:szCs w:val="18"/>
                <w:lang w:val="ro-RO" w:eastAsia="en-US"/>
              </w:rPr>
            </w:pPr>
            <w:r w:rsidRPr="001C3CF9">
              <w:rPr>
                <w:b/>
                <w:bCs/>
                <w:sz w:val="18"/>
                <w:szCs w:val="18"/>
                <w:lang w:val="ro-RO" w:eastAsia="en-US"/>
              </w:rPr>
              <w:t>Secţiunea 3</w:t>
            </w:r>
          </w:p>
          <w:p w:rsidR="001C3CF9" w:rsidRPr="001C3CF9" w:rsidRDefault="001C3CF9" w:rsidP="005925C0">
            <w:pPr>
              <w:jc w:val="center"/>
              <w:textAlignment w:val="baseline"/>
              <w:rPr>
                <w:bCs/>
                <w:sz w:val="18"/>
                <w:szCs w:val="18"/>
                <w:lang w:val="ro-RO" w:eastAsia="en-US"/>
              </w:rPr>
            </w:pPr>
            <w:r w:rsidRPr="001C3CF9">
              <w:rPr>
                <w:b/>
                <w:bCs/>
                <w:sz w:val="18"/>
                <w:szCs w:val="18"/>
                <w:lang w:val="ro-RO" w:eastAsia="en-US"/>
              </w:rPr>
              <w:t>Ieşiri cu măsurare zilnică</w:t>
            </w:r>
          </w:p>
          <w:p w:rsidR="001C3CF9" w:rsidRPr="001C3CF9" w:rsidRDefault="001C3CF9" w:rsidP="001C3CF9">
            <w:pPr>
              <w:textAlignment w:val="baseline"/>
              <w:rPr>
                <w:bCs/>
                <w:sz w:val="18"/>
                <w:szCs w:val="18"/>
                <w:lang w:val="ro-RO" w:eastAsia="en-US"/>
              </w:rPr>
            </w:pPr>
            <w:r w:rsidRPr="001C3CF9">
              <w:rPr>
                <w:b/>
                <w:bCs/>
                <w:sz w:val="18"/>
                <w:szCs w:val="18"/>
                <w:lang w:val="ro-RO" w:eastAsia="en-US"/>
              </w:rPr>
              <w:t>564.</w:t>
            </w:r>
            <w:r w:rsidRPr="001C3CF9">
              <w:rPr>
                <w:bCs/>
                <w:sz w:val="18"/>
                <w:szCs w:val="18"/>
                <w:lang w:val="ro-RO" w:eastAsia="en-US"/>
              </w:rPr>
              <w:t xml:space="preserve"> În cazul în care se aplică varianta 1 a modelului de informare, în ziua gazieră Z OST transmite utilizatorilor de sistem minimum 2 actualizări ale repartizării acestora de fluxuri măsurate, cel puţin pentru ieşirile măsurate zilnic, conform uneia din cele 2 opţiuni de mai jos, la alegerea OST:</w:t>
            </w:r>
          </w:p>
          <w:p w:rsidR="001C3CF9" w:rsidRPr="001C3CF9" w:rsidRDefault="001C3CF9" w:rsidP="001C3CF9">
            <w:pPr>
              <w:textAlignment w:val="baseline"/>
              <w:rPr>
                <w:bCs/>
                <w:sz w:val="18"/>
                <w:szCs w:val="18"/>
                <w:lang w:val="ro-RO" w:eastAsia="en-US"/>
              </w:rPr>
            </w:pPr>
            <w:r w:rsidRPr="001C3CF9">
              <w:rPr>
                <w:bCs/>
                <w:sz w:val="18"/>
                <w:szCs w:val="18"/>
                <w:lang w:val="ro-RO" w:eastAsia="en-US"/>
              </w:rPr>
              <w:t>1) fiecare actualizare se referă la fluxurile de gaze naturale de la începutul zilei gaziere Z respective; sau</w:t>
            </w:r>
          </w:p>
          <w:p w:rsidR="001C3CF9" w:rsidRPr="001C3CF9" w:rsidRDefault="001C3CF9" w:rsidP="001C3CF9">
            <w:pPr>
              <w:textAlignment w:val="baseline"/>
              <w:rPr>
                <w:bCs/>
                <w:sz w:val="18"/>
                <w:szCs w:val="18"/>
                <w:lang w:val="ro-RO" w:eastAsia="en-US"/>
              </w:rPr>
            </w:pPr>
            <w:r w:rsidRPr="001C3CF9">
              <w:rPr>
                <w:bCs/>
                <w:sz w:val="18"/>
                <w:szCs w:val="18"/>
                <w:lang w:val="ro-RO" w:eastAsia="en-US"/>
              </w:rPr>
              <w:t>2) fiecare actualizare se referă la fluxurile incrementale de gaze naturale după fluxul raportat în actualizarea anterioară.</w:t>
            </w:r>
          </w:p>
          <w:p w:rsidR="005925C0" w:rsidRDefault="005925C0" w:rsidP="001C3CF9">
            <w:pPr>
              <w:textAlignment w:val="baseline"/>
              <w:rPr>
                <w:b/>
                <w:bCs/>
                <w:sz w:val="18"/>
                <w:szCs w:val="18"/>
                <w:lang w:val="ro-RO" w:eastAsia="en-US"/>
              </w:rPr>
            </w:pPr>
          </w:p>
          <w:p w:rsidR="00F22ADB" w:rsidRPr="00BD0D82" w:rsidRDefault="001C3CF9" w:rsidP="001C3CF9">
            <w:pPr>
              <w:textAlignment w:val="baseline"/>
              <w:rPr>
                <w:rFonts w:ascii="Segoe UI" w:hAnsi="Segoe UI" w:cs="Segoe UI"/>
                <w:sz w:val="18"/>
                <w:szCs w:val="18"/>
                <w:lang w:val="ro-RO" w:eastAsia="en-US"/>
              </w:rPr>
            </w:pPr>
            <w:r w:rsidRPr="001C3CF9">
              <w:rPr>
                <w:b/>
                <w:bCs/>
                <w:sz w:val="18"/>
                <w:szCs w:val="18"/>
                <w:lang w:val="ro-RO" w:eastAsia="en-US"/>
              </w:rPr>
              <w:t>565.</w:t>
            </w:r>
            <w:r w:rsidRPr="001C3CF9">
              <w:rPr>
                <w:bCs/>
                <w:sz w:val="18"/>
                <w:szCs w:val="18"/>
                <w:lang w:val="ro-RO" w:eastAsia="en-US"/>
              </w:rPr>
              <w:t xml:space="preserve"> Fiecare actualizare este transmisă în termen de 2 ore de la încheierea ultimei ore a fluxurilor de gaze </w:t>
            </w:r>
            <w:r w:rsidR="005925C0" w:rsidRPr="00670674">
              <w:rPr>
                <w:bCs/>
                <w:sz w:val="18"/>
                <w:szCs w:val="18"/>
                <w:lang w:val="it-IT" w:eastAsia="en-US"/>
              </w:rPr>
              <w:t>n</w:t>
            </w:r>
            <w:r w:rsidRPr="001C3CF9">
              <w:rPr>
                <w:bCs/>
                <w:sz w:val="18"/>
                <w:szCs w:val="18"/>
                <w:lang w:val="ro-RO" w:eastAsia="en-US"/>
              </w:rPr>
              <w:t>aturale.</w:t>
            </w:r>
          </w:p>
          <w:p w:rsidR="00F22ADB" w:rsidRPr="00BE464B" w:rsidRDefault="00F22ADB" w:rsidP="00DA725A">
            <w:pPr>
              <w:jc w:val="center"/>
              <w:textAlignment w:val="baseline"/>
              <w:rPr>
                <w:b/>
                <w:bCs/>
                <w:sz w:val="18"/>
                <w:szCs w:val="18"/>
                <w:lang w:val="ro-MD" w:eastAsia="en-US"/>
              </w:rPr>
            </w:pPr>
          </w:p>
        </w:tc>
        <w:tc>
          <w:tcPr>
            <w:tcW w:w="1275" w:type="dxa"/>
            <w:shd w:val="clear" w:color="auto" w:fill="auto"/>
          </w:tcPr>
          <w:p w:rsidR="00235ACE" w:rsidRPr="00981BD4" w:rsidRDefault="00235ACE" w:rsidP="00DA725A">
            <w:pPr>
              <w:jc w:val="both"/>
              <w:rPr>
                <w:sz w:val="18"/>
                <w:szCs w:val="18"/>
                <w:lang w:val="it-IT"/>
              </w:rPr>
            </w:pPr>
          </w:p>
          <w:p w:rsidR="00235ACE" w:rsidRPr="00981BD4" w:rsidRDefault="00235ACE" w:rsidP="00DA725A">
            <w:pPr>
              <w:jc w:val="both"/>
              <w:rPr>
                <w:sz w:val="18"/>
                <w:szCs w:val="18"/>
                <w:lang w:val="it-IT"/>
              </w:rPr>
            </w:pPr>
          </w:p>
          <w:p w:rsidR="00235ACE" w:rsidRPr="00981BD4" w:rsidRDefault="00235ACE" w:rsidP="00DA725A">
            <w:pPr>
              <w:jc w:val="both"/>
              <w:rPr>
                <w:sz w:val="18"/>
                <w:szCs w:val="18"/>
                <w:lang w:val="it-IT"/>
              </w:rPr>
            </w:pPr>
          </w:p>
          <w:p w:rsidR="00235ACE" w:rsidRDefault="00235ACE" w:rsidP="00DA725A">
            <w:pPr>
              <w:jc w:val="both"/>
              <w:rPr>
                <w:sz w:val="18"/>
                <w:szCs w:val="18"/>
              </w:rPr>
            </w:pPr>
            <w:r w:rsidRPr="00E55B82">
              <w:rPr>
                <w:sz w:val="18"/>
                <w:szCs w:val="18"/>
              </w:rPr>
              <w:t>Compatibil</w:t>
            </w: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r w:rsidRPr="00E55B82">
              <w:rPr>
                <w:sz w:val="18"/>
                <w:szCs w:val="18"/>
              </w:rPr>
              <w:t>Compatibil</w:t>
            </w:r>
          </w:p>
          <w:p w:rsidR="00F22ADB" w:rsidRPr="00D82EE4" w:rsidRDefault="00F22ADB" w:rsidP="00DA725A">
            <w:pPr>
              <w:jc w:val="both"/>
              <w:rPr>
                <w:b/>
                <w:sz w:val="18"/>
                <w:szCs w:val="18"/>
                <w:lang w:val="it-IT"/>
              </w:rPr>
            </w:pPr>
          </w:p>
        </w:tc>
        <w:tc>
          <w:tcPr>
            <w:tcW w:w="4253" w:type="dxa"/>
            <w:shd w:val="clear" w:color="auto" w:fill="auto"/>
          </w:tcPr>
          <w:p w:rsidR="00F22ADB" w:rsidRPr="00E84D74" w:rsidRDefault="00F22ADB" w:rsidP="00DA725A">
            <w:pPr>
              <w:autoSpaceDE w:val="0"/>
              <w:autoSpaceDN w:val="0"/>
              <w:adjustRightInd w:val="0"/>
              <w:jc w:val="center"/>
              <w:rPr>
                <w:b/>
                <w:bCs/>
                <w:i/>
                <w:iCs/>
                <w:sz w:val="18"/>
                <w:szCs w:val="18"/>
              </w:rPr>
            </w:pPr>
            <w:r w:rsidRPr="00E84D74">
              <w:rPr>
                <w:b/>
                <w:bCs/>
                <w:i/>
                <w:iCs/>
                <w:sz w:val="18"/>
                <w:szCs w:val="18"/>
              </w:rPr>
              <w:t>Article 35</w:t>
            </w:r>
          </w:p>
          <w:p w:rsidR="00F22ADB" w:rsidRPr="00E84D74" w:rsidRDefault="00F22ADB" w:rsidP="00DA725A">
            <w:pPr>
              <w:autoSpaceDE w:val="0"/>
              <w:autoSpaceDN w:val="0"/>
              <w:adjustRightInd w:val="0"/>
              <w:jc w:val="center"/>
              <w:rPr>
                <w:b/>
                <w:bCs/>
                <w:sz w:val="18"/>
                <w:szCs w:val="18"/>
              </w:rPr>
            </w:pPr>
            <w:r w:rsidRPr="00E84D74">
              <w:rPr>
                <w:b/>
                <w:bCs/>
                <w:sz w:val="18"/>
                <w:szCs w:val="18"/>
              </w:rPr>
              <w:t>Daily metered off-takes</w:t>
            </w:r>
          </w:p>
          <w:p w:rsidR="00F22ADB" w:rsidRPr="00E84D74" w:rsidRDefault="00F22ADB" w:rsidP="00DA725A">
            <w:pPr>
              <w:autoSpaceDE w:val="0"/>
              <w:autoSpaceDN w:val="0"/>
              <w:adjustRightInd w:val="0"/>
              <w:rPr>
                <w:sz w:val="18"/>
                <w:szCs w:val="18"/>
              </w:rPr>
            </w:pPr>
            <w:r w:rsidRPr="00E84D74">
              <w:rPr>
                <w:sz w:val="18"/>
                <w:szCs w:val="18"/>
              </w:rPr>
              <w:t>1. Where the information model variant 1 is applied, on gas day D the transmission system operator</w:t>
            </w:r>
            <w:r w:rsidR="00BD08B8" w:rsidRPr="00E84D74">
              <w:rPr>
                <w:sz w:val="18"/>
                <w:szCs w:val="18"/>
              </w:rPr>
              <w:t xml:space="preserve"> </w:t>
            </w:r>
            <w:r w:rsidRPr="00E84D74">
              <w:rPr>
                <w:sz w:val="18"/>
                <w:szCs w:val="18"/>
              </w:rPr>
              <w:t>shall provide network users with a minimum of two updates of their apportionment of measured flows</w:t>
            </w:r>
            <w:r w:rsidR="00BD08B8" w:rsidRPr="00E84D74">
              <w:rPr>
                <w:sz w:val="18"/>
                <w:szCs w:val="18"/>
              </w:rPr>
              <w:t xml:space="preserve"> </w:t>
            </w:r>
            <w:r w:rsidRPr="00E84D74">
              <w:rPr>
                <w:sz w:val="18"/>
                <w:szCs w:val="18"/>
              </w:rPr>
              <w:t>for at least the aggregate daily metered off-takes according to either of the following two options,</w:t>
            </w:r>
            <w:r w:rsidR="00BD08B8" w:rsidRPr="00E84D74">
              <w:rPr>
                <w:sz w:val="18"/>
                <w:szCs w:val="18"/>
              </w:rPr>
              <w:t xml:space="preserve"> </w:t>
            </w:r>
            <w:r w:rsidRPr="00E84D74">
              <w:rPr>
                <w:sz w:val="18"/>
                <w:szCs w:val="18"/>
              </w:rPr>
              <w:t>as decided by the transmission system operator:</w:t>
            </w:r>
          </w:p>
          <w:p w:rsidR="00F22ADB" w:rsidRPr="00E84D74" w:rsidRDefault="00F22ADB" w:rsidP="00DA725A">
            <w:pPr>
              <w:autoSpaceDE w:val="0"/>
              <w:autoSpaceDN w:val="0"/>
              <w:adjustRightInd w:val="0"/>
              <w:rPr>
                <w:sz w:val="18"/>
                <w:szCs w:val="18"/>
              </w:rPr>
            </w:pPr>
            <w:r w:rsidRPr="00E84D74">
              <w:rPr>
                <w:sz w:val="18"/>
                <w:szCs w:val="18"/>
              </w:rPr>
              <w:t>(a) each update covers gas flows from the beginning of this gas day D; or</w:t>
            </w:r>
          </w:p>
          <w:p w:rsidR="00F22ADB" w:rsidRPr="00E84D74" w:rsidRDefault="00F22ADB" w:rsidP="00DA725A">
            <w:pPr>
              <w:autoSpaceDE w:val="0"/>
              <w:autoSpaceDN w:val="0"/>
              <w:adjustRightInd w:val="0"/>
              <w:rPr>
                <w:sz w:val="18"/>
                <w:szCs w:val="18"/>
              </w:rPr>
            </w:pPr>
            <w:r w:rsidRPr="00E84D74">
              <w:rPr>
                <w:sz w:val="18"/>
                <w:szCs w:val="18"/>
              </w:rPr>
              <w:t>(b) each update covers incremental gas flows after that reported in the previous update.</w:t>
            </w:r>
          </w:p>
          <w:p w:rsidR="00F22ADB" w:rsidRPr="00E84D74" w:rsidRDefault="00F22ADB" w:rsidP="00DA725A">
            <w:pPr>
              <w:autoSpaceDE w:val="0"/>
              <w:autoSpaceDN w:val="0"/>
              <w:adjustRightInd w:val="0"/>
              <w:rPr>
                <w:b/>
                <w:bCs/>
                <w:sz w:val="18"/>
                <w:szCs w:val="18"/>
              </w:rPr>
            </w:pPr>
            <w:r w:rsidRPr="00E84D74">
              <w:rPr>
                <w:sz w:val="18"/>
                <w:szCs w:val="18"/>
              </w:rPr>
              <w:t>2. Each update shall be provided within two hours from the end of the final hour of gas flows.</w:t>
            </w:r>
          </w:p>
        </w:tc>
      </w:tr>
      <w:tr w:rsidR="00F22ADB" w:rsidRPr="00043955" w:rsidTr="00FC3840">
        <w:trPr>
          <w:trHeight w:val="551"/>
        </w:trPr>
        <w:tc>
          <w:tcPr>
            <w:tcW w:w="5245"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36</w:t>
            </w:r>
          </w:p>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Ieșiri contorizate cu o frecvență care nu este zilnică</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se aplică scenariul de referință al modelului de informare: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în ziua gazieră Z—1, operatorul de sistem de transport furnizează utilizatorilor rețelei o prognoză referitoare la ieșirile lor contorizate cu o frecvență care nu este zilnică pentru ziua gazieră Z, până cel târziu la ora 12.00 UTC (ora de iarnă) sau ora 11.00 UTC (ora de vară); </w:t>
            </w:r>
          </w:p>
          <w:p w:rsidR="00F22ADB" w:rsidRDefault="00F22ADB"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în ziua gazieră Z, operatorul de sistem de transport furnizează utilizatorilor rețelei minimum două actualizări ale prognozei referitoare la ieșirile lor contorizate cu o frecvență care nu este zilnică;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(2)   Prima actualizare este furnizată nu mai târziu de ora 13.00 UTC (ora de iarnă) sau 12.00 UTC (ora de vară).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(3)   Momentul furnizării celei de a doua actualizări este definit cu aprobarea autorității naționale de reglementare și este publicat de operatorul de sistem de transport. Acesta ține cont de următoarele: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accesul la produse standardizate pe termen scurt pe o platformă de tranzacționare;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(b)</w:t>
            </w:r>
            <w:r w:rsidRPr="00981BD4">
              <w:rPr>
                <w:rFonts w:ascii="Calibri" w:hAnsi="Calibri" w:cs="Calibri"/>
                <w:sz w:val="18"/>
                <w:szCs w:val="18"/>
                <w:lang w:val="it-IT" w:eastAsia="en-US"/>
              </w:rPr>
              <w:t xml:space="preserve"> </w:t>
            </w:r>
            <w:r w:rsidRPr="00981BD4">
              <w:rPr>
                <w:sz w:val="18"/>
                <w:szCs w:val="18"/>
                <w:lang w:val="it-IT" w:eastAsia="en-US"/>
              </w:rPr>
              <w:t>acuratețea prognozei referitoare la ieșirile utilizatorului rețelei, contorizate cu o frecvență care nu este zilnică, comparativ cu momentul furnizării sale;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momentul când se încheie perioada de renominalizare, în conformitate cu articolul 15 alineatul (1); </w:t>
            </w:r>
          </w:p>
          <w:p w:rsidR="00F22ADB" w:rsidRDefault="00F22ADB" w:rsidP="00DA725A">
            <w:pPr>
              <w:jc w:val="both"/>
              <w:textAlignment w:val="baseline"/>
              <w:rPr>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momentul primei actualizări a prognozei pentru ieșirile contorizate cu o frecvență care nu este zilnică ale unui utilizator al rețelei. </w:t>
            </w:r>
          </w:p>
          <w:p w:rsidR="0087632E" w:rsidRPr="00981BD4" w:rsidRDefault="0087632E" w:rsidP="00DA725A">
            <w:pPr>
              <w:jc w:val="both"/>
              <w:textAlignment w:val="baseline"/>
              <w:rPr>
                <w:rFonts w:ascii="Segoe UI" w:hAnsi="Segoe UI" w:cs="Segoe UI"/>
                <w:sz w:val="18"/>
                <w:szCs w:val="18"/>
                <w:lang w:val="it-IT" w:eastAsia="en-US"/>
              </w:rPr>
            </w:pPr>
          </w:p>
          <w:p w:rsidR="00F22ADB" w:rsidRDefault="00F22ADB" w:rsidP="00DA725A">
            <w:pPr>
              <w:jc w:val="both"/>
              <w:textAlignment w:val="baseline"/>
              <w:rPr>
                <w:sz w:val="18"/>
                <w:szCs w:val="18"/>
                <w:lang w:val="it-IT" w:eastAsia="en-US"/>
              </w:rPr>
            </w:pPr>
            <w:r w:rsidRPr="00981BD4">
              <w:rPr>
                <w:sz w:val="18"/>
                <w:szCs w:val="18"/>
                <w:lang w:val="it-IT" w:eastAsia="en-US"/>
              </w:rPr>
              <w:t>(4)   În cazul în care se aplică varianta 1 a modelului de informare, în ziua gazieră Z, operatorul de sistem de transport furnizează utilizatorilor rețelei minimum două actualizări ale repartizării acestora de fluxuri contorizate, cel puțin pentru ieșirile cumulate contorizate cu o frecvență care nu este zilnică, în conformitate cu articolul 35. </w:t>
            </w:r>
          </w:p>
          <w:p w:rsidR="0087632E" w:rsidRPr="00981BD4" w:rsidRDefault="0087632E" w:rsidP="00DA725A">
            <w:pPr>
              <w:jc w:val="both"/>
              <w:textAlignment w:val="baseline"/>
              <w:rPr>
                <w:rFonts w:ascii="Segoe UI" w:hAnsi="Segoe UI" w:cs="Segoe UI"/>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(5)   În cazul în care se aplică varianta 2 a modelului de informare, în ziua gazieră Z—1, operatorul de sistem de transport furnizează utilizatorilor rețelei o prognoză a ieșirilor lor contorizate cu o frecvență care nu este zilnică pentru ziua gazieră Z, astfel cum sunt menționate la alineatul (1) litera (a). </w:t>
            </w:r>
          </w:p>
          <w:p w:rsidR="00F22ADB" w:rsidRPr="00981BD4" w:rsidRDefault="00F22ADB" w:rsidP="00DA725A">
            <w:pPr>
              <w:jc w:val="center"/>
              <w:textAlignment w:val="baseline"/>
              <w:rPr>
                <w:b/>
                <w:bCs/>
                <w:sz w:val="18"/>
                <w:szCs w:val="18"/>
                <w:lang w:val="it-IT" w:eastAsia="en-US"/>
              </w:rPr>
            </w:pPr>
          </w:p>
        </w:tc>
        <w:tc>
          <w:tcPr>
            <w:tcW w:w="4962" w:type="dxa"/>
            <w:shd w:val="clear" w:color="auto" w:fill="auto"/>
          </w:tcPr>
          <w:p w:rsidR="005B4309" w:rsidRPr="005B4309" w:rsidRDefault="005B4309" w:rsidP="001F6EB5">
            <w:pPr>
              <w:jc w:val="center"/>
              <w:textAlignment w:val="baseline"/>
              <w:rPr>
                <w:bCs/>
                <w:sz w:val="18"/>
                <w:szCs w:val="18"/>
                <w:lang w:val="ro-RO" w:eastAsia="en-US"/>
              </w:rPr>
            </w:pPr>
            <w:r w:rsidRPr="005B4309">
              <w:rPr>
                <w:b/>
                <w:bCs/>
                <w:sz w:val="18"/>
                <w:szCs w:val="18"/>
                <w:lang w:val="ro-RO" w:eastAsia="en-US"/>
              </w:rPr>
              <w:lastRenderedPageBreak/>
              <w:t>Secţiunea 4</w:t>
            </w:r>
          </w:p>
          <w:p w:rsidR="005B4309" w:rsidRPr="005B4309" w:rsidRDefault="005B4309" w:rsidP="001F6EB5">
            <w:pPr>
              <w:jc w:val="center"/>
              <w:textAlignment w:val="baseline"/>
              <w:rPr>
                <w:bCs/>
                <w:sz w:val="18"/>
                <w:szCs w:val="18"/>
                <w:lang w:val="ro-RO" w:eastAsia="en-US"/>
              </w:rPr>
            </w:pPr>
            <w:r w:rsidRPr="005B4309">
              <w:rPr>
                <w:b/>
                <w:bCs/>
                <w:sz w:val="18"/>
                <w:szCs w:val="18"/>
                <w:lang w:val="ro-RO" w:eastAsia="en-US"/>
              </w:rPr>
              <w:t>Ieşiri cu măsurare nonzilnică</w:t>
            </w: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566.</w:t>
            </w:r>
            <w:r w:rsidRPr="005B4309">
              <w:rPr>
                <w:bCs/>
                <w:sz w:val="18"/>
                <w:szCs w:val="18"/>
                <w:lang w:val="ro-RO" w:eastAsia="en-US"/>
              </w:rPr>
              <w:t xml:space="preserve"> În cazul în care se aplică scenariul de referinţă al modelului de informare: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1) în ziua gazieră Z-1, OST transmite utilizatorilor de sistem o prognoză referitoare la ieşirile lor cu măsurare nonzilnică pentru ziua gazieră Z, până cel târziu la ora 12.00 UTC (ora de iarnă) sau ora 11.00 UTC (ora de vară);</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2) în ziua gazieră Z, OST transmite utilizatorilor de sistem minimum 2 actualizări ale prognozei referitoare la ieşirile lor cu măsurare nonzilnică;</w:t>
            </w: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567.</w:t>
            </w:r>
            <w:r w:rsidRPr="005B4309">
              <w:rPr>
                <w:bCs/>
                <w:sz w:val="18"/>
                <w:szCs w:val="18"/>
                <w:lang w:val="ro-RO" w:eastAsia="en-US"/>
              </w:rPr>
              <w:t xml:space="preserve"> Prima actualizare este transmisă nu mai târziu de ora 13.00 UTC (ora de iarnă) sau 12.00 UTC (ora de vară).</w:t>
            </w: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568.</w:t>
            </w:r>
            <w:r w:rsidRPr="005B4309">
              <w:rPr>
                <w:bCs/>
                <w:sz w:val="18"/>
                <w:szCs w:val="18"/>
                <w:lang w:val="ro-RO" w:eastAsia="en-US"/>
              </w:rPr>
              <w:t xml:space="preserve"> Ora transmiterii celei de a 2-a actualizări este definit după aprobarea Agenţiei şi este publicat de OST. Acesta ţine cont de următoarele: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1) accesul la PSTS pe o platformă de tranzacţionare;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2) precizia prognozei referitoare la ieşirile utilizatorului de sistem, cu măsurare nonzilnică, comparativ cu momentul transmiterii sale;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lastRenderedPageBreak/>
              <w:t>3) ora când se încheie perioada de renominalizare, în conformitate cu pct.494;</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4) ora primei actualizări a prognozei pentru ieşirile cu măsurare nonzilnică ale unui utilizator de sistem.</w:t>
            </w:r>
          </w:p>
          <w:p w:rsidR="005B4309" w:rsidRDefault="005B4309" w:rsidP="0087632E">
            <w:pPr>
              <w:jc w:val="both"/>
              <w:textAlignment w:val="baseline"/>
              <w:rPr>
                <w:b/>
                <w:bCs/>
                <w:sz w:val="18"/>
                <w:szCs w:val="18"/>
                <w:lang w:val="ro-RO" w:eastAsia="en-US"/>
              </w:rPr>
            </w:pPr>
          </w:p>
          <w:p w:rsidR="0087632E" w:rsidRDefault="0087632E" w:rsidP="0087632E">
            <w:pPr>
              <w:jc w:val="both"/>
              <w:textAlignment w:val="baseline"/>
              <w:rPr>
                <w:b/>
                <w:bCs/>
                <w:sz w:val="18"/>
                <w:szCs w:val="18"/>
                <w:lang w:val="ro-RO" w:eastAsia="en-US"/>
              </w:rPr>
            </w:pPr>
          </w:p>
          <w:p w:rsidR="00461DF4" w:rsidRDefault="00461DF4" w:rsidP="0087632E">
            <w:pPr>
              <w:jc w:val="both"/>
              <w:textAlignment w:val="baseline"/>
              <w:rPr>
                <w:b/>
                <w:bCs/>
                <w:sz w:val="18"/>
                <w:szCs w:val="18"/>
                <w:lang w:val="ro-RO" w:eastAsia="en-US"/>
              </w:rPr>
            </w:pPr>
          </w:p>
          <w:p w:rsidR="00461DF4" w:rsidRDefault="00461DF4" w:rsidP="0087632E">
            <w:pPr>
              <w:jc w:val="both"/>
              <w:textAlignment w:val="baseline"/>
              <w:rPr>
                <w:b/>
                <w:bCs/>
                <w:sz w:val="18"/>
                <w:szCs w:val="18"/>
                <w:lang w:val="ro-RO" w:eastAsia="en-US"/>
              </w:rPr>
            </w:pP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569.</w:t>
            </w:r>
            <w:r w:rsidRPr="005B4309">
              <w:rPr>
                <w:bCs/>
                <w:sz w:val="18"/>
                <w:szCs w:val="18"/>
                <w:lang w:val="ro-RO" w:eastAsia="en-US"/>
              </w:rPr>
              <w:t xml:space="preserve"> În cazul în care se aplică varianta 1 a modelului de informare, în ziua gazieră Z, OST transmite utilizatorilor de sistem minimum 2 actualizări ale repartizării fluxurilor măsurate, cel puţin pentru ieşirile cu măsurare nonzilnică agregate, în conformitate cu Secţiunea 3 din prezentul Capitol.</w:t>
            </w:r>
          </w:p>
          <w:p w:rsidR="005B4309" w:rsidRDefault="005B4309" w:rsidP="0087632E">
            <w:pPr>
              <w:jc w:val="both"/>
              <w:textAlignment w:val="baseline"/>
              <w:rPr>
                <w:b/>
                <w:bCs/>
                <w:sz w:val="18"/>
                <w:szCs w:val="18"/>
                <w:lang w:val="ro-RO" w:eastAsia="en-US"/>
              </w:rPr>
            </w:pP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570.</w:t>
            </w:r>
            <w:r w:rsidRPr="005B4309">
              <w:rPr>
                <w:bCs/>
                <w:sz w:val="18"/>
                <w:szCs w:val="18"/>
                <w:lang w:val="ro-RO" w:eastAsia="en-US"/>
              </w:rPr>
              <w:t xml:space="preserve"> În cazul în care se aplică varianta 2 a modelului de informare, în ziua gazieră Z-1, OST transmite utilizatorilor de sistem o prognoză a ieşirilor cu măsurare nonzilnică pentru ziua gazieră Z, astfel cum sunt menţionate în pct.566 subpunctul 1).</w:t>
            </w:r>
          </w:p>
          <w:p w:rsidR="00F22ADB" w:rsidRPr="005B4309" w:rsidRDefault="00F22ADB" w:rsidP="0087632E">
            <w:pPr>
              <w:jc w:val="both"/>
              <w:textAlignment w:val="baseline"/>
              <w:rPr>
                <w:b/>
                <w:bCs/>
                <w:sz w:val="18"/>
                <w:szCs w:val="18"/>
                <w:lang w:val="ro-RO" w:eastAsia="en-US"/>
              </w:rPr>
            </w:pPr>
          </w:p>
        </w:tc>
        <w:tc>
          <w:tcPr>
            <w:tcW w:w="1275" w:type="dxa"/>
            <w:shd w:val="clear" w:color="auto" w:fill="auto"/>
          </w:tcPr>
          <w:p w:rsidR="00F22ADB" w:rsidRPr="00380C00" w:rsidRDefault="00F22ADB" w:rsidP="0087632E">
            <w:pPr>
              <w:jc w:val="both"/>
              <w:rPr>
                <w:b/>
                <w:sz w:val="18"/>
                <w:szCs w:val="18"/>
                <w:lang w:val="ro-RO"/>
              </w:rPr>
            </w:pPr>
          </w:p>
          <w:p w:rsidR="00364AB1" w:rsidRPr="00380C00" w:rsidRDefault="00364AB1" w:rsidP="0087632E">
            <w:pPr>
              <w:jc w:val="both"/>
              <w:rPr>
                <w:b/>
                <w:sz w:val="18"/>
                <w:szCs w:val="18"/>
                <w:lang w:val="ro-RO"/>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Default="00364AB1" w:rsidP="0087632E">
            <w:pPr>
              <w:jc w:val="both"/>
              <w:rPr>
                <w:sz w:val="18"/>
                <w:szCs w:val="18"/>
                <w:lang w:val="it-IT"/>
              </w:rPr>
            </w:pPr>
          </w:p>
          <w:p w:rsidR="0087632E" w:rsidRDefault="0087632E" w:rsidP="0087632E">
            <w:pPr>
              <w:jc w:val="both"/>
              <w:rPr>
                <w:sz w:val="18"/>
                <w:szCs w:val="18"/>
                <w:lang w:val="it-IT"/>
              </w:rPr>
            </w:pPr>
          </w:p>
          <w:p w:rsidR="0087632E" w:rsidRDefault="0087632E" w:rsidP="0087632E">
            <w:pPr>
              <w:jc w:val="both"/>
              <w:rPr>
                <w:sz w:val="18"/>
                <w:szCs w:val="18"/>
                <w:lang w:val="it-IT"/>
              </w:rPr>
            </w:pPr>
          </w:p>
          <w:p w:rsidR="0087632E" w:rsidRDefault="0087632E" w:rsidP="0087632E">
            <w:pPr>
              <w:jc w:val="both"/>
              <w:rPr>
                <w:sz w:val="18"/>
                <w:szCs w:val="18"/>
                <w:lang w:val="it-IT"/>
              </w:rPr>
            </w:pPr>
          </w:p>
          <w:p w:rsidR="0087632E" w:rsidRDefault="0087632E" w:rsidP="0087632E">
            <w:pPr>
              <w:jc w:val="both"/>
              <w:rPr>
                <w:sz w:val="18"/>
                <w:szCs w:val="18"/>
                <w:lang w:val="it-IT"/>
              </w:rPr>
            </w:pPr>
          </w:p>
          <w:p w:rsidR="0087632E" w:rsidRPr="00981BD4" w:rsidRDefault="0087632E" w:rsidP="0087632E">
            <w:pPr>
              <w:jc w:val="both"/>
              <w:rPr>
                <w:sz w:val="18"/>
                <w:szCs w:val="18"/>
                <w:lang w:val="it-IT"/>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Default="00364AB1" w:rsidP="0087632E">
            <w:pPr>
              <w:jc w:val="both"/>
              <w:rPr>
                <w:sz w:val="18"/>
                <w:szCs w:val="18"/>
                <w:lang w:val="it-IT"/>
              </w:rPr>
            </w:pPr>
          </w:p>
          <w:p w:rsidR="00461DF4" w:rsidRDefault="00461DF4"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D82EE4" w:rsidRDefault="00364AB1" w:rsidP="0087632E">
            <w:pPr>
              <w:jc w:val="both"/>
              <w:rPr>
                <w:b/>
                <w:sz w:val="18"/>
                <w:szCs w:val="18"/>
                <w:lang w:val="it-IT"/>
              </w:rPr>
            </w:pPr>
            <w:r w:rsidRPr="00981BD4">
              <w:rPr>
                <w:sz w:val="18"/>
                <w:szCs w:val="18"/>
                <w:lang w:val="it-IT"/>
              </w:rPr>
              <w:t>Compatibil</w:t>
            </w:r>
          </w:p>
        </w:tc>
        <w:tc>
          <w:tcPr>
            <w:tcW w:w="4253" w:type="dxa"/>
            <w:shd w:val="clear" w:color="auto" w:fill="auto"/>
          </w:tcPr>
          <w:p w:rsidR="00F22ADB" w:rsidRPr="00E84D74" w:rsidRDefault="00F22ADB" w:rsidP="001F6EB5">
            <w:pPr>
              <w:autoSpaceDE w:val="0"/>
              <w:autoSpaceDN w:val="0"/>
              <w:adjustRightInd w:val="0"/>
              <w:jc w:val="center"/>
              <w:rPr>
                <w:b/>
                <w:bCs/>
                <w:i/>
                <w:iCs/>
                <w:sz w:val="18"/>
                <w:szCs w:val="18"/>
              </w:rPr>
            </w:pPr>
            <w:r w:rsidRPr="00E84D74">
              <w:rPr>
                <w:b/>
                <w:bCs/>
                <w:i/>
                <w:iCs/>
                <w:sz w:val="18"/>
                <w:szCs w:val="18"/>
              </w:rPr>
              <w:lastRenderedPageBreak/>
              <w:t>Article 36</w:t>
            </w:r>
          </w:p>
          <w:p w:rsidR="00F22ADB" w:rsidRPr="00E84D74" w:rsidRDefault="00F22ADB" w:rsidP="001F6EB5">
            <w:pPr>
              <w:autoSpaceDE w:val="0"/>
              <w:autoSpaceDN w:val="0"/>
              <w:adjustRightInd w:val="0"/>
              <w:jc w:val="center"/>
              <w:rPr>
                <w:b/>
                <w:bCs/>
                <w:sz w:val="18"/>
                <w:szCs w:val="18"/>
              </w:rPr>
            </w:pPr>
            <w:r w:rsidRPr="00E84D74">
              <w:rPr>
                <w:b/>
                <w:bCs/>
                <w:sz w:val="18"/>
                <w:szCs w:val="18"/>
              </w:rPr>
              <w:t>Non- daily metered off-takes</w:t>
            </w:r>
          </w:p>
          <w:p w:rsidR="00F22ADB" w:rsidRPr="00E84D74" w:rsidRDefault="00F22ADB" w:rsidP="0087632E">
            <w:pPr>
              <w:autoSpaceDE w:val="0"/>
              <w:autoSpaceDN w:val="0"/>
              <w:adjustRightInd w:val="0"/>
              <w:jc w:val="both"/>
              <w:rPr>
                <w:sz w:val="18"/>
                <w:szCs w:val="18"/>
              </w:rPr>
            </w:pPr>
            <w:r w:rsidRPr="00E84D74">
              <w:rPr>
                <w:sz w:val="18"/>
                <w:szCs w:val="18"/>
              </w:rPr>
              <w:t>1. Where the information model base case is applied:</w:t>
            </w:r>
          </w:p>
          <w:p w:rsidR="00F22ADB" w:rsidRPr="00E84D74" w:rsidRDefault="00F22ADB" w:rsidP="0087632E">
            <w:pPr>
              <w:autoSpaceDE w:val="0"/>
              <w:autoSpaceDN w:val="0"/>
              <w:adjustRightInd w:val="0"/>
              <w:jc w:val="both"/>
              <w:rPr>
                <w:sz w:val="18"/>
                <w:szCs w:val="18"/>
              </w:rPr>
            </w:pPr>
            <w:r w:rsidRPr="00E84D74">
              <w:rPr>
                <w:sz w:val="18"/>
                <w:szCs w:val="18"/>
              </w:rPr>
              <w:t>(a) on gas day D-1, the transmission system operator shall provide network users with a forecast of their non- daily metered off-takes for gas day D no later than 12:00 UTC (winter time) or 11:00 UTC (daylight saving);</w:t>
            </w:r>
          </w:p>
          <w:p w:rsidR="00F22ADB" w:rsidRPr="00E84D74" w:rsidRDefault="00F22ADB" w:rsidP="0087632E">
            <w:pPr>
              <w:autoSpaceDE w:val="0"/>
              <w:autoSpaceDN w:val="0"/>
              <w:adjustRightInd w:val="0"/>
              <w:jc w:val="both"/>
              <w:rPr>
                <w:sz w:val="18"/>
                <w:szCs w:val="18"/>
              </w:rPr>
            </w:pPr>
            <w:r w:rsidRPr="00E84D74">
              <w:rPr>
                <w:sz w:val="18"/>
                <w:szCs w:val="18"/>
              </w:rPr>
              <w:t>(b) on gas day D, the transmission system operator shall provide network users with a minimum of two updates of the forecast of their non- daily metered off-takes.</w:t>
            </w:r>
          </w:p>
          <w:p w:rsidR="0087632E" w:rsidRDefault="0087632E" w:rsidP="0087632E">
            <w:pPr>
              <w:autoSpaceDE w:val="0"/>
              <w:autoSpaceDN w:val="0"/>
              <w:adjustRightInd w:val="0"/>
              <w:jc w:val="both"/>
              <w:rPr>
                <w:sz w:val="18"/>
                <w:szCs w:val="18"/>
              </w:rPr>
            </w:pPr>
          </w:p>
          <w:p w:rsidR="00F22ADB" w:rsidRPr="00E84D74" w:rsidRDefault="00F22ADB" w:rsidP="0087632E">
            <w:pPr>
              <w:autoSpaceDE w:val="0"/>
              <w:autoSpaceDN w:val="0"/>
              <w:adjustRightInd w:val="0"/>
              <w:jc w:val="both"/>
              <w:rPr>
                <w:sz w:val="18"/>
                <w:szCs w:val="18"/>
              </w:rPr>
            </w:pPr>
            <w:r w:rsidRPr="00E84D74">
              <w:rPr>
                <w:sz w:val="18"/>
                <w:szCs w:val="18"/>
              </w:rPr>
              <w:t>2. The first update shall be provided no later than 13:00 UTC (winter time) or 12:00 UTC (daylight saving).</w:t>
            </w:r>
          </w:p>
          <w:p w:rsidR="00F22ADB" w:rsidRPr="00E84D74" w:rsidRDefault="00F22ADB" w:rsidP="0087632E">
            <w:pPr>
              <w:autoSpaceDE w:val="0"/>
              <w:autoSpaceDN w:val="0"/>
              <w:adjustRightInd w:val="0"/>
              <w:jc w:val="both"/>
              <w:rPr>
                <w:sz w:val="18"/>
                <w:szCs w:val="18"/>
              </w:rPr>
            </w:pPr>
            <w:r w:rsidRPr="00E84D74">
              <w:rPr>
                <w:sz w:val="18"/>
                <w:szCs w:val="18"/>
              </w:rPr>
              <w:t>3. The time of the second update provision shall be defined upon approval by the national regulatory authority and published by the transmission system operator. This  shall take into consideration the following:</w:t>
            </w:r>
          </w:p>
          <w:p w:rsidR="00F22ADB" w:rsidRPr="00E84D74" w:rsidRDefault="00F22ADB" w:rsidP="0087632E">
            <w:pPr>
              <w:autoSpaceDE w:val="0"/>
              <w:autoSpaceDN w:val="0"/>
              <w:adjustRightInd w:val="0"/>
              <w:jc w:val="both"/>
              <w:rPr>
                <w:sz w:val="18"/>
                <w:szCs w:val="18"/>
              </w:rPr>
            </w:pPr>
            <w:r w:rsidRPr="00E84D74">
              <w:rPr>
                <w:sz w:val="18"/>
                <w:szCs w:val="18"/>
              </w:rPr>
              <w:lastRenderedPageBreak/>
              <w:t>(a) access to short term standardised products on a trading platform;</w:t>
            </w:r>
          </w:p>
          <w:p w:rsidR="00F22ADB" w:rsidRPr="00E84D74" w:rsidRDefault="00F22ADB" w:rsidP="0087632E">
            <w:pPr>
              <w:autoSpaceDE w:val="0"/>
              <w:autoSpaceDN w:val="0"/>
              <w:adjustRightInd w:val="0"/>
              <w:jc w:val="both"/>
              <w:rPr>
                <w:sz w:val="18"/>
                <w:szCs w:val="18"/>
              </w:rPr>
            </w:pPr>
            <w:r w:rsidRPr="00E84D74">
              <w:rPr>
                <w:sz w:val="18"/>
                <w:szCs w:val="18"/>
              </w:rPr>
              <w:t>(b) accuracy of the forecast of a network users non- daily off-takes as compared to the time of its provision;</w:t>
            </w:r>
          </w:p>
          <w:p w:rsidR="00F22ADB" w:rsidRPr="00E84D74" w:rsidRDefault="00F22ADB" w:rsidP="0087632E">
            <w:pPr>
              <w:autoSpaceDE w:val="0"/>
              <w:autoSpaceDN w:val="0"/>
              <w:adjustRightInd w:val="0"/>
              <w:jc w:val="both"/>
              <w:rPr>
                <w:sz w:val="18"/>
                <w:szCs w:val="18"/>
              </w:rPr>
            </w:pPr>
            <w:r w:rsidRPr="00E84D74">
              <w:rPr>
                <w:sz w:val="18"/>
                <w:szCs w:val="18"/>
              </w:rPr>
              <w:t>(c) time when the re-nomination period ends, as provided in Article 15(1);</w:t>
            </w:r>
          </w:p>
          <w:p w:rsidR="00F22ADB" w:rsidRPr="00E84D74" w:rsidRDefault="00F22ADB" w:rsidP="0087632E">
            <w:pPr>
              <w:autoSpaceDE w:val="0"/>
              <w:autoSpaceDN w:val="0"/>
              <w:adjustRightInd w:val="0"/>
              <w:jc w:val="both"/>
              <w:rPr>
                <w:sz w:val="18"/>
                <w:szCs w:val="18"/>
              </w:rPr>
            </w:pPr>
            <w:r w:rsidRPr="00E84D74">
              <w:rPr>
                <w:sz w:val="18"/>
                <w:szCs w:val="18"/>
              </w:rPr>
              <w:t>(d) time of the first update of the forecast for a network user’s non- daily metered off-takes.</w:t>
            </w:r>
          </w:p>
          <w:p w:rsidR="00F22ADB" w:rsidRPr="00E84D74" w:rsidRDefault="00F22ADB" w:rsidP="0087632E">
            <w:pPr>
              <w:autoSpaceDE w:val="0"/>
              <w:autoSpaceDN w:val="0"/>
              <w:adjustRightInd w:val="0"/>
              <w:jc w:val="both"/>
              <w:rPr>
                <w:sz w:val="18"/>
                <w:szCs w:val="18"/>
              </w:rPr>
            </w:pPr>
            <w:r w:rsidRPr="00E84D74">
              <w:rPr>
                <w:sz w:val="18"/>
                <w:szCs w:val="18"/>
              </w:rPr>
              <w:t>4. Where the information model variant 1 is applied, on gas day D, the transmission system operator shall provide network users with a minimum of two updates of their apportionment of measured flows for at least the aggregate non- daily metered off-takes as referred to in Article 35.</w:t>
            </w:r>
          </w:p>
          <w:p w:rsidR="00F22ADB" w:rsidRPr="00E84D74" w:rsidRDefault="00F22ADB" w:rsidP="0087632E">
            <w:pPr>
              <w:autoSpaceDE w:val="0"/>
              <w:autoSpaceDN w:val="0"/>
              <w:adjustRightInd w:val="0"/>
              <w:jc w:val="both"/>
              <w:rPr>
                <w:b/>
                <w:bCs/>
                <w:sz w:val="18"/>
                <w:szCs w:val="18"/>
              </w:rPr>
            </w:pPr>
            <w:r w:rsidRPr="00E84D74">
              <w:rPr>
                <w:sz w:val="18"/>
                <w:szCs w:val="18"/>
              </w:rPr>
              <w:t>5. Where the information model variant 2 is applied, on gas day D-1, the transmission system operator shall provide network users with a forecast of their non- daily metered off-takes for gas day D as referred to in paragraph 1(a).</w:t>
            </w:r>
          </w:p>
        </w:tc>
      </w:tr>
      <w:tr w:rsidR="00667B4D" w:rsidRPr="00043955" w:rsidTr="00BC2F14">
        <w:trPr>
          <w:trHeight w:val="565"/>
        </w:trPr>
        <w:tc>
          <w:tcPr>
            <w:tcW w:w="5245"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37</w:t>
            </w:r>
          </w:p>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t>Intrări și ieșiri după ziua gazieră</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(1)   Cel târziu la sfârșitul zilei gaziere Z+1, operatorul de sistem de transport furnizează fiecărui utilizator al rețelei o alocare inițială pentru intrările și ieșirilor acestuia din ziua D și o cantitate inițială de dezechilibru zilnic.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pentru scenariul de referință și varianta 1 a modelelor de informare, este alocată întreaga cantitate de gaz livrată către sistemul de distribuție;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pentru varianta 2 a modelului de informare, ieșirile contorizate cu o frecvență care nu este zilnică sunt egale cu prognoza referitoare la ieșirile contorizate cu o frecvență care nu este zilnică ale unui utilizator al rețelei, furnizate cu o zi înainte;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pentru varianta 1 a modelului de informare, o alocare inițială și o cantitate inițială de dezechilibru zilnic sunt considerate ca fiind alocarea finală și cantitatea finală de dezechilibru zilnic. </w:t>
            </w:r>
          </w:p>
          <w:p w:rsidR="00667B4D" w:rsidRDefault="00667B4D" w:rsidP="00DA725A">
            <w:pPr>
              <w:jc w:val="both"/>
              <w:textAlignment w:val="baseline"/>
              <w:rPr>
                <w:sz w:val="18"/>
                <w:szCs w:val="18"/>
                <w:lang w:val="it-IT" w:eastAsia="en-US"/>
              </w:rPr>
            </w:pPr>
            <w:r w:rsidRPr="00981BD4">
              <w:rPr>
                <w:sz w:val="18"/>
                <w:szCs w:val="18"/>
                <w:lang w:val="it-IT" w:eastAsia="en-US"/>
              </w:rPr>
              <w:t>(2)   Atunci când se aplică o măsură provizorie prevăzută la articolele 47-51, o alocare inițială și o cantitate inițială de dezechilibru zilnic pot fi furnizate în termen de trei zile gaziere de la ziua gazieră Z în cazul în care conformitatea cu dispozițiile de la alineatul (1) nu ar fi posibilă din punct de vedere tehnic sau operațional. </w:t>
            </w:r>
          </w:p>
          <w:p w:rsidR="00322059" w:rsidRPr="00981BD4" w:rsidRDefault="00322059" w:rsidP="00DA725A">
            <w:pPr>
              <w:jc w:val="both"/>
              <w:textAlignment w:val="baseline"/>
              <w:rPr>
                <w:rFonts w:ascii="Segoe UI" w:hAnsi="Segoe UI" w:cs="Segoe UI"/>
                <w:sz w:val="18"/>
                <w:szCs w:val="18"/>
                <w:lang w:val="it-IT" w:eastAsia="en-US"/>
              </w:rPr>
            </w:pP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(3)   Operatorul de sistem de transport furnizează fiecărui utilizator al rețelei alocarea finală pentru intrările și ieșirile acestuia și cantitatea finală de dezechilibru zilnic, într-un termen definit în conformitate cu normele naționale aplicabile. </w:t>
            </w:r>
          </w:p>
          <w:p w:rsidR="00667B4D" w:rsidRPr="00981BD4" w:rsidRDefault="00667B4D" w:rsidP="00DA725A">
            <w:pPr>
              <w:jc w:val="center"/>
              <w:textAlignment w:val="baseline"/>
              <w:rPr>
                <w:b/>
                <w:bCs/>
                <w:sz w:val="18"/>
                <w:szCs w:val="18"/>
                <w:lang w:val="it-IT" w:eastAsia="en-US"/>
              </w:rPr>
            </w:pPr>
          </w:p>
        </w:tc>
        <w:tc>
          <w:tcPr>
            <w:tcW w:w="4962"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lastRenderedPageBreak/>
              <w:t>Secţiunea 6</w:t>
            </w:r>
          </w:p>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t>Intrări și ieșiri după ziua gazieră</w:t>
            </w:r>
          </w:p>
          <w:p w:rsidR="005B4309" w:rsidRPr="005B4309" w:rsidRDefault="005B4309" w:rsidP="005B4309">
            <w:pPr>
              <w:jc w:val="both"/>
              <w:textAlignment w:val="baseline"/>
              <w:rPr>
                <w:sz w:val="18"/>
                <w:szCs w:val="18"/>
                <w:lang w:val="ro-RO" w:eastAsia="en-US"/>
              </w:rPr>
            </w:pPr>
            <w:r w:rsidRPr="005B4309">
              <w:rPr>
                <w:b/>
                <w:bCs/>
                <w:sz w:val="18"/>
                <w:szCs w:val="18"/>
                <w:lang w:val="ro-RO" w:eastAsia="en-US"/>
              </w:rPr>
              <w:t>571.</w:t>
            </w:r>
            <w:r w:rsidRPr="005B4309">
              <w:rPr>
                <w:sz w:val="18"/>
                <w:szCs w:val="18"/>
                <w:lang w:val="ro-RO" w:eastAsia="en-US"/>
              </w:rPr>
              <w:t xml:space="preserve"> Cel târziu la sfârşitul zilei gaziere Z+1, OST transmite fiecărui utilizator de sistem alocare iniţială pentru intrările şi ieşirilor acestuia din ziua D şi cantitate iniţială de dezechilibru zilnic.</w:t>
            </w:r>
          </w:p>
          <w:p w:rsidR="005B4309" w:rsidRPr="005B4309" w:rsidRDefault="005B4309" w:rsidP="005B4309">
            <w:pPr>
              <w:jc w:val="both"/>
              <w:textAlignment w:val="baseline"/>
              <w:rPr>
                <w:sz w:val="18"/>
                <w:szCs w:val="18"/>
                <w:lang w:val="ro-RO" w:eastAsia="en-US"/>
              </w:rPr>
            </w:pPr>
            <w:r w:rsidRPr="005B4309">
              <w:rPr>
                <w:sz w:val="18"/>
                <w:szCs w:val="18"/>
                <w:lang w:val="ro-RO" w:eastAsia="en-US"/>
              </w:rPr>
              <w:t>1) pentru scenariul de referinţă şi varianta 1 a modelelor de informare, este alocată întreaga cantitate de gaze naturale livrată către sistemul de distribuţie;</w:t>
            </w:r>
          </w:p>
          <w:p w:rsidR="005B4309" w:rsidRPr="005B4309" w:rsidRDefault="005B4309" w:rsidP="005B4309">
            <w:pPr>
              <w:jc w:val="both"/>
              <w:textAlignment w:val="baseline"/>
              <w:rPr>
                <w:sz w:val="18"/>
                <w:szCs w:val="18"/>
                <w:lang w:val="ro-RO" w:eastAsia="en-US"/>
              </w:rPr>
            </w:pPr>
            <w:r w:rsidRPr="005B4309">
              <w:rPr>
                <w:sz w:val="18"/>
                <w:szCs w:val="18"/>
                <w:lang w:val="ro-RO" w:eastAsia="en-US"/>
              </w:rPr>
              <w:t>2) pentru varianta 2 a modelului de informare, ieşirile cu măsurare nonzilnică sunt egale cu prognoza referitoare la ieşirile cu măsurare nonzilnică ale unui utilizator de sistem, transmise cu o zi înainte, pentru a 2-a zi;</w:t>
            </w:r>
          </w:p>
          <w:p w:rsidR="005B4309" w:rsidRPr="005B4309" w:rsidRDefault="005B4309" w:rsidP="005B4309">
            <w:pPr>
              <w:jc w:val="both"/>
              <w:textAlignment w:val="baseline"/>
              <w:rPr>
                <w:sz w:val="18"/>
                <w:szCs w:val="18"/>
                <w:lang w:val="ro-RO" w:eastAsia="en-US"/>
              </w:rPr>
            </w:pPr>
            <w:r w:rsidRPr="005B4309">
              <w:rPr>
                <w:sz w:val="18"/>
                <w:szCs w:val="18"/>
                <w:lang w:val="ro-RO" w:eastAsia="en-US"/>
              </w:rPr>
              <w:t>3) pentru varianta 1 a modelului de informare, o alocare iniţială şi o cantitate iniţială de dezechilibru zilnic sunt considerate ca fiind alocarea finală şi cantitatea finală de dezechilibru zilnic.</w:t>
            </w:r>
          </w:p>
          <w:p w:rsidR="005B4309" w:rsidRDefault="005B4309" w:rsidP="005B4309">
            <w:pPr>
              <w:jc w:val="both"/>
              <w:textAlignment w:val="baseline"/>
              <w:rPr>
                <w:sz w:val="18"/>
                <w:szCs w:val="18"/>
                <w:lang w:val="ro-RO" w:eastAsia="en-US"/>
              </w:rPr>
            </w:pPr>
            <w:r w:rsidRPr="005B4309">
              <w:rPr>
                <w:b/>
                <w:bCs/>
                <w:sz w:val="18"/>
                <w:szCs w:val="18"/>
                <w:lang w:val="ro-RO" w:eastAsia="en-US"/>
              </w:rPr>
              <w:t>572.</w:t>
            </w:r>
            <w:r w:rsidRPr="005B4309">
              <w:rPr>
                <w:sz w:val="18"/>
                <w:szCs w:val="18"/>
                <w:lang w:val="ro-RO" w:eastAsia="en-US"/>
              </w:rPr>
              <w:t xml:space="preserve"> Atunci când se aplică o măsură provizorie prevăzută în pct.608-627, o alocare iniţială şi o cantitate iniţială de dezechilibru zilnic pot fi furnizate în termen de trei zile gaziere de la ziua gazieră Z în cazul în care conformitatea cu dispoziţiile din pct.571 nu ar fi posibilă din punct de vedere tehnic sau operaţional.</w:t>
            </w:r>
          </w:p>
          <w:p w:rsidR="00BC2F14" w:rsidRPr="005B4309" w:rsidRDefault="00BC2F14" w:rsidP="005B4309">
            <w:pPr>
              <w:jc w:val="both"/>
              <w:textAlignment w:val="baseline"/>
              <w:rPr>
                <w:sz w:val="18"/>
                <w:szCs w:val="18"/>
                <w:lang w:val="ro-RO" w:eastAsia="en-US"/>
              </w:rPr>
            </w:pPr>
          </w:p>
          <w:p w:rsidR="005B4309" w:rsidRPr="005B4309" w:rsidRDefault="005B4309" w:rsidP="005B4309">
            <w:pPr>
              <w:jc w:val="both"/>
              <w:textAlignment w:val="baseline"/>
              <w:rPr>
                <w:sz w:val="18"/>
                <w:szCs w:val="18"/>
                <w:lang w:val="ro-RO" w:eastAsia="en-US"/>
              </w:rPr>
            </w:pPr>
            <w:r w:rsidRPr="005B4309">
              <w:rPr>
                <w:b/>
                <w:bCs/>
                <w:sz w:val="18"/>
                <w:szCs w:val="18"/>
                <w:lang w:val="ro-RO" w:eastAsia="en-US"/>
              </w:rPr>
              <w:t>573.</w:t>
            </w:r>
            <w:r w:rsidRPr="005B4309">
              <w:rPr>
                <w:sz w:val="18"/>
                <w:szCs w:val="18"/>
                <w:lang w:val="ro-RO" w:eastAsia="en-US"/>
              </w:rPr>
              <w:t xml:space="preserve"> OST transmite fiecărui utilizator de sistem alocarea finală pentru intrările şi ieşirile acestuia şi cantitatea finală de dezechilibru zilnic, într-un termen definit în contract sau Regulile </w:t>
            </w:r>
            <w:r w:rsidRPr="005B4309">
              <w:rPr>
                <w:sz w:val="18"/>
                <w:szCs w:val="18"/>
                <w:lang w:val="ro-RO" w:eastAsia="en-US"/>
              </w:rPr>
              <w:lastRenderedPageBreak/>
              <w:t xml:space="preserve">pieţei gazelor naturale aprobate prin </w:t>
            </w:r>
            <w:hyperlink r:id="rId96" w:history="1">
              <w:r w:rsidRPr="005B4309">
                <w:rPr>
                  <w:rStyle w:val="Hyperlink"/>
                  <w:sz w:val="18"/>
                  <w:szCs w:val="18"/>
                  <w:lang w:val="ro-RO" w:eastAsia="en-US"/>
                </w:rPr>
                <w:t>Hotărârea ANRE nr.534/2019</w:t>
              </w:r>
            </w:hyperlink>
            <w:r w:rsidRPr="005B4309">
              <w:rPr>
                <w:sz w:val="18"/>
                <w:szCs w:val="18"/>
                <w:lang w:val="ro-RO" w:eastAsia="en-US"/>
              </w:rPr>
              <w:t>.</w:t>
            </w:r>
          </w:p>
          <w:p w:rsidR="00667B4D" w:rsidRPr="005B4309" w:rsidRDefault="00667B4D" w:rsidP="00DA725A">
            <w:pPr>
              <w:jc w:val="center"/>
              <w:textAlignment w:val="baseline"/>
              <w:rPr>
                <w:b/>
                <w:bCs/>
                <w:sz w:val="18"/>
                <w:szCs w:val="18"/>
                <w:lang w:val="ro-RO" w:eastAsia="en-US"/>
              </w:rPr>
            </w:pPr>
          </w:p>
        </w:tc>
        <w:tc>
          <w:tcPr>
            <w:tcW w:w="1275" w:type="dxa"/>
            <w:shd w:val="clear" w:color="auto" w:fill="auto"/>
          </w:tcPr>
          <w:p w:rsidR="00667B4D" w:rsidRPr="00380C00" w:rsidRDefault="00667B4D" w:rsidP="00DA725A">
            <w:pPr>
              <w:jc w:val="both"/>
              <w:rPr>
                <w:b/>
                <w:sz w:val="18"/>
                <w:szCs w:val="18"/>
                <w:lang w:val="ro-RO"/>
              </w:rPr>
            </w:pPr>
          </w:p>
          <w:p w:rsidR="00D711BF" w:rsidRPr="00380C00" w:rsidRDefault="00D711BF" w:rsidP="00DA725A">
            <w:pPr>
              <w:jc w:val="both"/>
              <w:rPr>
                <w:b/>
                <w:sz w:val="18"/>
                <w:szCs w:val="18"/>
                <w:lang w:val="ro-RO"/>
              </w:rPr>
            </w:pPr>
          </w:p>
          <w:p w:rsidR="00D711BF" w:rsidRDefault="00D711BF" w:rsidP="00DA725A">
            <w:pPr>
              <w:jc w:val="both"/>
              <w:rPr>
                <w:sz w:val="18"/>
                <w:szCs w:val="18"/>
              </w:rPr>
            </w:pPr>
            <w:r w:rsidRPr="00E55B82">
              <w:rPr>
                <w:sz w:val="18"/>
                <w:szCs w:val="18"/>
              </w:rPr>
              <w:t>Compatibil</w:t>
            </w: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786C7E" w:rsidRDefault="00786C7E" w:rsidP="00DA725A">
            <w:pPr>
              <w:jc w:val="both"/>
              <w:rPr>
                <w:sz w:val="18"/>
                <w:szCs w:val="18"/>
              </w:rPr>
            </w:pPr>
          </w:p>
          <w:p w:rsidR="00322059" w:rsidRDefault="00322059" w:rsidP="00DA725A">
            <w:pPr>
              <w:jc w:val="both"/>
              <w:rPr>
                <w:sz w:val="18"/>
                <w:szCs w:val="18"/>
              </w:rPr>
            </w:pPr>
          </w:p>
          <w:p w:rsidR="00322059" w:rsidRDefault="00322059" w:rsidP="00DA725A">
            <w:pPr>
              <w:jc w:val="both"/>
              <w:rPr>
                <w:sz w:val="18"/>
                <w:szCs w:val="18"/>
              </w:rPr>
            </w:pPr>
          </w:p>
          <w:p w:rsidR="00322059" w:rsidRDefault="00322059"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r w:rsidRPr="00E55B82">
              <w:rPr>
                <w:sz w:val="18"/>
                <w:szCs w:val="18"/>
              </w:rPr>
              <w:t>Compatibil</w:t>
            </w: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322059" w:rsidRDefault="00322059" w:rsidP="00DA725A">
            <w:pPr>
              <w:jc w:val="both"/>
              <w:rPr>
                <w:sz w:val="18"/>
                <w:szCs w:val="18"/>
              </w:rPr>
            </w:pPr>
          </w:p>
          <w:p w:rsidR="00D711BF" w:rsidRPr="00D82EE4" w:rsidRDefault="00D711BF" w:rsidP="00DA725A">
            <w:pPr>
              <w:jc w:val="both"/>
              <w:rPr>
                <w:b/>
                <w:sz w:val="18"/>
                <w:szCs w:val="18"/>
                <w:lang w:val="it-IT"/>
              </w:rPr>
            </w:pPr>
            <w:r w:rsidRPr="00E55B82">
              <w:rPr>
                <w:sz w:val="18"/>
                <w:szCs w:val="18"/>
              </w:rPr>
              <w:t>Compatibil</w:t>
            </w:r>
          </w:p>
        </w:tc>
        <w:tc>
          <w:tcPr>
            <w:tcW w:w="4253" w:type="dxa"/>
            <w:shd w:val="clear" w:color="auto" w:fill="auto"/>
          </w:tcPr>
          <w:p w:rsidR="00667B4D" w:rsidRPr="00E84D74" w:rsidRDefault="00667B4D" w:rsidP="00DA725A">
            <w:pPr>
              <w:autoSpaceDE w:val="0"/>
              <w:autoSpaceDN w:val="0"/>
              <w:adjustRightInd w:val="0"/>
              <w:jc w:val="center"/>
              <w:rPr>
                <w:b/>
                <w:bCs/>
                <w:i/>
                <w:iCs/>
                <w:sz w:val="18"/>
                <w:szCs w:val="18"/>
              </w:rPr>
            </w:pPr>
            <w:r w:rsidRPr="00E84D74">
              <w:rPr>
                <w:b/>
                <w:bCs/>
                <w:i/>
                <w:iCs/>
                <w:sz w:val="18"/>
                <w:szCs w:val="18"/>
              </w:rPr>
              <w:t>Article 37</w:t>
            </w:r>
          </w:p>
          <w:p w:rsidR="00667B4D" w:rsidRPr="00E84D74" w:rsidRDefault="00667B4D" w:rsidP="00DA725A">
            <w:pPr>
              <w:autoSpaceDE w:val="0"/>
              <w:autoSpaceDN w:val="0"/>
              <w:adjustRightInd w:val="0"/>
              <w:jc w:val="center"/>
              <w:rPr>
                <w:b/>
                <w:bCs/>
                <w:sz w:val="18"/>
                <w:szCs w:val="18"/>
              </w:rPr>
            </w:pPr>
            <w:r w:rsidRPr="00E84D74">
              <w:rPr>
                <w:b/>
                <w:bCs/>
                <w:sz w:val="18"/>
                <w:szCs w:val="18"/>
              </w:rPr>
              <w:t>Inputs and off-takes after the gas day</w:t>
            </w:r>
          </w:p>
          <w:p w:rsidR="00667B4D" w:rsidRPr="00E84D74" w:rsidRDefault="00667B4D" w:rsidP="00DA725A">
            <w:pPr>
              <w:autoSpaceDE w:val="0"/>
              <w:autoSpaceDN w:val="0"/>
              <w:adjustRightInd w:val="0"/>
              <w:rPr>
                <w:sz w:val="18"/>
                <w:szCs w:val="18"/>
              </w:rPr>
            </w:pPr>
            <w:r w:rsidRPr="00E84D74">
              <w:rPr>
                <w:sz w:val="18"/>
                <w:szCs w:val="18"/>
              </w:rPr>
              <w:t>1. No later than the end of gas day D+1, the transmission system operator shall provide each network user with an initial allocation for its inputs and off-takes on day D and an initial daily imbalance quantity.</w:t>
            </w:r>
          </w:p>
          <w:p w:rsidR="00667B4D" w:rsidRPr="00E84D74" w:rsidRDefault="00667B4D" w:rsidP="00DA725A">
            <w:pPr>
              <w:autoSpaceDE w:val="0"/>
              <w:autoSpaceDN w:val="0"/>
              <w:adjustRightInd w:val="0"/>
              <w:rPr>
                <w:sz w:val="18"/>
                <w:szCs w:val="18"/>
              </w:rPr>
            </w:pPr>
            <w:r w:rsidRPr="00E84D74">
              <w:rPr>
                <w:sz w:val="18"/>
                <w:szCs w:val="18"/>
              </w:rPr>
              <w:t>(a) For the information models base case and variant 1, all gas delivered to the distribution system shall be allocated;</w:t>
            </w:r>
          </w:p>
          <w:p w:rsidR="00667B4D" w:rsidRPr="00E84D74" w:rsidRDefault="00667B4D" w:rsidP="00DA725A">
            <w:pPr>
              <w:autoSpaceDE w:val="0"/>
              <w:autoSpaceDN w:val="0"/>
              <w:adjustRightInd w:val="0"/>
              <w:rPr>
                <w:sz w:val="18"/>
                <w:szCs w:val="18"/>
              </w:rPr>
            </w:pPr>
            <w:r w:rsidRPr="00E84D74">
              <w:rPr>
                <w:sz w:val="18"/>
                <w:szCs w:val="18"/>
              </w:rPr>
              <w:t>(b) For the information model variant 2, the non- daily metered off-takes shall equal the forecast of a network user’s non- daily metered off-takes provided day ahead;</w:t>
            </w:r>
          </w:p>
          <w:p w:rsidR="00667B4D" w:rsidRPr="00E84D74" w:rsidRDefault="00667B4D" w:rsidP="00DA725A">
            <w:pPr>
              <w:autoSpaceDE w:val="0"/>
              <w:autoSpaceDN w:val="0"/>
              <w:adjustRightInd w:val="0"/>
              <w:rPr>
                <w:sz w:val="18"/>
                <w:szCs w:val="18"/>
              </w:rPr>
            </w:pPr>
            <w:r w:rsidRPr="00E84D74">
              <w:rPr>
                <w:sz w:val="18"/>
                <w:szCs w:val="18"/>
              </w:rPr>
              <w:t>(c) For the information model variant 1, an initial  allocation and an initial daily imbalance quantity</w:t>
            </w:r>
          </w:p>
          <w:p w:rsidR="00667B4D" w:rsidRPr="00E84D74" w:rsidRDefault="00667B4D" w:rsidP="00DA725A">
            <w:pPr>
              <w:autoSpaceDE w:val="0"/>
              <w:autoSpaceDN w:val="0"/>
              <w:adjustRightInd w:val="0"/>
              <w:rPr>
                <w:sz w:val="18"/>
                <w:szCs w:val="18"/>
              </w:rPr>
            </w:pPr>
            <w:r w:rsidRPr="00E84D74">
              <w:rPr>
                <w:sz w:val="18"/>
                <w:szCs w:val="18"/>
              </w:rPr>
              <w:t>shall be considered as the final allocation and the final daily imbalance quantity.</w:t>
            </w:r>
          </w:p>
          <w:p w:rsidR="00667B4D" w:rsidRPr="00E84D74" w:rsidRDefault="00667B4D" w:rsidP="00DA725A">
            <w:pPr>
              <w:autoSpaceDE w:val="0"/>
              <w:autoSpaceDN w:val="0"/>
              <w:adjustRightInd w:val="0"/>
              <w:rPr>
                <w:sz w:val="18"/>
                <w:szCs w:val="18"/>
              </w:rPr>
            </w:pPr>
            <w:r w:rsidRPr="00E84D74">
              <w:rPr>
                <w:sz w:val="18"/>
                <w:szCs w:val="18"/>
              </w:rPr>
              <w:t>2. Where an interim measure referred to in Articles 47 to 51 applies, an initial allocation and an initial daily imbalance quantity can be provided within three gas days after gas day D in case it would not be technically or operationally feasible to comply with paragraph 1.</w:t>
            </w:r>
          </w:p>
          <w:p w:rsidR="00667B4D" w:rsidRPr="00E84D74" w:rsidRDefault="00667B4D" w:rsidP="00BC2F14">
            <w:pPr>
              <w:autoSpaceDE w:val="0"/>
              <w:autoSpaceDN w:val="0"/>
              <w:adjustRightInd w:val="0"/>
              <w:rPr>
                <w:b/>
                <w:bCs/>
                <w:sz w:val="18"/>
                <w:szCs w:val="18"/>
              </w:rPr>
            </w:pPr>
            <w:r w:rsidRPr="00E84D74">
              <w:rPr>
                <w:sz w:val="18"/>
                <w:szCs w:val="18"/>
              </w:rPr>
              <w:t xml:space="preserve">3. The transmission system operator shall provide each network user with the final allocation for its inputs and off-takes and the final daily imbalance quantity within </w:t>
            </w:r>
            <w:r w:rsidRPr="00E84D74">
              <w:rPr>
                <w:sz w:val="18"/>
                <w:szCs w:val="18"/>
              </w:rPr>
              <w:lastRenderedPageBreak/>
              <w:t>a period of time defined under the applicable national rules.</w:t>
            </w:r>
          </w:p>
        </w:tc>
      </w:tr>
      <w:tr w:rsidR="00667B4D" w:rsidRPr="00043955" w:rsidTr="00FC3840">
        <w:trPr>
          <w:trHeight w:val="1240"/>
        </w:trPr>
        <w:tc>
          <w:tcPr>
            <w:tcW w:w="5245"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38</w:t>
            </w:r>
          </w:p>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t>Analiz cost-beneficiu</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(1)   În termen de doi ani de la intrarea în vigoare a prezentului regulament, operatorii de sisteme de transport evaluează costurile și beneficiile: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creșterii frecvenței furnizării de informații către utilizatorii rețelei;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reducerii termenelor aferente furnizării de informații;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îmbunătățirii acurateței informațiilor furnizate. </w:t>
            </w:r>
          </w:p>
          <w:p w:rsidR="00667B4D" w:rsidRDefault="00667B4D" w:rsidP="00DA725A">
            <w:pPr>
              <w:jc w:val="both"/>
              <w:textAlignment w:val="baseline"/>
              <w:rPr>
                <w:sz w:val="18"/>
                <w:szCs w:val="18"/>
                <w:lang w:val="it-IT" w:eastAsia="en-US"/>
              </w:rPr>
            </w:pPr>
            <w:r w:rsidRPr="00981BD4">
              <w:rPr>
                <w:sz w:val="18"/>
                <w:szCs w:val="18"/>
                <w:lang w:val="it-IT" w:eastAsia="en-US"/>
              </w:rPr>
              <w:t>Analiza cost-beneficiu indică defalcarea costurilor și a beneficiilor pe categoriile de părți afectate. </w:t>
            </w:r>
          </w:p>
          <w:p w:rsidR="00322059" w:rsidRDefault="00322059" w:rsidP="00DA725A">
            <w:pPr>
              <w:jc w:val="both"/>
              <w:textAlignment w:val="baseline"/>
              <w:rPr>
                <w:rFonts w:ascii="Segoe UI" w:hAnsi="Segoe UI" w:cs="Segoe UI"/>
                <w:sz w:val="18"/>
                <w:szCs w:val="18"/>
                <w:lang w:val="it-IT" w:eastAsia="en-US"/>
              </w:rPr>
            </w:pPr>
          </w:p>
          <w:p w:rsidR="000B7DCA" w:rsidRDefault="000B7DCA" w:rsidP="00DA725A">
            <w:pPr>
              <w:jc w:val="both"/>
              <w:textAlignment w:val="baseline"/>
              <w:rPr>
                <w:rFonts w:ascii="Segoe UI" w:hAnsi="Segoe UI" w:cs="Segoe UI"/>
                <w:sz w:val="18"/>
                <w:szCs w:val="18"/>
                <w:lang w:val="it-IT" w:eastAsia="en-US"/>
              </w:rPr>
            </w:pPr>
          </w:p>
          <w:p w:rsidR="000B7DCA" w:rsidRPr="00981BD4" w:rsidRDefault="000B7DCA" w:rsidP="00DA725A">
            <w:pPr>
              <w:jc w:val="both"/>
              <w:textAlignment w:val="baseline"/>
              <w:rPr>
                <w:rFonts w:ascii="Segoe UI" w:hAnsi="Segoe UI" w:cs="Segoe UI"/>
                <w:sz w:val="18"/>
                <w:szCs w:val="18"/>
                <w:lang w:val="it-IT" w:eastAsia="en-US"/>
              </w:rPr>
            </w:pP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consultă părțile implicate cu privire la această evaluare, în colaborare cu operatorii de sisteme de distribuție, în cazul în care aceștia sunt afectați.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(3)   Pe baza rezultatelor consultării, autoritatea națională de reglementare decide cu privire la orice modificări relevante privind furnizarea de informații. </w:t>
            </w:r>
          </w:p>
          <w:p w:rsidR="00667B4D" w:rsidRPr="00981BD4" w:rsidRDefault="00667B4D" w:rsidP="00DA725A">
            <w:pPr>
              <w:jc w:val="center"/>
              <w:textAlignment w:val="baseline"/>
              <w:rPr>
                <w:b/>
                <w:bCs/>
                <w:sz w:val="18"/>
                <w:szCs w:val="18"/>
                <w:lang w:val="it-IT" w:eastAsia="en-US"/>
              </w:rPr>
            </w:pPr>
          </w:p>
        </w:tc>
        <w:tc>
          <w:tcPr>
            <w:tcW w:w="4962"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t>Secţiunea 7</w:t>
            </w:r>
          </w:p>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t>Analiza cost-beneficiu</w:t>
            </w:r>
          </w:p>
          <w:p w:rsidR="00237CF8" w:rsidRPr="00237CF8" w:rsidRDefault="00237CF8" w:rsidP="00237CF8">
            <w:pPr>
              <w:jc w:val="both"/>
              <w:textAlignment w:val="baseline"/>
              <w:rPr>
                <w:sz w:val="18"/>
                <w:szCs w:val="18"/>
                <w:lang w:val="ro-RO" w:eastAsia="en-US"/>
              </w:rPr>
            </w:pPr>
            <w:r w:rsidRPr="00237CF8">
              <w:rPr>
                <w:b/>
                <w:bCs/>
                <w:sz w:val="18"/>
                <w:szCs w:val="18"/>
                <w:lang w:val="ro-RO" w:eastAsia="en-US"/>
              </w:rPr>
              <w:t>574.</w:t>
            </w:r>
            <w:r w:rsidRPr="00237CF8">
              <w:rPr>
                <w:sz w:val="18"/>
                <w:szCs w:val="18"/>
                <w:lang w:val="ro-RO" w:eastAsia="en-US"/>
              </w:rPr>
              <w:t xml:space="preserve"> În termen de 2 ani de la intrarea în vigoare a prezentului Titlu, OST evaluează costurile şi beneficiile care reies din:</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1) creşterea şi frecvenţa transmiterii informaţiilor către utilizatorii de sistem;</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2) reducerii termenelor de transmitere a informaţiilor;</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3) îmbunătăţirii preciziei informaţiilor transmise.</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Analiza cost-beneficiu indică defalcarea costurilor şi a beneficiilor pe categoriile de părţi afectate.</w:t>
            </w:r>
          </w:p>
          <w:p w:rsidR="00237CF8" w:rsidRDefault="00237CF8" w:rsidP="00237CF8">
            <w:pPr>
              <w:jc w:val="both"/>
              <w:textAlignment w:val="baseline"/>
              <w:rPr>
                <w:b/>
                <w:bCs/>
                <w:sz w:val="18"/>
                <w:szCs w:val="18"/>
                <w:lang w:val="ro-RO" w:eastAsia="en-US"/>
              </w:rPr>
            </w:pPr>
          </w:p>
          <w:p w:rsidR="000B7DCA" w:rsidRDefault="000B7DCA" w:rsidP="00237CF8">
            <w:pPr>
              <w:jc w:val="both"/>
              <w:textAlignment w:val="baseline"/>
              <w:rPr>
                <w:b/>
                <w:bCs/>
                <w:sz w:val="18"/>
                <w:szCs w:val="18"/>
                <w:lang w:val="ro-RO" w:eastAsia="en-US"/>
              </w:rPr>
            </w:pPr>
          </w:p>
          <w:p w:rsidR="000B7DCA" w:rsidRDefault="000B7DCA" w:rsidP="00237CF8">
            <w:pPr>
              <w:jc w:val="both"/>
              <w:textAlignment w:val="baseline"/>
              <w:rPr>
                <w:b/>
                <w:bCs/>
                <w:sz w:val="18"/>
                <w:szCs w:val="18"/>
                <w:lang w:val="ro-RO" w:eastAsia="en-US"/>
              </w:rPr>
            </w:pPr>
          </w:p>
          <w:p w:rsidR="00237CF8" w:rsidRDefault="00237CF8" w:rsidP="00237CF8">
            <w:pPr>
              <w:jc w:val="both"/>
              <w:textAlignment w:val="baseline"/>
              <w:rPr>
                <w:sz w:val="18"/>
                <w:szCs w:val="18"/>
                <w:lang w:val="ro-RO" w:eastAsia="en-US"/>
              </w:rPr>
            </w:pPr>
            <w:r w:rsidRPr="00237CF8">
              <w:rPr>
                <w:b/>
                <w:bCs/>
                <w:sz w:val="18"/>
                <w:szCs w:val="18"/>
                <w:lang w:val="ro-RO" w:eastAsia="en-US"/>
              </w:rPr>
              <w:t>575.</w:t>
            </w:r>
            <w:r w:rsidRPr="00237CF8">
              <w:rPr>
                <w:sz w:val="18"/>
                <w:szCs w:val="18"/>
                <w:lang w:val="ro-RO" w:eastAsia="en-US"/>
              </w:rPr>
              <w:t xml:space="preserve"> OST consultă părţile implicate cu privire la această evaluare, în colaborare cu OSD, în cazul în care aceştia sunt afectaţi.</w:t>
            </w:r>
            <w:r w:rsidR="000B7DCA">
              <w:rPr>
                <w:sz w:val="18"/>
                <w:szCs w:val="18"/>
                <w:lang w:val="ro-RO" w:eastAsia="en-US"/>
              </w:rPr>
              <w:t xml:space="preserve">  </w:t>
            </w:r>
          </w:p>
          <w:p w:rsidR="000B7DCA" w:rsidRPr="00237CF8" w:rsidRDefault="000B7DCA" w:rsidP="00237CF8">
            <w:pPr>
              <w:jc w:val="both"/>
              <w:textAlignment w:val="baseline"/>
              <w:rPr>
                <w:sz w:val="18"/>
                <w:szCs w:val="18"/>
                <w:lang w:val="ro-RO" w:eastAsia="en-US"/>
              </w:rPr>
            </w:pPr>
          </w:p>
          <w:p w:rsidR="00237CF8" w:rsidRPr="00237CF8" w:rsidRDefault="00237CF8" w:rsidP="00237CF8">
            <w:pPr>
              <w:jc w:val="both"/>
              <w:textAlignment w:val="baseline"/>
              <w:rPr>
                <w:sz w:val="18"/>
                <w:szCs w:val="18"/>
                <w:lang w:val="ro-RO" w:eastAsia="en-US"/>
              </w:rPr>
            </w:pPr>
            <w:r w:rsidRPr="00237CF8">
              <w:rPr>
                <w:b/>
                <w:bCs/>
                <w:sz w:val="18"/>
                <w:szCs w:val="18"/>
                <w:lang w:val="ro-RO" w:eastAsia="en-US"/>
              </w:rPr>
              <w:t>576.</w:t>
            </w:r>
            <w:r w:rsidRPr="00237CF8">
              <w:rPr>
                <w:sz w:val="18"/>
                <w:szCs w:val="18"/>
                <w:lang w:val="ro-RO" w:eastAsia="en-US"/>
              </w:rPr>
              <w:t xml:space="preserve"> Pe baza rezultatelor consultării, Agenţia decide cu privire la orice schimbări utile privind prezentarea informaţiilor.</w:t>
            </w:r>
          </w:p>
          <w:p w:rsidR="00667B4D" w:rsidRPr="00237CF8" w:rsidRDefault="00667B4D" w:rsidP="00DA725A">
            <w:pPr>
              <w:jc w:val="center"/>
              <w:textAlignment w:val="baseline"/>
              <w:rPr>
                <w:b/>
                <w:bCs/>
                <w:sz w:val="18"/>
                <w:szCs w:val="18"/>
                <w:lang w:val="ro-RO" w:eastAsia="en-US"/>
              </w:rPr>
            </w:pPr>
          </w:p>
        </w:tc>
        <w:tc>
          <w:tcPr>
            <w:tcW w:w="1275" w:type="dxa"/>
            <w:shd w:val="clear" w:color="auto" w:fill="auto"/>
          </w:tcPr>
          <w:p w:rsidR="00667B4D" w:rsidRDefault="00667B4D" w:rsidP="00DA725A">
            <w:pPr>
              <w:jc w:val="both"/>
              <w:rPr>
                <w:b/>
                <w:sz w:val="18"/>
                <w:szCs w:val="18"/>
                <w:lang w:val="it-IT"/>
              </w:rPr>
            </w:pPr>
          </w:p>
          <w:p w:rsidR="00FC74E8" w:rsidRDefault="00FC74E8" w:rsidP="00DA725A">
            <w:pPr>
              <w:jc w:val="both"/>
              <w:rPr>
                <w:b/>
                <w:sz w:val="18"/>
                <w:szCs w:val="18"/>
                <w:lang w:val="it-IT"/>
              </w:rPr>
            </w:pPr>
          </w:p>
          <w:p w:rsidR="00FC74E8" w:rsidRDefault="00FC74E8" w:rsidP="00DA725A">
            <w:pPr>
              <w:jc w:val="both"/>
              <w:rPr>
                <w:sz w:val="18"/>
                <w:szCs w:val="18"/>
              </w:rPr>
            </w:pPr>
            <w:r w:rsidRPr="00E55B82">
              <w:rPr>
                <w:sz w:val="18"/>
                <w:szCs w:val="18"/>
              </w:rPr>
              <w:t>Compatibil</w:t>
            </w:r>
          </w:p>
          <w:p w:rsidR="00FC74E8" w:rsidRDefault="00FC74E8" w:rsidP="00DA725A">
            <w:pPr>
              <w:jc w:val="both"/>
              <w:rPr>
                <w:sz w:val="18"/>
                <w:szCs w:val="18"/>
              </w:rPr>
            </w:pPr>
          </w:p>
          <w:p w:rsidR="00FC74E8" w:rsidRDefault="00FC74E8" w:rsidP="00DA725A">
            <w:pPr>
              <w:jc w:val="both"/>
              <w:rPr>
                <w:sz w:val="18"/>
                <w:szCs w:val="18"/>
              </w:rPr>
            </w:pPr>
          </w:p>
          <w:p w:rsidR="00FC74E8" w:rsidRDefault="00FC74E8" w:rsidP="00DA725A">
            <w:pPr>
              <w:jc w:val="both"/>
              <w:rPr>
                <w:sz w:val="18"/>
                <w:szCs w:val="18"/>
              </w:rPr>
            </w:pPr>
          </w:p>
          <w:p w:rsidR="00FC74E8" w:rsidRDefault="00FC74E8" w:rsidP="00DA725A">
            <w:pPr>
              <w:jc w:val="both"/>
              <w:rPr>
                <w:sz w:val="18"/>
                <w:szCs w:val="18"/>
              </w:rPr>
            </w:pPr>
          </w:p>
          <w:p w:rsidR="00DB54CE" w:rsidRDefault="00DB54CE" w:rsidP="00DA725A">
            <w:pPr>
              <w:jc w:val="both"/>
              <w:rPr>
                <w:sz w:val="18"/>
                <w:szCs w:val="18"/>
              </w:rPr>
            </w:pPr>
          </w:p>
          <w:p w:rsidR="00322059" w:rsidRDefault="00322059" w:rsidP="00DA725A">
            <w:pPr>
              <w:jc w:val="both"/>
              <w:rPr>
                <w:sz w:val="18"/>
                <w:szCs w:val="18"/>
              </w:rPr>
            </w:pPr>
          </w:p>
          <w:p w:rsidR="00322059" w:rsidRDefault="00322059" w:rsidP="00DA725A">
            <w:pPr>
              <w:jc w:val="both"/>
              <w:rPr>
                <w:sz w:val="18"/>
                <w:szCs w:val="18"/>
              </w:rPr>
            </w:pPr>
          </w:p>
          <w:p w:rsidR="00FC74E8" w:rsidRDefault="00FC74E8" w:rsidP="00DA725A">
            <w:pPr>
              <w:jc w:val="both"/>
              <w:rPr>
                <w:sz w:val="18"/>
                <w:szCs w:val="18"/>
              </w:rPr>
            </w:pPr>
          </w:p>
          <w:p w:rsidR="000B7DCA" w:rsidRDefault="000B7DCA" w:rsidP="00DA725A">
            <w:pPr>
              <w:jc w:val="both"/>
              <w:rPr>
                <w:sz w:val="18"/>
                <w:szCs w:val="18"/>
              </w:rPr>
            </w:pPr>
          </w:p>
          <w:p w:rsidR="000B7DCA" w:rsidRDefault="000B7DCA" w:rsidP="00DA725A">
            <w:pPr>
              <w:jc w:val="both"/>
              <w:rPr>
                <w:sz w:val="18"/>
                <w:szCs w:val="18"/>
              </w:rPr>
            </w:pPr>
          </w:p>
          <w:p w:rsidR="00FC74E8" w:rsidRDefault="00FC74E8" w:rsidP="00DA725A">
            <w:pPr>
              <w:jc w:val="both"/>
              <w:rPr>
                <w:sz w:val="18"/>
                <w:szCs w:val="18"/>
              </w:rPr>
            </w:pPr>
            <w:r w:rsidRPr="00E55B82">
              <w:rPr>
                <w:sz w:val="18"/>
                <w:szCs w:val="18"/>
              </w:rPr>
              <w:t>Compatibil</w:t>
            </w:r>
          </w:p>
          <w:p w:rsidR="00FC74E8" w:rsidRDefault="00FC74E8" w:rsidP="00DA725A">
            <w:pPr>
              <w:jc w:val="both"/>
              <w:rPr>
                <w:sz w:val="18"/>
                <w:szCs w:val="18"/>
              </w:rPr>
            </w:pPr>
          </w:p>
          <w:p w:rsidR="004C3779" w:rsidRDefault="004C3779" w:rsidP="00DA725A">
            <w:pPr>
              <w:jc w:val="both"/>
              <w:rPr>
                <w:sz w:val="18"/>
                <w:szCs w:val="18"/>
              </w:rPr>
            </w:pPr>
          </w:p>
          <w:p w:rsidR="00FC74E8" w:rsidRPr="00D82EE4" w:rsidRDefault="00FC74E8" w:rsidP="00DA725A">
            <w:pPr>
              <w:jc w:val="both"/>
              <w:rPr>
                <w:b/>
                <w:sz w:val="18"/>
                <w:szCs w:val="18"/>
                <w:lang w:val="it-IT"/>
              </w:rPr>
            </w:pPr>
            <w:r w:rsidRPr="00E55B82">
              <w:rPr>
                <w:sz w:val="18"/>
                <w:szCs w:val="18"/>
              </w:rPr>
              <w:t>Compatibil</w:t>
            </w:r>
          </w:p>
        </w:tc>
        <w:tc>
          <w:tcPr>
            <w:tcW w:w="4253" w:type="dxa"/>
            <w:shd w:val="clear" w:color="auto" w:fill="auto"/>
          </w:tcPr>
          <w:p w:rsidR="00667B4D" w:rsidRPr="00E84D74" w:rsidRDefault="00667B4D" w:rsidP="00DA725A">
            <w:pPr>
              <w:autoSpaceDE w:val="0"/>
              <w:autoSpaceDN w:val="0"/>
              <w:adjustRightInd w:val="0"/>
              <w:jc w:val="center"/>
              <w:rPr>
                <w:b/>
                <w:bCs/>
                <w:i/>
                <w:iCs/>
                <w:sz w:val="18"/>
                <w:szCs w:val="18"/>
              </w:rPr>
            </w:pPr>
            <w:r w:rsidRPr="00E84D74">
              <w:rPr>
                <w:b/>
                <w:bCs/>
                <w:i/>
                <w:iCs/>
                <w:sz w:val="18"/>
                <w:szCs w:val="18"/>
              </w:rPr>
              <w:t>Article 38</w:t>
            </w:r>
          </w:p>
          <w:p w:rsidR="00667B4D" w:rsidRPr="00E84D74" w:rsidRDefault="00667B4D" w:rsidP="00DA725A">
            <w:pPr>
              <w:autoSpaceDE w:val="0"/>
              <w:autoSpaceDN w:val="0"/>
              <w:adjustRightInd w:val="0"/>
              <w:jc w:val="center"/>
              <w:rPr>
                <w:b/>
                <w:bCs/>
                <w:sz w:val="18"/>
                <w:szCs w:val="18"/>
              </w:rPr>
            </w:pPr>
            <w:r w:rsidRPr="00E84D74">
              <w:rPr>
                <w:b/>
                <w:bCs/>
                <w:sz w:val="18"/>
                <w:szCs w:val="18"/>
              </w:rPr>
              <w:t>Cost benefit analysis</w:t>
            </w:r>
          </w:p>
          <w:p w:rsidR="00667B4D" w:rsidRPr="00E84D74" w:rsidRDefault="00667B4D" w:rsidP="00DA725A">
            <w:pPr>
              <w:autoSpaceDE w:val="0"/>
              <w:autoSpaceDN w:val="0"/>
              <w:adjustRightInd w:val="0"/>
              <w:rPr>
                <w:sz w:val="18"/>
                <w:szCs w:val="18"/>
              </w:rPr>
            </w:pPr>
            <w:r w:rsidRPr="00E84D74">
              <w:rPr>
                <w:sz w:val="18"/>
                <w:szCs w:val="18"/>
              </w:rPr>
              <w:t xml:space="preserve">1. Within two years as from the </w:t>
            </w:r>
            <w:r w:rsidRPr="00E84D74">
              <w:rPr>
                <w:b/>
                <w:bCs/>
                <w:sz w:val="18"/>
                <w:szCs w:val="18"/>
              </w:rPr>
              <w:t xml:space="preserve">expiry of the deadline for transposition </w:t>
            </w:r>
            <w:r w:rsidRPr="00E84D74">
              <w:rPr>
                <w:sz w:val="18"/>
                <w:szCs w:val="18"/>
              </w:rPr>
              <w:t>of this Regulation, the</w:t>
            </w:r>
          </w:p>
          <w:p w:rsidR="00667B4D" w:rsidRPr="00E84D74" w:rsidRDefault="00667B4D" w:rsidP="00DA725A">
            <w:pPr>
              <w:autoSpaceDE w:val="0"/>
              <w:autoSpaceDN w:val="0"/>
              <w:adjustRightInd w:val="0"/>
              <w:rPr>
                <w:sz w:val="18"/>
                <w:szCs w:val="18"/>
              </w:rPr>
            </w:pPr>
            <w:r w:rsidRPr="00E84D74">
              <w:rPr>
                <w:sz w:val="18"/>
                <w:szCs w:val="18"/>
              </w:rPr>
              <w:t xml:space="preserve">transmission system operators shall assess the costs and benefits of: (a) increasing the frequency of information provision to network users; </w:t>
            </w:r>
          </w:p>
          <w:p w:rsidR="00667B4D" w:rsidRPr="00E84D74" w:rsidRDefault="00667B4D" w:rsidP="00DA725A">
            <w:pPr>
              <w:autoSpaceDE w:val="0"/>
              <w:autoSpaceDN w:val="0"/>
              <w:adjustRightInd w:val="0"/>
              <w:rPr>
                <w:sz w:val="18"/>
                <w:szCs w:val="18"/>
              </w:rPr>
            </w:pPr>
            <w:r w:rsidRPr="00E84D74">
              <w:rPr>
                <w:sz w:val="18"/>
                <w:szCs w:val="18"/>
              </w:rPr>
              <w:t xml:space="preserve">(b) reducing the related timelines of information provision; </w:t>
            </w:r>
          </w:p>
          <w:p w:rsidR="00667B4D" w:rsidRPr="00E84D74" w:rsidRDefault="00667B4D" w:rsidP="00DA725A">
            <w:pPr>
              <w:autoSpaceDE w:val="0"/>
              <w:autoSpaceDN w:val="0"/>
              <w:adjustRightInd w:val="0"/>
              <w:rPr>
                <w:sz w:val="18"/>
                <w:szCs w:val="18"/>
              </w:rPr>
            </w:pPr>
            <w:r w:rsidRPr="00E84D74">
              <w:rPr>
                <w:sz w:val="18"/>
                <w:szCs w:val="18"/>
              </w:rPr>
              <w:t>(c) improving the accuracy of the information provided.</w:t>
            </w:r>
          </w:p>
          <w:p w:rsidR="00667B4D" w:rsidRPr="00E84D74" w:rsidRDefault="00667B4D" w:rsidP="00DA725A">
            <w:pPr>
              <w:autoSpaceDE w:val="0"/>
              <w:autoSpaceDN w:val="0"/>
              <w:adjustRightInd w:val="0"/>
              <w:rPr>
                <w:sz w:val="18"/>
                <w:szCs w:val="18"/>
              </w:rPr>
            </w:pPr>
            <w:r w:rsidRPr="00E84D74">
              <w:rPr>
                <w:sz w:val="18"/>
                <w:szCs w:val="18"/>
              </w:rPr>
              <w:t>This cost benefit analysis shall specify the breakdown of costs and benefits among the categories of affected parties.</w:t>
            </w:r>
          </w:p>
          <w:p w:rsidR="00667B4D" w:rsidRPr="00E84D74" w:rsidRDefault="00667B4D" w:rsidP="00DA725A">
            <w:pPr>
              <w:autoSpaceDE w:val="0"/>
              <w:autoSpaceDN w:val="0"/>
              <w:adjustRightInd w:val="0"/>
              <w:rPr>
                <w:sz w:val="18"/>
                <w:szCs w:val="18"/>
              </w:rPr>
            </w:pPr>
            <w:r w:rsidRPr="00E84D74">
              <w:rPr>
                <w:sz w:val="18"/>
                <w:szCs w:val="18"/>
              </w:rPr>
              <w:t>2. The transmission system operator shall consult the stakeholders on this assessment, in cooperation with the distribution system operators where they are affected.</w:t>
            </w:r>
          </w:p>
          <w:p w:rsidR="00667B4D" w:rsidRPr="00E84D74" w:rsidRDefault="00667B4D" w:rsidP="00DA725A">
            <w:pPr>
              <w:autoSpaceDE w:val="0"/>
              <w:autoSpaceDN w:val="0"/>
              <w:adjustRightInd w:val="0"/>
              <w:rPr>
                <w:sz w:val="18"/>
                <w:szCs w:val="18"/>
              </w:rPr>
            </w:pPr>
            <w:r w:rsidRPr="00E84D74">
              <w:rPr>
                <w:sz w:val="18"/>
                <w:szCs w:val="18"/>
              </w:rPr>
              <w:t>3. On the basis of the consultation results, the national regulatory authority shall decide on any relevant changes of information provision.</w:t>
            </w:r>
          </w:p>
          <w:p w:rsidR="00667B4D" w:rsidRPr="00E84D74" w:rsidRDefault="00667B4D" w:rsidP="00DA725A">
            <w:pPr>
              <w:autoSpaceDE w:val="0"/>
              <w:autoSpaceDN w:val="0"/>
              <w:adjustRightInd w:val="0"/>
              <w:jc w:val="center"/>
              <w:rPr>
                <w:b/>
                <w:bCs/>
                <w:sz w:val="18"/>
                <w:szCs w:val="18"/>
              </w:rPr>
            </w:pPr>
          </w:p>
        </w:tc>
      </w:tr>
      <w:tr w:rsidR="00E9239C" w:rsidRPr="00043955" w:rsidTr="00FC3840">
        <w:trPr>
          <w:trHeight w:val="1240"/>
        </w:trPr>
        <w:tc>
          <w:tcPr>
            <w:tcW w:w="5245" w:type="dxa"/>
            <w:shd w:val="clear" w:color="auto" w:fill="auto"/>
          </w:tcPr>
          <w:p w:rsidR="00E9239C" w:rsidRPr="00981BD4" w:rsidRDefault="00E9239C"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39</w:t>
            </w:r>
          </w:p>
          <w:p w:rsidR="00E9239C" w:rsidRPr="00981BD4" w:rsidRDefault="00E9239C" w:rsidP="00DA725A">
            <w:pPr>
              <w:jc w:val="center"/>
              <w:textAlignment w:val="baseline"/>
              <w:rPr>
                <w:rFonts w:ascii="Segoe UI" w:hAnsi="Segoe UI" w:cs="Segoe UI"/>
                <w:sz w:val="18"/>
                <w:szCs w:val="18"/>
                <w:lang w:val="it-IT" w:eastAsia="en-US"/>
              </w:rPr>
            </w:pPr>
            <w:r w:rsidRPr="00981BD4">
              <w:rPr>
                <w:b/>
                <w:bCs/>
                <w:sz w:val="18"/>
                <w:szCs w:val="18"/>
                <w:lang w:val="it-IT" w:eastAsia="en-US"/>
              </w:rPr>
              <w:t>Obligațiile de informare ale operatorului (operatorilor) de sisteme de distribuție și ale părții (părților) responsabile cu prognozele față de operatorul de sistem de transport</w:t>
            </w:r>
          </w:p>
          <w:p w:rsidR="00E9239C" w:rsidRDefault="00E9239C" w:rsidP="00DA725A">
            <w:pPr>
              <w:jc w:val="both"/>
              <w:textAlignment w:val="baseline"/>
              <w:rPr>
                <w:sz w:val="18"/>
                <w:szCs w:val="18"/>
                <w:lang w:val="it-IT" w:eastAsia="en-US"/>
              </w:rPr>
            </w:pPr>
            <w:r w:rsidRPr="00981BD4">
              <w:rPr>
                <w:sz w:val="18"/>
                <w:szCs w:val="18"/>
                <w:lang w:val="it-IT" w:eastAsia="en-US"/>
              </w:rPr>
              <w:t>(1)   Fiecare operator de sistem de distribuție asociat unei zone de echilibrare și fiecare parte responsabilă cu prognozele oferă operatorului de sistem de transport din zona de echilibrare respectivă informațiile necesare în scopul transmiterii informațiilor către utilizatorii rețelei în temeiul prezentului regulament. Aceste informații includ intrările și ieșirile din sistemul de distribuție, indiferent dacă sistemul respectiv face parte sau nu dintr-o zonă de echilibrare. </w:t>
            </w:r>
          </w:p>
          <w:p w:rsidR="000B7DCA" w:rsidRDefault="000B7DCA" w:rsidP="00DA725A">
            <w:pPr>
              <w:jc w:val="both"/>
              <w:textAlignment w:val="baseline"/>
              <w:rPr>
                <w:sz w:val="18"/>
                <w:szCs w:val="18"/>
                <w:lang w:val="it-IT" w:eastAsia="en-US"/>
              </w:rPr>
            </w:pPr>
          </w:p>
          <w:p w:rsidR="00E9239C" w:rsidRPr="00981BD4" w:rsidRDefault="00E9239C" w:rsidP="00DA725A">
            <w:pPr>
              <w:jc w:val="both"/>
              <w:textAlignment w:val="baseline"/>
              <w:rPr>
                <w:rFonts w:ascii="Segoe UI" w:hAnsi="Segoe UI" w:cs="Segoe UI"/>
                <w:sz w:val="18"/>
                <w:szCs w:val="18"/>
                <w:lang w:val="it-IT" w:eastAsia="en-US"/>
              </w:rPr>
            </w:pPr>
            <w:r w:rsidRPr="00981BD4">
              <w:rPr>
                <w:sz w:val="18"/>
                <w:szCs w:val="18"/>
                <w:lang w:val="it-IT" w:eastAsia="en-US"/>
              </w:rPr>
              <w:t>(2)   Informațiile, formatul acestora și procedura pentru furnizarea lor sunt definite în colaborare de către operatorul de sistem de transport, cu operatorul de sistem de distribuție și cu partea responsabilă cu prognozele, după caz, pentru a asigura furnizarea adecvată de informații de către operatorul de sistem de transport către utilizatorii rețelei în temeiul prezentului capitol și în special criteriile stabilite la articolul 33 alineatul (1). </w:t>
            </w:r>
          </w:p>
          <w:p w:rsidR="00E9239C" w:rsidRDefault="00E9239C" w:rsidP="00DA725A">
            <w:pPr>
              <w:jc w:val="both"/>
              <w:textAlignment w:val="baseline"/>
              <w:rPr>
                <w:sz w:val="18"/>
                <w:szCs w:val="18"/>
                <w:lang w:val="it-IT" w:eastAsia="en-US"/>
              </w:rPr>
            </w:pPr>
            <w:r w:rsidRPr="00981BD4">
              <w:rPr>
                <w:sz w:val="18"/>
                <w:szCs w:val="18"/>
                <w:lang w:val="it-IT" w:eastAsia="en-US"/>
              </w:rPr>
              <w:t xml:space="preserve">(3)   Informațiile sunt furnizate operatorului de sistem de transport în același format precum cel definit în conformitate cu normele naționale aplicabile și trebuie să fie coerente cu formatul utilizat de operatorul </w:t>
            </w:r>
            <w:r w:rsidRPr="00981BD4">
              <w:rPr>
                <w:sz w:val="18"/>
                <w:szCs w:val="18"/>
                <w:lang w:val="it-IT" w:eastAsia="en-US"/>
              </w:rPr>
              <w:lastRenderedPageBreak/>
              <w:t>de sistem de transport pentru a furniza informațiile către utilizatorii rețelei. </w:t>
            </w:r>
          </w:p>
          <w:p w:rsidR="00322059" w:rsidRDefault="00322059" w:rsidP="00DA725A">
            <w:pPr>
              <w:jc w:val="both"/>
              <w:textAlignment w:val="baseline"/>
              <w:rPr>
                <w:rFonts w:ascii="Segoe UI" w:hAnsi="Segoe UI" w:cs="Segoe UI"/>
                <w:sz w:val="18"/>
                <w:szCs w:val="18"/>
                <w:lang w:val="it-IT" w:eastAsia="en-US"/>
              </w:rPr>
            </w:pPr>
          </w:p>
          <w:p w:rsidR="009F574D" w:rsidRDefault="009F574D" w:rsidP="00DA725A">
            <w:pPr>
              <w:jc w:val="both"/>
              <w:textAlignment w:val="baseline"/>
              <w:rPr>
                <w:rFonts w:ascii="Segoe UI" w:hAnsi="Segoe UI" w:cs="Segoe UI"/>
                <w:sz w:val="18"/>
                <w:szCs w:val="18"/>
                <w:lang w:val="it-IT" w:eastAsia="en-US"/>
              </w:rPr>
            </w:pPr>
          </w:p>
          <w:p w:rsidR="00E9239C" w:rsidRPr="00981BD4" w:rsidRDefault="00E9239C" w:rsidP="00DA725A">
            <w:pPr>
              <w:jc w:val="both"/>
              <w:textAlignment w:val="baseline"/>
              <w:rPr>
                <w:rFonts w:ascii="Segoe UI" w:hAnsi="Segoe UI" w:cs="Segoe UI"/>
                <w:sz w:val="18"/>
                <w:szCs w:val="18"/>
                <w:lang w:val="it-IT" w:eastAsia="en-US"/>
              </w:rPr>
            </w:pPr>
            <w:r w:rsidRPr="00981BD4">
              <w:rPr>
                <w:sz w:val="18"/>
                <w:szCs w:val="18"/>
                <w:lang w:val="it-IT" w:eastAsia="en-US"/>
              </w:rPr>
              <w:t>(4)   Autoritatea națională de reglementare poate solicita operatorului de sistem de transport, operatorului de sistem de distribuție și părții responsabile cu prognozele să propună, individual sau colectiv, un mecanism de stimulare cu privire la furnizarea unei prognoze exacte pentru ieșirile contorizate cu o frecvență care nu este zilnică ale unui utilizator al rețelei, care să îndeplinească criteriile stabilite pentru operatorul de sistem de transport la articolul 11 alineatul (4). </w:t>
            </w:r>
          </w:p>
          <w:p w:rsidR="00E9239C" w:rsidRPr="00981BD4" w:rsidRDefault="00E9239C" w:rsidP="00DA725A">
            <w:pPr>
              <w:textAlignment w:val="baseline"/>
              <w:rPr>
                <w:b/>
                <w:bCs/>
                <w:sz w:val="18"/>
                <w:szCs w:val="18"/>
                <w:lang w:val="it-IT" w:eastAsia="en-US"/>
              </w:rPr>
            </w:pPr>
            <w:r w:rsidRPr="00981BD4">
              <w:rPr>
                <w:sz w:val="18"/>
                <w:szCs w:val="18"/>
                <w:lang w:val="it-IT" w:eastAsia="en-US"/>
              </w:rPr>
              <w:t>(5)   Autoritatea națională de reglementare desemnează partea responsabilă cu prognozele într-o zonă de echilibrare în urma consultării prealabile a operatorilor de sisteme de transport și a operatorilor de sisteme de distribuție în cauză. Partea responsabilă cu prognozele este responsabilă cu prognozarea ieșirilor contorizate cu o frecvență care nu este zilnică ale unui utilizator al rețelei și, după caz, a alocării lor ulterioare. Aceasta poate fi un operator de sistem de transport, un operator de sistem de distribuție sau o parte terță. </w:t>
            </w:r>
          </w:p>
        </w:tc>
        <w:tc>
          <w:tcPr>
            <w:tcW w:w="4962" w:type="dxa"/>
            <w:shd w:val="clear" w:color="auto" w:fill="auto"/>
          </w:tcPr>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lastRenderedPageBreak/>
              <w:t>Secţiunea 7</w:t>
            </w:r>
          </w:p>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t>Obligaţiile de informare ale OSD şi ale părţii (părţilor) responsabile</w:t>
            </w:r>
            <w:r w:rsidR="002302F5" w:rsidRPr="00670674">
              <w:rPr>
                <w:b/>
                <w:bCs/>
                <w:sz w:val="18"/>
                <w:szCs w:val="18"/>
                <w:lang w:val="it-IT" w:eastAsia="en-US"/>
              </w:rPr>
              <w:t xml:space="preserve"> </w:t>
            </w:r>
            <w:r w:rsidRPr="00D7118D">
              <w:rPr>
                <w:b/>
                <w:bCs/>
                <w:sz w:val="18"/>
                <w:szCs w:val="18"/>
                <w:lang w:val="ro-RO" w:eastAsia="en-US"/>
              </w:rPr>
              <w:t>de prognozare faţă de OST</w:t>
            </w:r>
          </w:p>
          <w:p w:rsidR="002302F5" w:rsidRDefault="002302F5" w:rsidP="00322059">
            <w:pPr>
              <w:jc w:val="both"/>
              <w:textAlignment w:val="baseline"/>
              <w:rPr>
                <w:b/>
                <w:bCs/>
                <w:sz w:val="18"/>
                <w:szCs w:val="18"/>
                <w:lang w:val="ro-RO" w:eastAsia="en-US"/>
              </w:rPr>
            </w:pPr>
          </w:p>
          <w:p w:rsidR="00D7118D" w:rsidRDefault="00D7118D" w:rsidP="00322059">
            <w:pPr>
              <w:jc w:val="both"/>
              <w:textAlignment w:val="baseline"/>
              <w:rPr>
                <w:bCs/>
                <w:sz w:val="18"/>
                <w:szCs w:val="18"/>
                <w:lang w:val="ro-RO" w:eastAsia="en-US"/>
              </w:rPr>
            </w:pPr>
            <w:r w:rsidRPr="00D7118D">
              <w:rPr>
                <w:b/>
                <w:bCs/>
                <w:sz w:val="18"/>
                <w:szCs w:val="18"/>
                <w:lang w:val="ro-RO" w:eastAsia="en-US"/>
              </w:rPr>
              <w:t>577.</w:t>
            </w:r>
            <w:r w:rsidRPr="00D7118D">
              <w:rPr>
                <w:bCs/>
                <w:sz w:val="18"/>
                <w:szCs w:val="18"/>
                <w:lang w:val="ro-RO" w:eastAsia="en-US"/>
              </w:rPr>
              <w:t xml:space="preserve"> Fiecare OSD asociat unei zone de echilibrare şi fiecare parte responsabilă de prognozare oferă OST din zona de echilibrare respectivă informaţiile necesare în scopul prezentării către utilizatorii de sistem în temeiul prezentului Titlu. Aceste informaţii includ intrările şi ieşirile din sistemul de distribuţie, indiferent dacă sistemul respectiv face parte sau nu dintr-o zonă de echilibrare.</w:t>
            </w:r>
          </w:p>
          <w:p w:rsidR="00983016" w:rsidRDefault="00983016" w:rsidP="00322059">
            <w:pPr>
              <w:jc w:val="both"/>
              <w:textAlignment w:val="baseline"/>
              <w:rPr>
                <w:bCs/>
                <w:sz w:val="18"/>
                <w:szCs w:val="18"/>
                <w:lang w:val="ro-RO" w:eastAsia="en-US"/>
              </w:rPr>
            </w:pPr>
          </w:p>
          <w:p w:rsidR="000B7DCA" w:rsidRPr="009F574D" w:rsidRDefault="000B7DCA" w:rsidP="00322059">
            <w:pPr>
              <w:jc w:val="both"/>
              <w:textAlignment w:val="baseline"/>
              <w:rPr>
                <w:bCs/>
                <w:sz w:val="18"/>
                <w:szCs w:val="18"/>
                <w:lang w:val="ro-RO" w:eastAsia="en-US"/>
              </w:rPr>
            </w:pPr>
          </w:p>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t>578.</w:t>
            </w:r>
            <w:r w:rsidRPr="00D7118D">
              <w:rPr>
                <w:bCs/>
                <w:sz w:val="18"/>
                <w:szCs w:val="18"/>
                <w:lang w:val="ro-RO" w:eastAsia="en-US"/>
              </w:rPr>
              <w:t xml:space="preserve"> Informaţiile, formatul acestora şi procedura pentru transmiterea lor sunt stabilite în colaborare de către OST, OSD şi partea responsabilă de prognozare, după caz, pentru a asigura furnizarea adecvată a informaţiilor de către OST utilizatorilor de sistem în temeiul prezentului Capitol şi în special criteriilor stabilite în pct.553.</w:t>
            </w:r>
          </w:p>
          <w:p w:rsidR="00D7118D" w:rsidRDefault="00D7118D" w:rsidP="00322059">
            <w:pPr>
              <w:jc w:val="both"/>
              <w:textAlignment w:val="baseline"/>
              <w:rPr>
                <w:b/>
                <w:bCs/>
                <w:sz w:val="18"/>
                <w:szCs w:val="18"/>
                <w:lang w:val="ro-RO" w:eastAsia="en-US"/>
              </w:rPr>
            </w:pPr>
          </w:p>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t>579.</w:t>
            </w:r>
            <w:r w:rsidRPr="00D7118D">
              <w:rPr>
                <w:bCs/>
                <w:sz w:val="18"/>
                <w:szCs w:val="18"/>
                <w:lang w:val="ro-RO" w:eastAsia="en-US"/>
              </w:rPr>
              <w:t xml:space="preserve"> Informaţiile sunt transmise de către OSD şi partea (părţile) responsabile de echilibrare OST în acelaşi format precum cel definit în conformitate cu Regulamentul privind accesul la reţelele de transport al gazelor naturale şi gestionarea congestiilor aprobat </w:t>
            </w:r>
            <w:r w:rsidRPr="00D7118D">
              <w:rPr>
                <w:bCs/>
                <w:sz w:val="18"/>
                <w:szCs w:val="18"/>
                <w:lang w:val="ro-RO" w:eastAsia="en-US"/>
              </w:rPr>
              <w:lastRenderedPageBreak/>
              <w:t xml:space="preserve">prin </w:t>
            </w:r>
            <w:hyperlink r:id="rId97" w:history="1">
              <w:r w:rsidRPr="00D7118D">
                <w:rPr>
                  <w:rStyle w:val="Hyperlink"/>
                  <w:bCs/>
                  <w:sz w:val="18"/>
                  <w:szCs w:val="18"/>
                  <w:lang w:val="ro-RO" w:eastAsia="en-US"/>
                </w:rPr>
                <w:t>Hotărârea ANRE nr.421/2019</w:t>
              </w:r>
            </w:hyperlink>
            <w:r w:rsidRPr="00D7118D">
              <w:rPr>
                <w:bCs/>
                <w:sz w:val="18"/>
                <w:szCs w:val="18"/>
                <w:lang w:val="ro-RO" w:eastAsia="en-US"/>
              </w:rPr>
              <w:t xml:space="preserve">, Regulile pieţei gazelor naturale aprobate prin </w:t>
            </w:r>
            <w:hyperlink r:id="rId98" w:history="1">
              <w:r w:rsidRPr="00D7118D">
                <w:rPr>
                  <w:rStyle w:val="Hyperlink"/>
                  <w:bCs/>
                  <w:sz w:val="18"/>
                  <w:szCs w:val="18"/>
                  <w:lang w:val="ro-RO" w:eastAsia="en-US"/>
                </w:rPr>
                <w:t>Hotărârea ANRE nr.534/2019</w:t>
              </w:r>
            </w:hyperlink>
            <w:r w:rsidRPr="00D7118D">
              <w:rPr>
                <w:bCs/>
                <w:sz w:val="18"/>
                <w:szCs w:val="18"/>
                <w:lang w:val="ro-RO" w:eastAsia="en-US"/>
              </w:rPr>
              <w:t xml:space="preserve"> şi trebuie să fie coerente cu formatul utilizat de OST pentru a transmite informaţiile către utilizatorii de sistem.</w:t>
            </w:r>
          </w:p>
          <w:p w:rsidR="00D7118D" w:rsidRDefault="00D7118D" w:rsidP="00322059">
            <w:pPr>
              <w:jc w:val="both"/>
              <w:textAlignment w:val="baseline"/>
              <w:rPr>
                <w:bCs/>
                <w:sz w:val="18"/>
                <w:szCs w:val="18"/>
                <w:lang w:val="ro-RO" w:eastAsia="en-US"/>
              </w:rPr>
            </w:pPr>
            <w:r w:rsidRPr="00D7118D">
              <w:rPr>
                <w:b/>
                <w:bCs/>
                <w:sz w:val="18"/>
                <w:szCs w:val="18"/>
                <w:lang w:val="ro-RO" w:eastAsia="en-US"/>
              </w:rPr>
              <w:t>580.</w:t>
            </w:r>
            <w:r w:rsidRPr="00D7118D">
              <w:rPr>
                <w:bCs/>
                <w:sz w:val="18"/>
                <w:szCs w:val="18"/>
                <w:lang w:val="ro-RO" w:eastAsia="en-US"/>
              </w:rPr>
              <w:t xml:space="preserve"> Agenţia poate solicita OST, OSD şi părţii responsabile de prognozare să propună, individual sau colectiv, un mecanism de stimulare cu privire la transmiterea unei prognoze exacte cu privire la ieşirile cu măsurare nonzilnică ale unui utilizator de sistem, care să îndeplinească criteriile stabilite pentru OST în pct.586.</w:t>
            </w:r>
          </w:p>
          <w:p w:rsidR="000B7DCA" w:rsidRDefault="000B7DCA" w:rsidP="00322059">
            <w:pPr>
              <w:jc w:val="both"/>
              <w:textAlignment w:val="baseline"/>
              <w:rPr>
                <w:bCs/>
                <w:sz w:val="18"/>
                <w:szCs w:val="18"/>
                <w:lang w:val="ro-RO" w:eastAsia="en-US"/>
              </w:rPr>
            </w:pPr>
          </w:p>
          <w:p w:rsidR="000B7DCA" w:rsidRDefault="000B7DCA" w:rsidP="00322059">
            <w:pPr>
              <w:jc w:val="both"/>
              <w:textAlignment w:val="baseline"/>
              <w:rPr>
                <w:bCs/>
                <w:sz w:val="18"/>
                <w:szCs w:val="18"/>
                <w:lang w:val="ro-RO" w:eastAsia="en-US"/>
              </w:rPr>
            </w:pPr>
          </w:p>
          <w:p w:rsidR="00E9239C" w:rsidRPr="00981BD4" w:rsidRDefault="00D7118D" w:rsidP="00322059">
            <w:pPr>
              <w:jc w:val="both"/>
              <w:textAlignment w:val="baseline"/>
              <w:rPr>
                <w:rFonts w:ascii="Segoe UI" w:hAnsi="Segoe UI" w:cs="Segoe UI"/>
                <w:sz w:val="18"/>
                <w:szCs w:val="18"/>
                <w:lang w:val="it-IT" w:eastAsia="en-US"/>
              </w:rPr>
            </w:pPr>
            <w:r w:rsidRPr="00D7118D">
              <w:rPr>
                <w:b/>
                <w:bCs/>
                <w:sz w:val="18"/>
                <w:szCs w:val="18"/>
                <w:lang w:val="ro-RO" w:eastAsia="en-US"/>
              </w:rPr>
              <w:t>581.</w:t>
            </w:r>
            <w:r w:rsidRPr="00D7118D">
              <w:rPr>
                <w:bCs/>
                <w:sz w:val="18"/>
                <w:szCs w:val="18"/>
                <w:lang w:val="ro-RO" w:eastAsia="en-US"/>
              </w:rPr>
              <w:t xml:space="preserve"> Agenţia desemnează partea responsabilă de prognozare într-o zonă de echilibrare după consultarea prealabilă a OST şi OSD în cauză. Sarcina părţii responsabile de prognozare este prognozarea ieşirilor cu măsurare nonzilnică ale unui utilizator de sistem şi, după caz, alocării lor ulterioare. Aceasta poate fi un OST, un OSD sau o parte terţă.</w:t>
            </w:r>
            <w:r w:rsidR="00E9239C" w:rsidRPr="00981BD4">
              <w:rPr>
                <w:sz w:val="18"/>
                <w:szCs w:val="18"/>
                <w:lang w:val="it-IT" w:eastAsia="en-US"/>
              </w:rPr>
              <w:t> </w:t>
            </w:r>
          </w:p>
          <w:p w:rsidR="00E9239C" w:rsidRPr="00BE464B" w:rsidRDefault="00E9239C" w:rsidP="00322059">
            <w:pPr>
              <w:jc w:val="both"/>
              <w:textAlignment w:val="baseline"/>
              <w:rPr>
                <w:b/>
                <w:bCs/>
                <w:sz w:val="18"/>
                <w:szCs w:val="18"/>
                <w:lang w:val="ro-MD" w:eastAsia="en-US"/>
              </w:rPr>
            </w:pPr>
          </w:p>
        </w:tc>
        <w:tc>
          <w:tcPr>
            <w:tcW w:w="1275" w:type="dxa"/>
            <w:shd w:val="clear" w:color="auto" w:fill="auto"/>
          </w:tcPr>
          <w:p w:rsidR="007D035A" w:rsidRDefault="007D035A" w:rsidP="00322059">
            <w:pPr>
              <w:jc w:val="both"/>
              <w:rPr>
                <w:b/>
                <w:sz w:val="18"/>
                <w:szCs w:val="18"/>
                <w:lang w:val="it-IT"/>
              </w:rPr>
            </w:pPr>
          </w:p>
          <w:p w:rsidR="00235ACE" w:rsidRDefault="00235ACE" w:rsidP="00322059">
            <w:pPr>
              <w:jc w:val="both"/>
              <w:rPr>
                <w:b/>
                <w:sz w:val="18"/>
                <w:szCs w:val="18"/>
                <w:lang w:val="it-IT"/>
              </w:rPr>
            </w:pPr>
          </w:p>
          <w:p w:rsidR="00235ACE" w:rsidRDefault="00235ACE" w:rsidP="00322059">
            <w:pPr>
              <w:jc w:val="both"/>
              <w:rPr>
                <w:b/>
                <w:sz w:val="18"/>
                <w:szCs w:val="18"/>
                <w:lang w:val="it-IT"/>
              </w:rPr>
            </w:pPr>
          </w:p>
          <w:p w:rsidR="00235ACE" w:rsidRDefault="00235ACE" w:rsidP="00322059">
            <w:pPr>
              <w:jc w:val="both"/>
              <w:rPr>
                <w:b/>
                <w:sz w:val="18"/>
                <w:szCs w:val="18"/>
                <w:lang w:val="it-IT"/>
              </w:rPr>
            </w:pPr>
          </w:p>
          <w:p w:rsidR="007D035A" w:rsidRPr="00981BD4" w:rsidRDefault="00DB54CE" w:rsidP="00322059">
            <w:pPr>
              <w:jc w:val="both"/>
              <w:rPr>
                <w:sz w:val="18"/>
                <w:szCs w:val="18"/>
                <w:lang w:val="it-IT"/>
              </w:rPr>
            </w:pPr>
            <w:r w:rsidRPr="00380C00">
              <w:rPr>
                <w:sz w:val="18"/>
                <w:szCs w:val="18"/>
                <w:lang w:val="it-IT"/>
              </w:rPr>
              <w:t>C</w:t>
            </w:r>
            <w:r w:rsidR="007D035A" w:rsidRPr="00981BD4">
              <w:rPr>
                <w:sz w:val="18"/>
                <w:szCs w:val="18"/>
                <w:lang w:val="it-IT"/>
              </w:rPr>
              <w:t>ompatibil</w:t>
            </w: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DB54CE" w:rsidRPr="00981BD4" w:rsidRDefault="00DB54CE" w:rsidP="00322059">
            <w:pPr>
              <w:jc w:val="both"/>
              <w:rPr>
                <w:sz w:val="18"/>
                <w:szCs w:val="18"/>
                <w:lang w:val="it-IT"/>
              </w:rPr>
            </w:pPr>
          </w:p>
          <w:p w:rsidR="007D035A" w:rsidRPr="00981BD4" w:rsidRDefault="007D035A" w:rsidP="00322059">
            <w:pPr>
              <w:jc w:val="both"/>
              <w:rPr>
                <w:sz w:val="18"/>
                <w:szCs w:val="18"/>
                <w:lang w:val="it-IT"/>
              </w:rPr>
            </w:pPr>
          </w:p>
          <w:p w:rsidR="00DB54CE" w:rsidRDefault="00DB54CE" w:rsidP="00322059">
            <w:pPr>
              <w:jc w:val="both"/>
              <w:rPr>
                <w:sz w:val="18"/>
                <w:szCs w:val="18"/>
                <w:lang w:val="it-IT"/>
              </w:rPr>
            </w:pPr>
          </w:p>
          <w:p w:rsidR="00322059" w:rsidRDefault="00322059" w:rsidP="00322059">
            <w:pPr>
              <w:jc w:val="both"/>
              <w:rPr>
                <w:sz w:val="18"/>
                <w:szCs w:val="18"/>
                <w:lang w:val="it-IT"/>
              </w:rPr>
            </w:pPr>
          </w:p>
          <w:p w:rsidR="009F574D" w:rsidRDefault="009F574D" w:rsidP="00322059">
            <w:pPr>
              <w:jc w:val="both"/>
              <w:rPr>
                <w:sz w:val="18"/>
                <w:szCs w:val="18"/>
                <w:lang w:val="it-IT"/>
              </w:rPr>
            </w:pPr>
          </w:p>
          <w:p w:rsidR="007D035A" w:rsidRPr="00981BD4" w:rsidRDefault="007D035A" w:rsidP="00322059">
            <w:pPr>
              <w:jc w:val="both"/>
              <w:rPr>
                <w:sz w:val="18"/>
                <w:szCs w:val="18"/>
                <w:lang w:val="it-IT"/>
              </w:rPr>
            </w:pPr>
            <w:r w:rsidRPr="00981BD4">
              <w:rPr>
                <w:sz w:val="18"/>
                <w:szCs w:val="18"/>
                <w:lang w:val="it-IT"/>
              </w:rPr>
              <w:t>Compatibil</w:t>
            </w: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r w:rsidRPr="00981BD4">
              <w:rPr>
                <w:sz w:val="18"/>
                <w:szCs w:val="18"/>
                <w:lang w:val="it-IT"/>
              </w:rPr>
              <w:t>Compatibil</w:t>
            </w: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Default="007D035A" w:rsidP="00322059">
            <w:pPr>
              <w:jc w:val="both"/>
              <w:rPr>
                <w:sz w:val="18"/>
                <w:szCs w:val="18"/>
                <w:lang w:val="it-IT"/>
              </w:rPr>
            </w:pPr>
          </w:p>
          <w:p w:rsidR="009F574D" w:rsidRPr="00981BD4" w:rsidRDefault="009F574D" w:rsidP="00322059">
            <w:pPr>
              <w:jc w:val="both"/>
              <w:rPr>
                <w:sz w:val="18"/>
                <w:szCs w:val="18"/>
                <w:lang w:val="it-IT"/>
              </w:rPr>
            </w:pPr>
          </w:p>
          <w:p w:rsidR="00DB54CE" w:rsidRDefault="00DB54CE" w:rsidP="00322059">
            <w:pPr>
              <w:jc w:val="both"/>
              <w:rPr>
                <w:sz w:val="18"/>
                <w:szCs w:val="18"/>
                <w:lang w:val="it-IT"/>
              </w:rPr>
            </w:pPr>
          </w:p>
          <w:p w:rsidR="009F574D" w:rsidRDefault="009F574D" w:rsidP="00322059">
            <w:pPr>
              <w:jc w:val="both"/>
              <w:rPr>
                <w:sz w:val="18"/>
                <w:szCs w:val="18"/>
                <w:lang w:val="it-IT"/>
              </w:rPr>
            </w:pPr>
          </w:p>
          <w:p w:rsidR="007D035A" w:rsidRPr="00981BD4" w:rsidRDefault="007D035A" w:rsidP="00322059">
            <w:pPr>
              <w:jc w:val="both"/>
              <w:rPr>
                <w:sz w:val="18"/>
                <w:szCs w:val="18"/>
                <w:lang w:val="it-IT"/>
              </w:rPr>
            </w:pPr>
            <w:r w:rsidRPr="00981BD4">
              <w:rPr>
                <w:sz w:val="18"/>
                <w:szCs w:val="18"/>
                <w:lang w:val="it-IT"/>
              </w:rPr>
              <w:t>Compatibil</w:t>
            </w:r>
          </w:p>
          <w:p w:rsidR="00DB54CE" w:rsidRPr="00981BD4" w:rsidRDefault="00DB54CE" w:rsidP="00322059">
            <w:pPr>
              <w:jc w:val="both"/>
              <w:rPr>
                <w:sz w:val="18"/>
                <w:szCs w:val="18"/>
                <w:lang w:val="it-IT"/>
              </w:rPr>
            </w:pPr>
          </w:p>
          <w:p w:rsidR="00DB54CE" w:rsidRPr="00981BD4" w:rsidRDefault="00DB54CE" w:rsidP="00322059">
            <w:pPr>
              <w:jc w:val="both"/>
              <w:rPr>
                <w:sz w:val="18"/>
                <w:szCs w:val="18"/>
                <w:lang w:val="it-IT"/>
              </w:rPr>
            </w:pPr>
          </w:p>
          <w:p w:rsidR="00DB54CE" w:rsidRPr="00981BD4" w:rsidRDefault="00DB54CE" w:rsidP="00322059">
            <w:pPr>
              <w:jc w:val="both"/>
              <w:rPr>
                <w:sz w:val="18"/>
                <w:szCs w:val="18"/>
                <w:lang w:val="it-IT"/>
              </w:rPr>
            </w:pPr>
          </w:p>
          <w:p w:rsidR="00DB54CE" w:rsidRPr="00981BD4" w:rsidRDefault="00DB54CE" w:rsidP="00322059">
            <w:pPr>
              <w:jc w:val="both"/>
              <w:rPr>
                <w:sz w:val="18"/>
                <w:szCs w:val="18"/>
                <w:lang w:val="it-IT"/>
              </w:rPr>
            </w:pPr>
          </w:p>
          <w:p w:rsidR="00DB54CE" w:rsidRDefault="00DB54CE" w:rsidP="00322059">
            <w:pPr>
              <w:jc w:val="both"/>
              <w:rPr>
                <w:sz w:val="18"/>
                <w:szCs w:val="18"/>
                <w:lang w:val="it-IT"/>
              </w:rPr>
            </w:pPr>
          </w:p>
          <w:p w:rsidR="000B7DCA" w:rsidRPr="00981BD4" w:rsidRDefault="000B7DCA" w:rsidP="00322059">
            <w:pPr>
              <w:jc w:val="both"/>
              <w:rPr>
                <w:sz w:val="18"/>
                <w:szCs w:val="18"/>
                <w:lang w:val="it-IT"/>
              </w:rPr>
            </w:pPr>
          </w:p>
          <w:p w:rsidR="00DB54CE" w:rsidRPr="00D82EE4" w:rsidRDefault="00DB54CE" w:rsidP="00322059">
            <w:pPr>
              <w:jc w:val="both"/>
              <w:rPr>
                <w:b/>
                <w:sz w:val="18"/>
                <w:szCs w:val="18"/>
                <w:lang w:val="it-IT"/>
              </w:rPr>
            </w:pPr>
            <w:r w:rsidRPr="00981BD4">
              <w:rPr>
                <w:sz w:val="18"/>
                <w:szCs w:val="18"/>
                <w:lang w:val="it-IT"/>
              </w:rPr>
              <w:t>Compatibil</w:t>
            </w:r>
          </w:p>
        </w:tc>
        <w:tc>
          <w:tcPr>
            <w:tcW w:w="4253" w:type="dxa"/>
            <w:shd w:val="clear" w:color="auto" w:fill="auto"/>
          </w:tcPr>
          <w:p w:rsidR="00E9239C" w:rsidRPr="00E84D74" w:rsidRDefault="00E9239C" w:rsidP="00322059">
            <w:pPr>
              <w:autoSpaceDE w:val="0"/>
              <w:autoSpaceDN w:val="0"/>
              <w:adjustRightInd w:val="0"/>
              <w:jc w:val="both"/>
              <w:rPr>
                <w:b/>
                <w:bCs/>
                <w:i/>
                <w:iCs/>
                <w:sz w:val="18"/>
                <w:szCs w:val="18"/>
              </w:rPr>
            </w:pPr>
            <w:r w:rsidRPr="00E84D74">
              <w:rPr>
                <w:b/>
                <w:bCs/>
                <w:i/>
                <w:iCs/>
                <w:sz w:val="18"/>
                <w:szCs w:val="18"/>
              </w:rPr>
              <w:lastRenderedPageBreak/>
              <w:t>Article 39</w:t>
            </w:r>
          </w:p>
          <w:p w:rsidR="00E9239C" w:rsidRPr="00E84D74" w:rsidRDefault="00E9239C" w:rsidP="00322059">
            <w:pPr>
              <w:autoSpaceDE w:val="0"/>
              <w:autoSpaceDN w:val="0"/>
              <w:adjustRightInd w:val="0"/>
              <w:jc w:val="both"/>
              <w:rPr>
                <w:b/>
                <w:bCs/>
                <w:sz w:val="18"/>
                <w:szCs w:val="18"/>
              </w:rPr>
            </w:pPr>
            <w:r w:rsidRPr="00E84D74">
              <w:rPr>
                <w:b/>
                <w:bCs/>
                <w:sz w:val="18"/>
                <w:szCs w:val="18"/>
              </w:rPr>
              <w:t>Information obligations of distribution system operator(s) and forecasting party(-ies)</w:t>
            </w:r>
          </w:p>
          <w:p w:rsidR="00E9239C" w:rsidRPr="00E84D74" w:rsidRDefault="00E9239C" w:rsidP="00322059">
            <w:pPr>
              <w:autoSpaceDE w:val="0"/>
              <w:autoSpaceDN w:val="0"/>
              <w:adjustRightInd w:val="0"/>
              <w:jc w:val="both"/>
              <w:rPr>
                <w:b/>
                <w:bCs/>
                <w:sz w:val="18"/>
                <w:szCs w:val="18"/>
              </w:rPr>
            </w:pPr>
            <w:r w:rsidRPr="00E84D74">
              <w:rPr>
                <w:b/>
                <w:bCs/>
                <w:sz w:val="18"/>
                <w:szCs w:val="18"/>
              </w:rPr>
              <w:t>towards the transmission system operator</w:t>
            </w:r>
          </w:p>
          <w:p w:rsidR="00E9239C" w:rsidRDefault="00E9239C" w:rsidP="009F574D">
            <w:pPr>
              <w:pStyle w:val="ListParagraph"/>
              <w:numPr>
                <w:ilvl w:val="0"/>
                <w:numId w:val="58"/>
              </w:numPr>
              <w:tabs>
                <w:tab w:val="left" w:pos="180"/>
              </w:tabs>
              <w:autoSpaceDE w:val="0"/>
              <w:autoSpaceDN w:val="0"/>
              <w:adjustRightInd w:val="0"/>
              <w:ind w:left="38" w:hanging="38"/>
              <w:jc w:val="both"/>
              <w:rPr>
                <w:sz w:val="18"/>
                <w:szCs w:val="18"/>
              </w:rPr>
            </w:pPr>
            <w:r w:rsidRPr="009F574D">
              <w:rPr>
                <w:sz w:val="18"/>
                <w:szCs w:val="18"/>
              </w:rPr>
              <w:t>Each distribution system operator associated to a balancing zone and each forecasting party shall provide the transmission system operator in the respective balancing zone with the information necessary for information provision to the network users under this Regulation. This shall include inputs and off-takes on the distribution system regardless whether that system is a part of the balancing zone or not.</w:t>
            </w:r>
          </w:p>
          <w:p w:rsidR="00E9239C" w:rsidRPr="00E84D74" w:rsidRDefault="00E9239C" w:rsidP="00322059">
            <w:pPr>
              <w:autoSpaceDE w:val="0"/>
              <w:autoSpaceDN w:val="0"/>
              <w:adjustRightInd w:val="0"/>
              <w:jc w:val="both"/>
              <w:rPr>
                <w:sz w:val="18"/>
                <w:szCs w:val="18"/>
              </w:rPr>
            </w:pPr>
            <w:r w:rsidRPr="00E84D74">
              <w:rPr>
                <w:sz w:val="18"/>
                <w:szCs w:val="18"/>
              </w:rPr>
              <w:t>2. The information, its format and the procedure for its provision shall be defined in cooperation between the transmission system operator, the distribution system operator and the forecasting party, as relevant, to ensure the due provision of information by the transmission system operator to the network users under this Chapter and in particular the criteria set out in Article 33(1).</w:t>
            </w:r>
          </w:p>
          <w:p w:rsidR="00E9239C" w:rsidRPr="00E84D74" w:rsidRDefault="00E9239C" w:rsidP="00322059">
            <w:pPr>
              <w:autoSpaceDE w:val="0"/>
              <w:autoSpaceDN w:val="0"/>
              <w:adjustRightInd w:val="0"/>
              <w:jc w:val="both"/>
              <w:rPr>
                <w:sz w:val="18"/>
                <w:szCs w:val="18"/>
              </w:rPr>
            </w:pPr>
            <w:r w:rsidRPr="00E84D74">
              <w:rPr>
                <w:sz w:val="18"/>
                <w:szCs w:val="18"/>
              </w:rPr>
              <w:t xml:space="preserve">3. This information shall be provided to the transmission system operator in the same format as defined under the applicable national rules and shall be consistent with the </w:t>
            </w:r>
            <w:r w:rsidRPr="00E84D74">
              <w:rPr>
                <w:sz w:val="18"/>
                <w:szCs w:val="18"/>
              </w:rPr>
              <w:lastRenderedPageBreak/>
              <w:t>format used by the transmission system operator to provide the information to the network users.</w:t>
            </w:r>
          </w:p>
          <w:p w:rsidR="00DB54CE" w:rsidRDefault="00DB54CE" w:rsidP="00322059">
            <w:pPr>
              <w:autoSpaceDE w:val="0"/>
              <w:autoSpaceDN w:val="0"/>
              <w:adjustRightInd w:val="0"/>
              <w:jc w:val="both"/>
              <w:rPr>
                <w:sz w:val="18"/>
                <w:szCs w:val="18"/>
              </w:rPr>
            </w:pPr>
          </w:p>
          <w:p w:rsidR="009F574D" w:rsidRPr="00E84D74" w:rsidRDefault="009F574D" w:rsidP="00322059">
            <w:pPr>
              <w:autoSpaceDE w:val="0"/>
              <w:autoSpaceDN w:val="0"/>
              <w:adjustRightInd w:val="0"/>
              <w:jc w:val="both"/>
              <w:rPr>
                <w:sz w:val="18"/>
                <w:szCs w:val="18"/>
              </w:rPr>
            </w:pPr>
          </w:p>
          <w:p w:rsidR="00E9239C" w:rsidRPr="00E84D74" w:rsidRDefault="00E9239C" w:rsidP="00322059">
            <w:pPr>
              <w:autoSpaceDE w:val="0"/>
              <w:autoSpaceDN w:val="0"/>
              <w:adjustRightInd w:val="0"/>
              <w:jc w:val="both"/>
              <w:rPr>
                <w:sz w:val="18"/>
                <w:szCs w:val="18"/>
              </w:rPr>
            </w:pPr>
            <w:r w:rsidRPr="00E84D74">
              <w:rPr>
                <w:sz w:val="18"/>
                <w:szCs w:val="18"/>
              </w:rPr>
              <w:t>4. The national regulatory authority may ask the transmission system operator, the distribution system</w:t>
            </w:r>
          </w:p>
          <w:p w:rsidR="00E9239C" w:rsidRPr="00E84D74" w:rsidRDefault="00E9239C" w:rsidP="00322059">
            <w:pPr>
              <w:autoSpaceDE w:val="0"/>
              <w:autoSpaceDN w:val="0"/>
              <w:adjustRightInd w:val="0"/>
              <w:jc w:val="both"/>
              <w:rPr>
                <w:sz w:val="18"/>
                <w:szCs w:val="18"/>
              </w:rPr>
            </w:pPr>
            <w:r w:rsidRPr="00E84D74">
              <w:rPr>
                <w:sz w:val="18"/>
                <w:szCs w:val="18"/>
              </w:rPr>
              <w:t>operator and the forecasting party, to propose an incentive mechanism regarding the provision of an accurate forecast for a network user’s non- daily metered off-takes which shall meet the criteria set out for the transmission system operator in Article 11(4).</w:t>
            </w:r>
          </w:p>
          <w:p w:rsidR="00E9239C" w:rsidRPr="00E84D74" w:rsidRDefault="00E9239C" w:rsidP="00322059">
            <w:pPr>
              <w:autoSpaceDE w:val="0"/>
              <w:autoSpaceDN w:val="0"/>
              <w:adjustRightInd w:val="0"/>
              <w:jc w:val="both"/>
              <w:rPr>
                <w:b/>
                <w:bCs/>
                <w:sz w:val="18"/>
                <w:szCs w:val="18"/>
              </w:rPr>
            </w:pPr>
            <w:r w:rsidRPr="00E84D74">
              <w:rPr>
                <w:sz w:val="18"/>
                <w:szCs w:val="18"/>
              </w:rPr>
              <w:t>5. The national regulatory authority shall designate the forecasting party in a balancing zone after prior consultation with the transmission system operators and distribution system operators concerned. The forecasting party shall be responsible for forecasting a network user’s non-daily metered off-takes and where appropriate its subsequent allocation. It may be a transmission system operator, distribution system operator or a third party.</w:t>
            </w:r>
          </w:p>
        </w:tc>
      </w:tr>
      <w:tr w:rsidR="00BA0D81" w:rsidRPr="00043955" w:rsidTr="00FC3840">
        <w:trPr>
          <w:trHeight w:val="551"/>
        </w:trPr>
        <w:tc>
          <w:tcPr>
            <w:tcW w:w="5245" w:type="dxa"/>
            <w:shd w:val="clear" w:color="auto" w:fill="auto"/>
          </w:tcPr>
          <w:p w:rsidR="00BA0D81" w:rsidRPr="00981BD4" w:rsidRDefault="00BA0D81"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40</w:t>
            </w:r>
          </w:p>
          <w:p w:rsidR="00BA0D81" w:rsidRDefault="00BA0D81" w:rsidP="00DA725A">
            <w:pPr>
              <w:jc w:val="center"/>
              <w:textAlignment w:val="baseline"/>
              <w:rPr>
                <w:b/>
                <w:bCs/>
                <w:sz w:val="18"/>
                <w:szCs w:val="18"/>
                <w:lang w:val="it-IT" w:eastAsia="en-US"/>
              </w:rPr>
            </w:pPr>
            <w:r w:rsidRPr="00981BD4">
              <w:rPr>
                <w:b/>
                <w:bCs/>
                <w:sz w:val="18"/>
                <w:szCs w:val="18"/>
                <w:lang w:val="it-IT" w:eastAsia="en-US"/>
              </w:rPr>
              <w:t>Obligațiile de informare ale operatorului (operatorilor) de sisteme de distribuție față de operatorul de sistem de transport</w:t>
            </w:r>
          </w:p>
          <w:p w:rsidR="00322059" w:rsidRPr="00981BD4" w:rsidRDefault="00322059" w:rsidP="00DA725A">
            <w:pPr>
              <w:jc w:val="center"/>
              <w:textAlignment w:val="baseline"/>
              <w:rPr>
                <w:rFonts w:ascii="Segoe UI" w:hAnsi="Segoe UI" w:cs="Segoe UI"/>
                <w:sz w:val="18"/>
                <w:szCs w:val="18"/>
                <w:lang w:val="it-IT" w:eastAsia="en-US"/>
              </w:rPr>
            </w:pPr>
          </w:p>
          <w:p w:rsidR="00BA0D81" w:rsidRPr="00981BD4" w:rsidRDefault="00BA0D81" w:rsidP="00DA725A">
            <w:pPr>
              <w:jc w:val="both"/>
              <w:textAlignment w:val="baseline"/>
              <w:rPr>
                <w:rFonts w:ascii="Segoe UI" w:hAnsi="Segoe UI" w:cs="Segoe UI"/>
                <w:sz w:val="18"/>
                <w:szCs w:val="18"/>
                <w:lang w:val="it-IT" w:eastAsia="en-US"/>
              </w:rPr>
            </w:pPr>
            <w:r w:rsidRPr="00981BD4">
              <w:rPr>
                <w:sz w:val="18"/>
                <w:szCs w:val="18"/>
                <w:lang w:val="it-IT" w:eastAsia="en-US"/>
              </w:rPr>
              <w:t>Operatorul de sistem de distribuție furnizează operatorului de sistem de transport informații privind intrările și ieșirile contorizate pe parcursul zilei, precum și cele contorizate cu o frecvență zilnică aparținând sistemului de distribuție și conforme cu cerințele de informare prevăzute la articolul 34 alineatele (2)-(6), la articolul 35 și la articolul 37. Aceste informații sunt furnizate operatorului de sistem de transport în timp util, astfel încât operatorul de sistem de transport să furnizeze informațiile către utilizatorii rețelei. </w:t>
            </w:r>
          </w:p>
          <w:p w:rsidR="00BA0D81" w:rsidRPr="00981BD4" w:rsidRDefault="00BA0D81" w:rsidP="00DA725A">
            <w:pPr>
              <w:jc w:val="center"/>
              <w:textAlignment w:val="baseline"/>
              <w:rPr>
                <w:b/>
                <w:bCs/>
                <w:sz w:val="18"/>
                <w:szCs w:val="18"/>
                <w:lang w:val="it-IT" w:eastAsia="en-US"/>
              </w:rPr>
            </w:pPr>
          </w:p>
        </w:tc>
        <w:tc>
          <w:tcPr>
            <w:tcW w:w="4962" w:type="dxa"/>
            <w:shd w:val="clear" w:color="auto" w:fill="auto"/>
          </w:tcPr>
          <w:p w:rsidR="00BC0933" w:rsidRPr="00BC0933" w:rsidRDefault="00BC0933" w:rsidP="00983016">
            <w:pPr>
              <w:jc w:val="center"/>
              <w:textAlignment w:val="baseline"/>
              <w:rPr>
                <w:bCs/>
                <w:sz w:val="18"/>
                <w:szCs w:val="18"/>
                <w:lang w:val="ro-RO" w:eastAsia="en-US"/>
              </w:rPr>
            </w:pPr>
            <w:r w:rsidRPr="00BC0933">
              <w:rPr>
                <w:b/>
                <w:bCs/>
                <w:sz w:val="18"/>
                <w:szCs w:val="18"/>
                <w:lang w:val="ro-RO" w:eastAsia="en-US"/>
              </w:rPr>
              <w:t>Secţiunea 8</w:t>
            </w:r>
          </w:p>
          <w:p w:rsidR="00BC0933" w:rsidRDefault="00BC0933" w:rsidP="00983016">
            <w:pPr>
              <w:jc w:val="center"/>
              <w:textAlignment w:val="baseline"/>
              <w:rPr>
                <w:b/>
                <w:bCs/>
                <w:sz w:val="18"/>
                <w:szCs w:val="18"/>
                <w:lang w:val="ro-RO" w:eastAsia="en-US"/>
              </w:rPr>
            </w:pPr>
            <w:r w:rsidRPr="00BC0933">
              <w:rPr>
                <w:b/>
                <w:bCs/>
                <w:sz w:val="18"/>
                <w:szCs w:val="18"/>
                <w:lang w:val="ro-RO" w:eastAsia="en-US"/>
              </w:rPr>
              <w:t>Obligaţiile de informare ale OSD</w:t>
            </w:r>
          </w:p>
          <w:p w:rsidR="00322059" w:rsidRDefault="00322059" w:rsidP="00322059">
            <w:pPr>
              <w:jc w:val="both"/>
              <w:textAlignment w:val="baseline"/>
              <w:rPr>
                <w:bCs/>
                <w:sz w:val="18"/>
                <w:szCs w:val="18"/>
                <w:lang w:val="ro-RO" w:eastAsia="en-US"/>
              </w:rPr>
            </w:pPr>
          </w:p>
          <w:p w:rsidR="00322059" w:rsidRPr="00BC0933" w:rsidRDefault="00322059" w:rsidP="00322059">
            <w:pPr>
              <w:jc w:val="both"/>
              <w:textAlignment w:val="baseline"/>
              <w:rPr>
                <w:bCs/>
                <w:sz w:val="18"/>
                <w:szCs w:val="18"/>
                <w:lang w:val="ro-RO" w:eastAsia="en-US"/>
              </w:rPr>
            </w:pPr>
          </w:p>
          <w:p w:rsidR="00BC0933" w:rsidRDefault="00BC0933" w:rsidP="009F6963">
            <w:pPr>
              <w:jc w:val="both"/>
              <w:textAlignment w:val="baseline"/>
              <w:rPr>
                <w:bCs/>
                <w:sz w:val="18"/>
                <w:szCs w:val="18"/>
                <w:lang w:val="ro-RO" w:eastAsia="en-US"/>
              </w:rPr>
            </w:pPr>
            <w:r w:rsidRPr="00BC0933">
              <w:rPr>
                <w:b/>
                <w:bCs/>
                <w:sz w:val="18"/>
                <w:szCs w:val="18"/>
                <w:lang w:val="ro-RO" w:eastAsia="en-US"/>
              </w:rPr>
              <w:t>582.</w:t>
            </w:r>
            <w:r w:rsidRPr="00BC0933">
              <w:rPr>
                <w:bCs/>
                <w:sz w:val="18"/>
                <w:szCs w:val="18"/>
                <w:lang w:val="ro-RO" w:eastAsia="en-US"/>
              </w:rPr>
              <w:t xml:space="preserve"> OSD transmite OST informaţii privind intrările şi ieşirile cu măsurare zilnică şi intrazilnică aparţinând sistemului de distribuţie</w:t>
            </w:r>
            <w:r w:rsidR="00871FBB">
              <w:rPr>
                <w:bCs/>
                <w:sz w:val="18"/>
                <w:szCs w:val="18"/>
                <w:lang w:val="ro-RO" w:eastAsia="en-US"/>
              </w:rPr>
              <w:t xml:space="preserve"> </w:t>
            </w:r>
            <w:r w:rsidRPr="00BC0933">
              <w:rPr>
                <w:bCs/>
                <w:sz w:val="18"/>
                <w:szCs w:val="18"/>
                <w:lang w:val="ro-RO" w:eastAsia="en-US"/>
              </w:rPr>
              <w:t>şi conforme cu cerinţele de informare prevăzute în pct.559-565, şi în Secţiunea 3 şi 5 din prezentul Capitol. Aceste informaţii sunt transmise OST în timp util, astfel încât OST dispună de posibilitatea de a transmite informaţiile către utilizatorii de sistem.</w:t>
            </w:r>
          </w:p>
          <w:p w:rsidR="00871FBB" w:rsidRPr="00BC0933" w:rsidRDefault="00871FBB" w:rsidP="00322059">
            <w:pPr>
              <w:jc w:val="both"/>
              <w:textAlignment w:val="baseline"/>
              <w:rPr>
                <w:bCs/>
                <w:sz w:val="18"/>
                <w:szCs w:val="18"/>
                <w:lang w:val="ro-RO" w:eastAsia="en-US"/>
              </w:rPr>
            </w:pPr>
          </w:p>
          <w:p w:rsidR="00BA0D81" w:rsidRPr="00871FBB" w:rsidRDefault="00BA0D81" w:rsidP="00871FBB">
            <w:pPr>
              <w:jc w:val="both"/>
              <w:textAlignment w:val="baseline"/>
              <w:rPr>
                <w:b/>
                <w:bCs/>
                <w:sz w:val="18"/>
                <w:szCs w:val="18"/>
                <w:lang w:val="ro-RO" w:eastAsia="en-US"/>
              </w:rPr>
            </w:pPr>
          </w:p>
        </w:tc>
        <w:tc>
          <w:tcPr>
            <w:tcW w:w="1275" w:type="dxa"/>
            <w:shd w:val="clear" w:color="auto" w:fill="auto"/>
          </w:tcPr>
          <w:p w:rsidR="00BA0D81" w:rsidRPr="00380C00" w:rsidRDefault="00BA0D81" w:rsidP="00322059">
            <w:pPr>
              <w:jc w:val="both"/>
              <w:rPr>
                <w:b/>
                <w:sz w:val="18"/>
                <w:szCs w:val="18"/>
                <w:lang w:val="ro-RO"/>
              </w:rPr>
            </w:pPr>
          </w:p>
          <w:p w:rsidR="00CE32E7" w:rsidRPr="00380C00" w:rsidRDefault="00CE32E7" w:rsidP="00322059">
            <w:pPr>
              <w:jc w:val="both"/>
              <w:rPr>
                <w:b/>
                <w:sz w:val="18"/>
                <w:szCs w:val="18"/>
                <w:lang w:val="ro-RO"/>
              </w:rPr>
            </w:pPr>
          </w:p>
          <w:p w:rsidR="00CE32E7" w:rsidRPr="00380C00" w:rsidRDefault="00CE32E7" w:rsidP="00322059">
            <w:pPr>
              <w:jc w:val="both"/>
              <w:rPr>
                <w:b/>
                <w:sz w:val="18"/>
                <w:szCs w:val="18"/>
                <w:lang w:val="ro-RO"/>
              </w:rPr>
            </w:pPr>
          </w:p>
          <w:p w:rsidR="00CE32E7" w:rsidRPr="00380C00" w:rsidRDefault="00CE32E7" w:rsidP="00322059">
            <w:pPr>
              <w:jc w:val="both"/>
              <w:rPr>
                <w:b/>
                <w:sz w:val="18"/>
                <w:szCs w:val="18"/>
                <w:lang w:val="ro-RO"/>
              </w:rPr>
            </w:pPr>
          </w:p>
          <w:p w:rsidR="00CE32E7" w:rsidRPr="00D82EE4" w:rsidRDefault="00CE32E7" w:rsidP="00322059">
            <w:pPr>
              <w:jc w:val="both"/>
              <w:rPr>
                <w:b/>
                <w:sz w:val="18"/>
                <w:szCs w:val="18"/>
                <w:lang w:val="it-IT"/>
              </w:rPr>
            </w:pPr>
            <w:r w:rsidRPr="00E55B82">
              <w:rPr>
                <w:sz w:val="18"/>
                <w:szCs w:val="18"/>
              </w:rPr>
              <w:t>Compatibil</w:t>
            </w:r>
          </w:p>
        </w:tc>
        <w:tc>
          <w:tcPr>
            <w:tcW w:w="4253" w:type="dxa"/>
            <w:shd w:val="clear" w:color="auto" w:fill="auto"/>
          </w:tcPr>
          <w:p w:rsidR="00BA0D81" w:rsidRPr="00E84D74" w:rsidRDefault="00BA0D81" w:rsidP="00322059">
            <w:pPr>
              <w:autoSpaceDE w:val="0"/>
              <w:autoSpaceDN w:val="0"/>
              <w:adjustRightInd w:val="0"/>
              <w:jc w:val="both"/>
              <w:rPr>
                <w:b/>
                <w:bCs/>
                <w:i/>
                <w:iCs/>
                <w:sz w:val="18"/>
                <w:szCs w:val="18"/>
              </w:rPr>
            </w:pPr>
            <w:r w:rsidRPr="00E84D74">
              <w:rPr>
                <w:b/>
                <w:bCs/>
                <w:i/>
                <w:iCs/>
                <w:sz w:val="18"/>
                <w:szCs w:val="18"/>
              </w:rPr>
              <w:t>Article 40</w:t>
            </w:r>
          </w:p>
          <w:p w:rsidR="00BA0D81" w:rsidRPr="00E84D74" w:rsidRDefault="00BA0D81" w:rsidP="00322059">
            <w:pPr>
              <w:autoSpaceDE w:val="0"/>
              <w:autoSpaceDN w:val="0"/>
              <w:adjustRightInd w:val="0"/>
              <w:jc w:val="both"/>
              <w:rPr>
                <w:b/>
                <w:bCs/>
                <w:sz w:val="18"/>
                <w:szCs w:val="18"/>
              </w:rPr>
            </w:pPr>
            <w:r w:rsidRPr="00E84D74">
              <w:rPr>
                <w:b/>
                <w:bCs/>
                <w:sz w:val="18"/>
                <w:szCs w:val="18"/>
              </w:rPr>
              <w:t>Information obligations of the distrbution system operator(s) towards the transmission</w:t>
            </w:r>
          </w:p>
          <w:p w:rsidR="00BA0D81" w:rsidRPr="00E84D74" w:rsidRDefault="00BA0D81" w:rsidP="00322059">
            <w:pPr>
              <w:autoSpaceDE w:val="0"/>
              <w:autoSpaceDN w:val="0"/>
              <w:adjustRightInd w:val="0"/>
              <w:jc w:val="both"/>
              <w:rPr>
                <w:b/>
                <w:bCs/>
                <w:sz w:val="18"/>
                <w:szCs w:val="18"/>
              </w:rPr>
            </w:pPr>
            <w:r w:rsidRPr="00E84D74">
              <w:rPr>
                <w:b/>
                <w:bCs/>
                <w:sz w:val="18"/>
                <w:szCs w:val="18"/>
              </w:rPr>
              <w:t>system operator</w:t>
            </w:r>
          </w:p>
          <w:p w:rsidR="00BA0D81" w:rsidRPr="00E84D74" w:rsidRDefault="00BA0D81" w:rsidP="00322059">
            <w:pPr>
              <w:autoSpaceDE w:val="0"/>
              <w:autoSpaceDN w:val="0"/>
              <w:adjustRightInd w:val="0"/>
              <w:jc w:val="both"/>
              <w:rPr>
                <w:sz w:val="18"/>
                <w:szCs w:val="18"/>
              </w:rPr>
            </w:pPr>
            <w:r w:rsidRPr="00E84D74">
              <w:rPr>
                <w:sz w:val="18"/>
                <w:szCs w:val="18"/>
              </w:rPr>
              <w:t>The distribution system operator shall provide the transmission system operator with information on</w:t>
            </w:r>
          </w:p>
          <w:p w:rsidR="00BA0D81" w:rsidRPr="00E84D74" w:rsidRDefault="00BA0D81" w:rsidP="009F6963">
            <w:pPr>
              <w:autoSpaceDE w:val="0"/>
              <w:autoSpaceDN w:val="0"/>
              <w:adjustRightInd w:val="0"/>
              <w:jc w:val="both"/>
              <w:rPr>
                <w:b/>
                <w:bCs/>
                <w:sz w:val="18"/>
                <w:szCs w:val="18"/>
              </w:rPr>
            </w:pPr>
            <w:r w:rsidRPr="00E84D74">
              <w:rPr>
                <w:sz w:val="18"/>
                <w:szCs w:val="18"/>
              </w:rPr>
              <w:t>the intraday and daily metered inputs and off-takes on the distribution system consistent with the information requirements set out in Articles 34(2) to (6), 35 and 37. This information shall be provided to the transmission system operator within the time sufficient for the transmission system operator to provide the information to network users.</w:t>
            </w:r>
          </w:p>
        </w:tc>
      </w:tr>
      <w:tr w:rsidR="00CE3ABE" w:rsidRPr="00043955" w:rsidTr="00FC3840">
        <w:trPr>
          <w:trHeight w:val="1240"/>
        </w:trPr>
        <w:tc>
          <w:tcPr>
            <w:tcW w:w="5245" w:type="dxa"/>
            <w:shd w:val="clear" w:color="auto" w:fill="auto"/>
          </w:tcPr>
          <w:p w:rsidR="00CE3ABE" w:rsidRPr="00981BD4" w:rsidRDefault="00CE3ABE"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41</w:t>
            </w:r>
          </w:p>
          <w:p w:rsidR="00CE3ABE" w:rsidRDefault="00CE3ABE" w:rsidP="00DA725A">
            <w:pPr>
              <w:jc w:val="center"/>
              <w:textAlignment w:val="baseline"/>
              <w:rPr>
                <w:b/>
                <w:sz w:val="18"/>
                <w:szCs w:val="18"/>
                <w:lang w:val="it-IT" w:eastAsia="en-US"/>
              </w:rPr>
            </w:pPr>
            <w:r w:rsidRPr="00981BD4">
              <w:rPr>
                <w:b/>
                <w:bCs/>
                <w:sz w:val="18"/>
                <w:szCs w:val="18"/>
                <w:lang w:val="it-IT" w:eastAsia="en-US"/>
              </w:rPr>
              <w:t xml:space="preserve">Obligațiile de informare ale operatorului (operatorilor) de sisteme de distribuție față de partea responsabilă cu </w:t>
            </w:r>
            <w:r w:rsidRPr="00981BD4">
              <w:rPr>
                <w:b/>
                <w:sz w:val="18"/>
                <w:szCs w:val="18"/>
                <w:lang w:val="it-IT" w:eastAsia="en-US"/>
              </w:rPr>
              <w:t>prognozele</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(1)   Operatorii de sisteme de distribuție sunt responsabili cu punerea la dispoziția părții responsabile cu prognozele a unor informații suficiente și actualizate, în scopul aplicării metodologiei privind prognoza ieșirilor contorizate cu o frecvență care nu este zilnică ale unui utilizator al rețelei, astfel cum se stabilește la articolul 42 alineatul (2). Aceste informații sunt furnizate în timp util, în conformitate cu termenele definite de partea responsabilă cu prognozele, pentru a fi conforme cu nevoile acesteia.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(2)   Alineatul (1) se aplică, mutatis mutandis, și variantei 1. </w:t>
            </w:r>
          </w:p>
          <w:p w:rsidR="00CE3ABE" w:rsidRPr="00981BD4" w:rsidRDefault="00CE3ABE" w:rsidP="00DA725A">
            <w:pPr>
              <w:jc w:val="center"/>
              <w:textAlignment w:val="baseline"/>
              <w:rPr>
                <w:b/>
                <w:bCs/>
                <w:sz w:val="18"/>
                <w:szCs w:val="18"/>
                <w:lang w:val="it-IT" w:eastAsia="en-US"/>
              </w:rPr>
            </w:pPr>
          </w:p>
        </w:tc>
        <w:tc>
          <w:tcPr>
            <w:tcW w:w="4962" w:type="dxa"/>
            <w:shd w:val="clear" w:color="auto" w:fill="auto"/>
          </w:tcPr>
          <w:p w:rsidR="004C3779" w:rsidRDefault="004C3779" w:rsidP="00322059">
            <w:pPr>
              <w:jc w:val="both"/>
              <w:textAlignment w:val="baseline"/>
              <w:rPr>
                <w:sz w:val="18"/>
                <w:szCs w:val="18"/>
                <w:lang w:val="it-IT" w:eastAsia="en-US"/>
              </w:rPr>
            </w:pPr>
          </w:p>
          <w:p w:rsidR="004C3779" w:rsidRDefault="004C3779" w:rsidP="00322059">
            <w:pPr>
              <w:jc w:val="both"/>
              <w:textAlignment w:val="baseline"/>
              <w:rPr>
                <w:sz w:val="18"/>
                <w:szCs w:val="18"/>
                <w:lang w:val="it-IT" w:eastAsia="en-US"/>
              </w:rPr>
            </w:pPr>
          </w:p>
          <w:p w:rsidR="004C3779" w:rsidRDefault="004C3779" w:rsidP="00322059">
            <w:pPr>
              <w:jc w:val="both"/>
              <w:textAlignment w:val="baseline"/>
              <w:rPr>
                <w:sz w:val="18"/>
                <w:szCs w:val="18"/>
                <w:lang w:val="it-IT" w:eastAsia="en-US"/>
              </w:rPr>
            </w:pPr>
          </w:p>
          <w:p w:rsidR="00BC0933" w:rsidRDefault="00CE3ABE" w:rsidP="00322059">
            <w:pPr>
              <w:jc w:val="both"/>
              <w:textAlignment w:val="baseline"/>
              <w:rPr>
                <w:sz w:val="18"/>
                <w:szCs w:val="18"/>
                <w:lang w:val="ro-RO" w:eastAsia="en-US"/>
              </w:rPr>
            </w:pPr>
            <w:r w:rsidRPr="00981BD4">
              <w:rPr>
                <w:sz w:val="18"/>
                <w:szCs w:val="18"/>
                <w:lang w:val="it-IT" w:eastAsia="en-US"/>
              </w:rPr>
              <w:t> </w:t>
            </w:r>
            <w:r w:rsidR="00BC0933" w:rsidRPr="00BC0933">
              <w:rPr>
                <w:b/>
                <w:bCs/>
                <w:sz w:val="18"/>
                <w:szCs w:val="18"/>
                <w:lang w:val="ro-RO" w:eastAsia="en-US"/>
              </w:rPr>
              <w:t>583.</w:t>
            </w:r>
            <w:r w:rsidR="00BC0933" w:rsidRPr="00BC0933">
              <w:rPr>
                <w:sz w:val="18"/>
                <w:szCs w:val="18"/>
                <w:lang w:val="ro-RO" w:eastAsia="en-US"/>
              </w:rPr>
              <w:t xml:space="preserve"> OSD sunt responsabili de punerea la dispoziţia părţii responsabile de prognozare a unor informaţii suficiente şi actualizate, în scopul aplicării Metodei privind prognoza ieşirilor cu măsurare nonzilnică ale unui utilizator de sistem, astfel cum e stabilit în pct.586. Aceste informaţii sunt transmise în timp util, în conformitate cu termenele definite de partea responsabilă cu prognozele, pentru a fi conforme cu necesităţile acesteia.</w:t>
            </w:r>
          </w:p>
          <w:p w:rsidR="00322059" w:rsidRPr="00BC0933" w:rsidRDefault="00322059" w:rsidP="00322059">
            <w:pPr>
              <w:jc w:val="both"/>
              <w:textAlignment w:val="baseline"/>
              <w:rPr>
                <w:sz w:val="18"/>
                <w:szCs w:val="18"/>
                <w:lang w:val="ro-RO" w:eastAsia="en-US"/>
              </w:rPr>
            </w:pPr>
          </w:p>
          <w:p w:rsidR="00BC0933" w:rsidRPr="00BC0933" w:rsidRDefault="00BC0933" w:rsidP="00322059">
            <w:pPr>
              <w:jc w:val="both"/>
              <w:textAlignment w:val="baseline"/>
              <w:rPr>
                <w:sz w:val="18"/>
                <w:szCs w:val="18"/>
                <w:lang w:val="ro-RO" w:eastAsia="en-US"/>
              </w:rPr>
            </w:pPr>
            <w:r w:rsidRPr="00BC0933">
              <w:rPr>
                <w:b/>
                <w:bCs/>
                <w:sz w:val="18"/>
                <w:szCs w:val="18"/>
                <w:lang w:val="ro-RO" w:eastAsia="en-US"/>
              </w:rPr>
              <w:t>584.</w:t>
            </w:r>
            <w:r w:rsidRPr="00BC0933">
              <w:rPr>
                <w:sz w:val="18"/>
                <w:szCs w:val="18"/>
                <w:lang w:val="ro-RO" w:eastAsia="en-US"/>
              </w:rPr>
              <w:t xml:space="preserve"> Pct.584 se aplică mutatis mutandis, şi variantei 1.</w:t>
            </w:r>
          </w:p>
          <w:p w:rsidR="00CE3ABE" w:rsidRPr="00BC0933" w:rsidRDefault="00CE3ABE" w:rsidP="00322059">
            <w:pPr>
              <w:jc w:val="both"/>
              <w:textAlignment w:val="baseline"/>
              <w:rPr>
                <w:b/>
                <w:bCs/>
                <w:sz w:val="18"/>
                <w:szCs w:val="18"/>
                <w:lang w:val="ro-RO" w:eastAsia="en-US"/>
              </w:rPr>
            </w:pPr>
          </w:p>
        </w:tc>
        <w:tc>
          <w:tcPr>
            <w:tcW w:w="1275" w:type="dxa"/>
            <w:shd w:val="clear" w:color="auto" w:fill="auto"/>
          </w:tcPr>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CE3ABE" w:rsidRDefault="007D035A" w:rsidP="00322059">
            <w:pPr>
              <w:jc w:val="both"/>
              <w:rPr>
                <w:sz w:val="18"/>
                <w:szCs w:val="18"/>
              </w:rPr>
            </w:pPr>
            <w:r w:rsidRPr="00E55B82">
              <w:rPr>
                <w:sz w:val="18"/>
                <w:szCs w:val="18"/>
              </w:rPr>
              <w:t>Compatibil</w:t>
            </w: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E07A71" w:rsidRDefault="00E07A71" w:rsidP="00322059">
            <w:pPr>
              <w:jc w:val="both"/>
              <w:rPr>
                <w:sz w:val="18"/>
                <w:szCs w:val="18"/>
              </w:rPr>
            </w:pPr>
          </w:p>
          <w:p w:rsidR="00520486" w:rsidRPr="00D82EE4" w:rsidRDefault="00520486" w:rsidP="00322059">
            <w:pPr>
              <w:jc w:val="both"/>
              <w:rPr>
                <w:b/>
                <w:sz w:val="18"/>
                <w:szCs w:val="18"/>
                <w:lang w:val="it-IT"/>
              </w:rPr>
            </w:pPr>
            <w:r w:rsidRPr="00E55B82">
              <w:rPr>
                <w:sz w:val="18"/>
                <w:szCs w:val="18"/>
              </w:rPr>
              <w:t>Compatibil</w:t>
            </w:r>
          </w:p>
        </w:tc>
        <w:tc>
          <w:tcPr>
            <w:tcW w:w="4253" w:type="dxa"/>
            <w:shd w:val="clear" w:color="auto" w:fill="auto"/>
          </w:tcPr>
          <w:p w:rsidR="00CE3ABE" w:rsidRPr="00E84D74" w:rsidRDefault="00CE3ABE" w:rsidP="00322059">
            <w:pPr>
              <w:autoSpaceDE w:val="0"/>
              <w:autoSpaceDN w:val="0"/>
              <w:adjustRightInd w:val="0"/>
              <w:jc w:val="both"/>
              <w:rPr>
                <w:b/>
                <w:bCs/>
                <w:i/>
                <w:iCs/>
                <w:sz w:val="18"/>
                <w:szCs w:val="18"/>
              </w:rPr>
            </w:pPr>
            <w:r w:rsidRPr="00E84D74">
              <w:rPr>
                <w:b/>
                <w:bCs/>
                <w:i/>
                <w:iCs/>
                <w:sz w:val="18"/>
                <w:szCs w:val="18"/>
              </w:rPr>
              <w:t>Article 41</w:t>
            </w:r>
          </w:p>
          <w:p w:rsidR="00CE3ABE" w:rsidRPr="00E84D74" w:rsidRDefault="00CE3ABE" w:rsidP="00322059">
            <w:pPr>
              <w:autoSpaceDE w:val="0"/>
              <w:autoSpaceDN w:val="0"/>
              <w:adjustRightInd w:val="0"/>
              <w:jc w:val="both"/>
              <w:rPr>
                <w:b/>
                <w:bCs/>
                <w:sz w:val="18"/>
                <w:szCs w:val="18"/>
              </w:rPr>
            </w:pPr>
            <w:r w:rsidRPr="00E84D74">
              <w:rPr>
                <w:b/>
                <w:bCs/>
                <w:sz w:val="18"/>
                <w:szCs w:val="18"/>
              </w:rPr>
              <w:t>Information obligations of the distribution system operator(s) towards the forecasting</w:t>
            </w:r>
            <w:r w:rsidR="00214505" w:rsidRPr="00E84D74">
              <w:rPr>
                <w:b/>
                <w:bCs/>
                <w:sz w:val="18"/>
                <w:szCs w:val="18"/>
              </w:rPr>
              <w:t xml:space="preserve"> </w:t>
            </w:r>
            <w:r w:rsidRPr="00E84D74">
              <w:rPr>
                <w:b/>
                <w:bCs/>
                <w:sz w:val="18"/>
                <w:szCs w:val="18"/>
              </w:rPr>
              <w:t>party</w:t>
            </w:r>
          </w:p>
          <w:p w:rsidR="00CE3ABE" w:rsidRPr="00E84D74" w:rsidRDefault="00CE3ABE" w:rsidP="00322059">
            <w:pPr>
              <w:autoSpaceDE w:val="0"/>
              <w:autoSpaceDN w:val="0"/>
              <w:adjustRightInd w:val="0"/>
              <w:jc w:val="both"/>
              <w:rPr>
                <w:sz w:val="18"/>
                <w:szCs w:val="18"/>
              </w:rPr>
            </w:pPr>
            <w:r w:rsidRPr="00E84D74">
              <w:rPr>
                <w:sz w:val="18"/>
                <w:szCs w:val="18"/>
              </w:rPr>
              <w:t>1. Distribution system operators are responsible for providing the forecasting party with sufficient</w:t>
            </w:r>
            <w:r w:rsidR="00214505" w:rsidRPr="00E84D74">
              <w:rPr>
                <w:sz w:val="18"/>
                <w:szCs w:val="18"/>
              </w:rPr>
              <w:t xml:space="preserve"> </w:t>
            </w:r>
            <w:r w:rsidRPr="00E84D74">
              <w:rPr>
                <w:sz w:val="18"/>
                <w:szCs w:val="18"/>
              </w:rPr>
              <w:t>and updated information for the purpose of the  methodology for the forecast of a network user’s</w:t>
            </w:r>
            <w:r w:rsidR="00214505" w:rsidRPr="00E84D74">
              <w:rPr>
                <w:sz w:val="18"/>
                <w:szCs w:val="18"/>
              </w:rPr>
              <w:t xml:space="preserve"> </w:t>
            </w:r>
            <w:r w:rsidRPr="00E84D74">
              <w:rPr>
                <w:sz w:val="18"/>
                <w:szCs w:val="18"/>
              </w:rPr>
              <w:t>non- daily metered off-takes application as set out in Article 42(2). This information shall be provided in a timely manner in accordance with the timelines defined by the forecasting party to be consistent with its needs.</w:t>
            </w:r>
          </w:p>
          <w:p w:rsidR="00CE3ABE" w:rsidRPr="00E84D74" w:rsidRDefault="00CE3ABE" w:rsidP="00322059">
            <w:pPr>
              <w:autoSpaceDE w:val="0"/>
              <w:autoSpaceDN w:val="0"/>
              <w:adjustRightInd w:val="0"/>
              <w:jc w:val="both"/>
              <w:rPr>
                <w:b/>
                <w:bCs/>
                <w:sz w:val="18"/>
                <w:szCs w:val="18"/>
              </w:rPr>
            </w:pPr>
            <w:r w:rsidRPr="00E84D74">
              <w:rPr>
                <w:sz w:val="18"/>
                <w:szCs w:val="18"/>
              </w:rPr>
              <w:t xml:space="preserve">2. Paragraph 1 shall apply, </w:t>
            </w:r>
            <w:r w:rsidRPr="00E84D74">
              <w:rPr>
                <w:i/>
                <w:iCs/>
                <w:sz w:val="18"/>
                <w:szCs w:val="18"/>
              </w:rPr>
              <w:t>mutatis mutandis</w:t>
            </w:r>
            <w:r w:rsidRPr="00E84D74">
              <w:rPr>
                <w:sz w:val="18"/>
                <w:szCs w:val="18"/>
              </w:rPr>
              <w:t>, to variant 1.</w:t>
            </w:r>
          </w:p>
        </w:tc>
      </w:tr>
      <w:tr w:rsidR="00A6023C" w:rsidRPr="00043955" w:rsidTr="00FC3840">
        <w:trPr>
          <w:trHeight w:val="976"/>
        </w:trPr>
        <w:tc>
          <w:tcPr>
            <w:tcW w:w="5245" w:type="dxa"/>
            <w:shd w:val="clear" w:color="auto" w:fill="auto"/>
          </w:tcPr>
          <w:p w:rsidR="00CE3ABE" w:rsidRPr="00981BD4" w:rsidRDefault="00CE3ABE"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42</w:t>
            </w:r>
          </w:p>
          <w:p w:rsidR="00CE3ABE" w:rsidRDefault="00CE3ABE" w:rsidP="00DA725A">
            <w:pPr>
              <w:jc w:val="center"/>
              <w:textAlignment w:val="baseline"/>
              <w:rPr>
                <w:b/>
                <w:sz w:val="18"/>
                <w:szCs w:val="18"/>
                <w:lang w:val="it-IT" w:eastAsia="en-US"/>
              </w:rPr>
            </w:pPr>
            <w:r w:rsidRPr="00981BD4">
              <w:rPr>
                <w:b/>
                <w:bCs/>
                <w:sz w:val="18"/>
                <w:szCs w:val="18"/>
                <w:lang w:val="it-IT" w:eastAsia="en-US"/>
              </w:rPr>
              <w:t>Obligațiile de informare ale părții responsabile cu</w:t>
            </w:r>
            <w:r w:rsidRPr="00981BD4">
              <w:rPr>
                <w:b/>
                <w:sz w:val="18"/>
                <w:szCs w:val="18"/>
                <w:lang w:val="it-IT" w:eastAsia="en-US"/>
              </w:rPr>
              <w:t xml:space="preserve"> prognozele față de operatorul de sistem de transport</w:t>
            </w:r>
          </w:p>
          <w:p w:rsidR="00322059" w:rsidRPr="00981BD4" w:rsidRDefault="00322059" w:rsidP="00DA725A">
            <w:pPr>
              <w:jc w:val="center"/>
              <w:textAlignment w:val="baseline"/>
              <w:rPr>
                <w:rFonts w:ascii="Segoe UI" w:hAnsi="Segoe UI" w:cs="Segoe UI"/>
                <w:sz w:val="18"/>
                <w:szCs w:val="18"/>
                <w:lang w:val="it-IT" w:eastAsia="en-US"/>
              </w:rPr>
            </w:pPr>
          </w:p>
          <w:p w:rsidR="00CE3ABE" w:rsidRDefault="00CE3ABE" w:rsidP="00DA725A">
            <w:pPr>
              <w:jc w:val="both"/>
              <w:textAlignment w:val="baseline"/>
              <w:rPr>
                <w:sz w:val="18"/>
                <w:szCs w:val="18"/>
                <w:lang w:val="it-IT" w:eastAsia="en-US"/>
              </w:rPr>
            </w:pPr>
            <w:r w:rsidRPr="00981BD4">
              <w:rPr>
                <w:sz w:val="18"/>
                <w:szCs w:val="18"/>
                <w:lang w:val="it-IT" w:eastAsia="en-US"/>
              </w:rPr>
              <w:t>(1)   Partea responsabilă cu prognozele furnizează operatorului de sistem de transport o serie de prognoze privind ieșirile contorizate cu o frecvență care nu este zilnică ale utilizatorului rețelei și alocările ulterioare, în conformitate cu cerințele în materie de informare prevăzute la articolele 36 și 37. Aceste informații sunt furnizate operatorului de sistem de transport în timp util, astfel încât acesta să aibă suficient timp pentru a furniza informațiile utilizatorilor rețelei și pentru prognozele pentru ziua următoare și pentru ziua în curs privind ieșirile contorizate cu o frecvență care nu este zilnică ale unui utilizator al rețelei cu cel târziu o oră înainte de termenele menționate la articolul 36 alineatul (1) literele (a) și (b), cu excepția cazului în care operatorul de sistem de transport și partea responsabilă cu prognozele convin asupra unui moment suficient de decalat pentru ca operatorul de sistem de transport să poată furniza informații către utilizatorii rețelei. </w:t>
            </w:r>
          </w:p>
          <w:p w:rsidR="00322059" w:rsidRPr="00981BD4" w:rsidRDefault="00322059" w:rsidP="00DA725A">
            <w:pPr>
              <w:jc w:val="both"/>
              <w:textAlignment w:val="baseline"/>
              <w:rPr>
                <w:rFonts w:ascii="Segoe UI" w:hAnsi="Segoe UI" w:cs="Segoe UI"/>
                <w:sz w:val="18"/>
                <w:szCs w:val="18"/>
                <w:lang w:val="it-IT" w:eastAsia="en-US"/>
              </w:rPr>
            </w:pP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(2)   Metodologia pentru prognozarea ieșirilor contorizate cu o frecvență care nu este zilnică ale unui utilizator al rețelei se bazează pe un model statistic al cererii, fiecărei ieșiri contorizate cu o frecvență care nu este zilnică fiindu-i atribuit un profil de încărcare, constând dintr-o formulă a variației cererii de gaz în raport cu variabile precum temperatura, ziua din săptămână, tipul de client și perioadele de vacanță. Înainte de adoptare, metodologia face obiectul unor consultări.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(3)   Partea responsabilă cu prognozele publică, o dată la doi ani, un raport privind exactitatea prognozei privind ieșirile contorizate cu o frecvență care nu este zilnică ale unui utilizator al rețelei.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CE3ABE" w:rsidRDefault="00CE3ABE" w:rsidP="00DA725A">
            <w:pPr>
              <w:jc w:val="both"/>
              <w:textAlignment w:val="baseline"/>
              <w:rPr>
                <w:sz w:val="18"/>
                <w:szCs w:val="18"/>
                <w:lang w:val="it-IT" w:eastAsia="en-US"/>
              </w:rPr>
            </w:pPr>
            <w:r w:rsidRPr="00981BD4">
              <w:rPr>
                <w:sz w:val="18"/>
                <w:szCs w:val="18"/>
                <w:lang w:val="it-IT" w:eastAsia="en-US"/>
              </w:rPr>
              <w:t>(4)   Dacă este cazul, operatorii de sisteme de transport furnizează datele privind fluxurile de gaze în timp util, astfel încât partea responsabilă cu prognozele să își poată îndeplini obligațiile care îi revin în temeiul prezentului articol. </w:t>
            </w:r>
          </w:p>
          <w:p w:rsidR="00A6023C" w:rsidRPr="00981BD4" w:rsidRDefault="00CE3ABE" w:rsidP="002A5F8B">
            <w:pPr>
              <w:textAlignment w:val="baseline"/>
              <w:rPr>
                <w:b/>
                <w:bCs/>
                <w:sz w:val="18"/>
                <w:szCs w:val="18"/>
                <w:lang w:val="it-IT" w:eastAsia="en-US"/>
              </w:rPr>
            </w:pPr>
            <w:r w:rsidRPr="00981BD4">
              <w:rPr>
                <w:sz w:val="18"/>
                <w:szCs w:val="18"/>
                <w:lang w:val="it-IT" w:eastAsia="en-US"/>
              </w:rPr>
              <w:t>(5)   Alineatele (2)-(4) se aplică, mutatis mutandis, și variantei 1.</w:t>
            </w:r>
          </w:p>
        </w:tc>
        <w:tc>
          <w:tcPr>
            <w:tcW w:w="4962" w:type="dxa"/>
            <w:shd w:val="clear" w:color="auto" w:fill="auto"/>
          </w:tcPr>
          <w:p w:rsidR="00BC0933" w:rsidRPr="00BC0933" w:rsidRDefault="00BC0933" w:rsidP="00BC0933">
            <w:pPr>
              <w:jc w:val="center"/>
              <w:textAlignment w:val="baseline"/>
              <w:rPr>
                <w:bCs/>
                <w:sz w:val="18"/>
                <w:szCs w:val="18"/>
                <w:lang w:val="ro-RO" w:eastAsia="en-US"/>
              </w:rPr>
            </w:pPr>
            <w:r w:rsidRPr="00BC0933">
              <w:rPr>
                <w:b/>
                <w:bCs/>
                <w:sz w:val="18"/>
                <w:szCs w:val="18"/>
                <w:lang w:val="ro-RO" w:eastAsia="en-US"/>
              </w:rPr>
              <w:t>Secţiunea 9</w:t>
            </w:r>
          </w:p>
          <w:p w:rsidR="00BC0933" w:rsidRPr="00BC0933" w:rsidRDefault="00BC0933" w:rsidP="00BC0933">
            <w:pPr>
              <w:jc w:val="center"/>
              <w:textAlignment w:val="baseline"/>
              <w:rPr>
                <w:bCs/>
                <w:sz w:val="18"/>
                <w:szCs w:val="18"/>
                <w:lang w:val="ro-RO" w:eastAsia="en-US"/>
              </w:rPr>
            </w:pPr>
            <w:r w:rsidRPr="00BC0933">
              <w:rPr>
                <w:b/>
                <w:bCs/>
                <w:sz w:val="18"/>
                <w:szCs w:val="18"/>
                <w:lang w:val="ro-RO" w:eastAsia="en-US"/>
              </w:rPr>
              <w:t>Obligaţiile de informare ale părţii responsabile</w:t>
            </w:r>
          </w:p>
          <w:p w:rsidR="00BC0933" w:rsidRDefault="00BC0933" w:rsidP="00BC0933">
            <w:pPr>
              <w:jc w:val="center"/>
              <w:textAlignment w:val="baseline"/>
              <w:rPr>
                <w:b/>
                <w:bCs/>
                <w:sz w:val="18"/>
                <w:szCs w:val="18"/>
                <w:lang w:val="ro-RO" w:eastAsia="en-US"/>
              </w:rPr>
            </w:pPr>
            <w:r w:rsidRPr="00BC0933">
              <w:rPr>
                <w:b/>
                <w:bCs/>
                <w:sz w:val="18"/>
                <w:szCs w:val="18"/>
                <w:lang w:val="ro-RO" w:eastAsia="en-US"/>
              </w:rPr>
              <w:t>de prognozare faţă de OST</w:t>
            </w:r>
          </w:p>
          <w:p w:rsidR="00322059" w:rsidRPr="00BC0933" w:rsidRDefault="00322059" w:rsidP="00BC0933">
            <w:pPr>
              <w:jc w:val="center"/>
              <w:textAlignment w:val="baseline"/>
              <w:rPr>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585.</w:t>
            </w:r>
            <w:r w:rsidRPr="00BC0933">
              <w:rPr>
                <w:bCs/>
                <w:sz w:val="18"/>
                <w:szCs w:val="18"/>
                <w:lang w:val="ro-RO" w:eastAsia="en-US"/>
              </w:rPr>
              <w:t xml:space="preserve"> Partea responsabilă pentru prognozare transmite OST o serie de prognoze privind ieşirile cu măsurare nonzilnică ale utilizatorului de sistem şi alocările ulterioare, în conformitate cu cerinţele în materie de informare prevăzute Secţiunea 4 şi 5 din prezentul Capitol. Aceste informaţii sunt transmise OST în timp util, astfel încât acesta să aibă suficient timp pentru a transmite informaţiile utilizatorilor de sistem şi să facă prognozele pentru ziua următoare şi pentru ziua în curs privind ieşirile cu măsurare nonzilnică ale unui utilizator de sistem cu cel puţin o oră înainte de termenele menţionate în pct.566 subpunctele 1) şi 2), cu excepţia cazului în care OST şi partea responsabilă de prognozare convin asupra unei perioade de timp suficient de scurte pentru ca OST să poată transmite informaţii către utilizatorii de sistem.</w:t>
            </w:r>
          </w:p>
          <w:p w:rsidR="00BC0933" w:rsidRDefault="00BC0933" w:rsidP="00BC0933">
            <w:pPr>
              <w:textAlignment w:val="baseline"/>
              <w:rPr>
                <w:b/>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586.</w:t>
            </w:r>
            <w:r w:rsidRPr="00BC0933">
              <w:rPr>
                <w:bCs/>
                <w:sz w:val="18"/>
                <w:szCs w:val="18"/>
                <w:lang w:val="ro-RO" w:eastAsia="en-US"/>
              </w:rPr>
              <w:t xml:space="preserve"> Metoda aplicată pentru prognozarea ieşirilor cu măsurare nonzilnică ale unui utilizator de sistem se bazează pe un model statistic al cererii, fiecărei ieşiri cu măsurare nonzilnică fiindu-i atribuit un profil de încărcare, constând dintr-o formulă a variaţiei cererii de gaze naturale în raport cu variabile precum temperatura, ziua din săptămână, tipul de consumator şi perioadele de sărbători. Înainte de adoptare, metoda face obiectul unor consultări.</w:t>
            </w:r>
          </w:p>
          <w:p w:rsidR="00BC0933" w:rsidRDefault="00BC0933" w:rsidP="00BC0933">
            <w:pPr>
              <w:textAlignment w:val="baseline"/>
              <w:rPr>
                <w:b/>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587.</w:t>
            </w:r>
            <w:r w:rsidRPr="00BC0933">
              <w:rPr>
                <w:bCs/>
                <w:sz w:val="18"/>
                <w:szCs w:val="18"/>
                <w:lang w:val="ro-RO" w:eastAsia="en-US"/>
              </w:rPr>
              <w:t xml:space="preserve"> Partea responsabilă de prognozare publică, o dată la 2 ani, un raport privind exactitatea prognozei privind ieşirile cu măsurare nonzilnică ale unui utilizator de sistem.</w:t>
            </w:r>
          </w:p>
          <w:p w:rsidR="00BC0933" w:rsidRDefault="00BC0933" w:rsidP="00BC0933">
            <w:pPr>
              <w:textAlignment w:val="baseline"/>
              <w:rPr>
                <w:b/>
                <w:bCs/>
                <w:sz w:val="18"/>
                <w:szCs w:val="18"/>
                <w:lang w:val="ro-RO" w:eastAsia="en-US"/>
              </w:rPr>
            </w:pPr>
          </w:p>
          <w:p w:rsidR="00DF33C3" w:rsidRDefault="00DF33C3" w:rsidP="00BC0933">
            <w:pPr>
              <w:textAlignment w:val="baseline"/>
              <w:rPr>
                <w:b/>
                <w:bCs/>
                <w:sz w:val="18"/>
                <w:szCs w:val="18"/>
                <w:lang w:val="ro-RO" w:eastAsia="en-US"/>
              </w:rPr>
            </w:pPr>
          </w:p>
          <w:p w:rsidR="00BC0933" w:rsidRDefault="00BC0933" w:rsidP="00BC0933">
            <w:pPr>
              <w:textAlignment w:val="baseline"/>
              <w:rPr>
                <w:bCs/>
                <w:sz w:val="18"/>
                <w:szCs w:val="18"/>
                <w:lang w:val="ro-RO" w:eastAsia="en-US"/>
              </w:rPr>
            </w:pPr>
            <w:r w:rsidRPr="00BC0933">
              <w:rPr>
                <w:b/>
                <w:bCs/>
                <w:sz w:val="18"/>
                <w:szCs w:val="18"/>
                <w:lang w:val="ro-RO" w:eastAsia="en-US"/>
              </w:rPr>
              <w:t>588.</w:t>
            </w:r>
            <w:r w:rsidRPr="00BC0933">
              <w:rPr>
                <w:bCs/>
                <w:sz w:val="18"/>
                <w:szCs w:val="18"/>
                <w:lang w:val="ro-RO" w:eastAsia="en-US"/>
              </w:rPr>
              <w:t xml:space="preserve"> Dacă este cazul, OST transmite datele privind fluxurile de gaze naturale în timp suficient, astfel încât partea responsabilă de prognozare să îşi poată îndeplini obligaţiile care îi revin în temeiul prezentei Secţiuni.</w:t>
            </w:r>
          </w:p>
          <w:p w:rsidR="00DF33C3" w:rsidRPr="00BC0933" w:rsidRDefault="00DF33C3" w:rsidP="00BC0933">
            <w:pPr>
              <w:textAlignment w:val="baseline"/>
              <w:rPr>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589.</w:t>
            </w:r>
            <w:r w:rsidRPr="00BC0933">
              <w:rPr>
                <w:bCs/>
                <w:sz w:val="18"/>
                <w:szCs w:val="18"/>
                <w:lang w:val="ro-RO" w:eastAsia="en-US"/>
              </w:rPr>
              <w:t xml:space="preserve"> Pct.586-588 se aplică, mutatis mutandis, şi variantei 1.</w:t>
            </w:r>
          </w:p>
          <w:p w:rsidR="00A6023C" w:rsidRPr="00BC0933" w:rsidRDefault="00A6023C" w:rsidP="00BC0933">
            <w:pPr>
              <w:textAlignment w:val="baseline"/>
              <w:rPr>
                <w:b/>
                <w:bCs/>
                <w:sz w:val="18"/>
                <w:szCs w:val="18"/>
                <w:lang w:val="ro-RO" w:eastAsia="en-US"/>
              </w:rPr>
            </w:pPr>
          </w:p>
        </w:tc>
        <w:tc>
          <w:tcPr>
            <w:tcW w:w="1275" w:type="dxa"/>
            <w:shd w:val="clear" w:color="auto" w:fill="auto"/>
          </w:tcPr>
          <w:p w:rsidR="00A6023C" w:rsidRDefault="00A6023C" w:rsidP="00DA725A">
            <w:pPr>
              <w:jc w:val="both"/>
              <w:rPr>
                <w:b/>
                <w:sz w:val="18"/>
                <w:szCs w:val="18"/>
                <w:lang w:val="it-IT"/>
              </w:rPr>
            </w:pPr>
          </w:p>
          <w:p w:rsidR="007D035A" w:rsidRDefault="007D035A" w:rsidP="00DA725A">
            <w:pPr>
              <w:jc w:val="both"/>
              <w:rPr>
                <w:b/>
                <w:sz w:val="18"/>
                <w:szCs w:val="18"/>
                <w:lang w:val="it-IT"/>
              </w:rPr>
            </w:pPr>
          </w:p>
          <w:p w:rsidR="007D035A" w:rsidRDefault="007D035A" w:rsidP="00DA725A">
            <w:pPr>
              <w:jc w:val="both"/>
              <w:rPr>
                <w:b/>
                <w:sz w:val="18"/>
                <w:szCs w:val="18"/>
                <w:lang w:val="it-IT"/>
              </w:rPr>
            </w:pPr>
          </w:p>
          <w:p w:rsidR="007D035A" w:rsidRDefault="007D035A" w:rsidP="00DA725A">
            <w:pPr>
              <w:jc w:val="both"/>
              <w:rPr>
                <w:b/>
                <w:sz w:val="18"/>
                <w:szCs w:val="18"/>
                <w:lang w:val="it-IT"/>
              </w:rPr>
            </w:pPr>
          </w:p>
          <w:p w:rsidR="007D035A" w:rsidRPr="00981BD4" w:rsidRDefault="007D035A" w:rsidP="00DA725A">
            <w:pPr>
              <w:jc w:val="both"/>
              <w:rPr>
                <w:sz w:val="18"/>
                <w:szCs w:val="18"/>
                <w:lang w:val="it-IT"/>
              </w:rPr>
            </w:pPr>
            <w:r w:rsidRPr="00981BD4">
              <w:rPr>
                <w:sz w:val="18"/>
                <w:szCs w:val="18"/>
                <w:lang w:val="it-IT"/>
              </w:rPr>
              <w:t>Compatibil</w:t>
            </w: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E07A71" w:rsidRPr="00981BD4" w:rsidRDefault="00E07A71" w:rsidP="00DA725A">
            <w:pPr>
              <w:jc w:val="both"/>
              <w:rPr>
                <w:sz w:val="18"/>
                <w:szCs w:val="18"/>
                <w:lang w:val="it-IT"/>
              </w:rPr>
            </w:pPr>
          </w:p>
          <w:p w:rsidR="007D035A" w:rsidRPr="00981BD4" w:rsidRDefault="007D035A"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Default="00403BA8" w:rsidP="00DA725A">
            <w:pPr>
              <w:jc w:val="both"/>
              <w:rPr>
                <w:sz w:val="18"/>
                <w:szCs w:val="18"/>
                <w:lang w:val="it-IT"/>
              </w:rPr>
            </w:pPr>
          </w:p>
          <w:p w:rsidR="00322059" w:rsidRDefault="00322059" w:rsidP="00DA725A">
            <w:pPr>
              <w:jc w:val="both"/>
              <w:rPr>
                <w:sz w:val="18"/>
                <w:szCs w:val="18"/>
                <w:lang w:val="it-IT"/>
              </w:rPr>
            </w:pPr>
          </w:p>
          <w:p w:rsidR="00322059" w:rsidRPr="00981BD4" w:rsidRDefault="00322059" w:rsidP="00DA725A">
            <w:pPr>
              <w:jc w:val="both"/>
              <w:rPr>
                <w:sz w:val="18"/>
                <w:szCs w:val="18"/>
                <w:lang w:val="it-IT"/>
              </w:rPr>
            </w:pPr>
          </w:p>
          <w:p w:rsidR="00403BA8" w:rsidRPr="00981BD4" w:rsidRDefault="00403BA8" w:rsidP="00DA725A">
            <w:pPr>
              <w:jc w:val="both"/>
              <w:rPr>
                <w:sz w:val="18"/>
                <w:szCs w:val="18"/>
                <w:lang w:val="it-IT"/>
              </w:rPr>
            </w:pPr>
            <w:r w:rsidRPr="00981BD4">
              <w:rPr>
                <w:sz w:val="18"/>
                <w:szCs w:val="18"/>
                <w:lang w:val="it-IT"/>
              </w:rPr>
              <w:t>Compatibil</w:t>
            </w: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Default="00403BA8" w:rsidP="00DA725A">
            <w:pPr>
              <w:jc w:val="both"/>
              <w:rPr>
                <w:sz w:val="18"/>
                <w:szCs w:val="18"/>
                <w:lang w:val="it-IT"/>
              </w:rPr>
            </w:pPr>
          </w:p>
          <w:p w:rsidR="00183FA7" w:rsidRPr="00981BD4" w:rsidRDefault="00183FA7" w:rsidP="00DA725A">
            <w:pPr>
              <w:jc w:val="both"/>
              <w:rPr>
                <w:sz w:val="18"/>
                <w:szCs w:val="18"/>
                <w:lang w:val="it-IT"/>
              </w:rPr>
            </w:pPr>
          </w:p>
          <w:p w:rsidR="00403BA8" w:rsidRDefault="00403BA8" w:rsidP="00DA725A">
            <w:pPr>
              <w:jc w:val="both"/>
              <w:rPr>
                <w:sz w:val="18"/>
                <w:szCs w:val="18"/>
                <w:lang w:val="it-IT"/>
              </w:rPr>
            </w:pPr>
          </w:p>
          <w:p w:rsidR="00322059" w:rsidRPr="00981BD4" w:rsidRDefault="00322059"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r w:rsidRPr="00981BD4">
              <w:rPr>
                <w:sz w:val="18"/>
                <w:szCs w:val="18"/>
                <w:lang w:val="it-IT"/>
              </w:rPr>
              <w:t>Compatibil</w:t>
            </w: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r w:rsidRPr="00981BD4">
              <w:rPr>
                <w:sz w:val="18"/>
                <w:szCs w:val="18"/>
                <w:lang w:val="it-IT"/>
              </w:rPr>
              <w:t>Compatibil</w:t>
            </w:r>
          </w:p>
          <w:p w:rsidR="00403BA8" w:rsidRPr="00981BD4" w:rsidRDefault="00403BA8" w:rsidP="00DA725A">
            <w:pPr>
              <w:jc w:val="both"/>
              <w:rPr>
                <w:sz w:val="18"/>
                <w:szCs w:val="18"/>
                <w:lang w:val="it-IT"/>
              </w:rPr>
            </w:pPr>
          </w:p>
          <w:p w:rsidR="00403BA8" w:rsidRDefault="00403BA8" w:rsidP="00DA725A">
            <w:pPr>
              <w:jc w:val="both"/>
              <w:rPr>
                <w:sz w:val="18"/>
                <w:szCs w:val="18"/>
                <w:lang w:val="it-IT"/>
              </w:rPr>
            </w:pPr>
          </w:p>
          <w:p w:rsidR="00322059" w:rsidRPr="00981BD4" w:rsidRDefault="00322059" w:rsidP="00DA725A">
            <w:pPr>
              <w:jc w:val="both"/>
              <w:rPr>
                <w:sz w:val="18"/>
                <w:szCs w:val="18"/>
                <w:lang w:val="it-IT"/>
              </w:rPr>
            </w:pPr>
          </w:p>
          <w:p w:rsidR="00403BA8" w:rsidRPr="00D82EE4" w:rsidRDefault="00403BA8" w:rsidP="00DA725A">
            <w:pPr>
              <w:jc w:val="both"/>
              <w:rPr>
                <w:b/>
                <w:sz w:val="18"/>
                <w:szCs w:val="18"/>
                <w:lang w:val="it-IT"/>
              </w:rPr>
            </w:pPr>
            <w:r w:rsidRPr="00981BD4">
              <w:rPr>
                <w:sz w:val="18"/>
                <w:szCs w:val="18"/>
                <w:lang w:val="it-IT"/>
              </w:rPr>
              <w:t>Compatibil</w:t>
            </w:r>
          </w:p>
        </w:tc>
        <w:tc>
          <w:tcPr>
            <w:tcW w:w="4253" w:type="dxa"/>
            <w:shd w:val="clear" w:color="auto" w:fill="auto"/>
          </w:tcPr>
          <w:p w:rsidR="00CE3ABE" w:rsidRPr="00E84D74" w:rsidRDefault="00CE3ABE" w:rsidP="00DA725A">
            <w:pPr>
              <w:autoSpaceDE w:val="0"/>
              <w:autoSpaceDN w:val="0"/>
              <w:adjustRightInd w:val="0"/>
              <w:jc w:val="center"/>
              <w:rPr>
                <w:b/>
                <w:bCs/>
                <w:i/>
                <w:iCs/>
                <w:sz w:val="18"/>
                <w:szCs w:val="18"/>
              </w:rPr>
            </w:pPr>
            <w:r w:rsidRPr="00E84D74">
              <w:rPr>
                <w:b/>
                <w:bCs/>
                <w:i/>
                <w:iCs/>
                <w:sz w:val="18"/>
                <w:szCs w:val="18"/>
              </w:rPr>
              <w:t>Article 42</w:t>
            </w:r>
          </w:p>
          <w:p w:rsidR="00CE3ABE" w:rsidRPr="00E84D74" w:rsidRDefault="00CE3ABE" w:rsidP="00DA725A">
            <w:pPr>
              <w:autoSpaceDE w:val="0"/>
              <w:autoSpaceDN w:val="0"/>
              <w:adjustRightInd w:val="0"/>
              <w:jc w:val="center"/>
              <w:rPr>
                <w:b/>
                <w:bCs/>
                <w:sz w:val="18"/>
                <w:szCs w:val="18"/>
              </w:rPr>
            </w:pPr>
            <w:r w:rsidRPr="00E84D74">
              <w:rPr>
                <w:b/>
                <w:bCs/>
                <w:sz w:val="18"/>
                <w:szCs w:val="18"/>
              </w:rPr>
              <w:t>Information obligations of the forecasting party towards the transmission system</w:t>
            </w:r>
          </w:p>
          <w:p w:rsidR="00CE3ABE" w:rsidRPr="00E84D74" w:rsidRDefault="00CE3ABE" w:rsidP="00DA725A">
            <w:pPr>
              <w:autoSpaceDE w:val="0"/>
              <w:autoSpaceDN w:val="0"/>
              <w:adjustRightInd w:val="0"/>
              <w:jc w:val="center"/>
              <w:rPr>
                <w:b/>
                <w:bCs/>
                <w:sz w:val="18"/>
                <w:szCs w:val="18"/>
              </w:rPr>
            </w:pPr>
            <w:r w:rsidRPr="00E84D74">
              <w:rPr>
                <w:b/>
                <w:bCs/>
                <w:sz w:val="18"/>
                <w:szCs w:val="18"/>
              </w:rPr>
              <w:t>operator</w:t>
            </w:r>
          </w:p>
          <w:p w:rsidR="00CE3ABE" w:rsidRPr="00E84D74" w:rsidRDefault="00CE3ABE" w:rsidP="00DA725A">
            <w:pPr>
              <w:autoSpaceDE w:val="0"/>
              <w:autoSpaceDN w:val="0"/>
              <w:adjustRightInd w:val="0"/>
              <w:rPr>
                <w:sz w:val="18"/>
                <w:szCs w:val="18"/>
              </w:rPr>
            </w:pPr>
            <w:r w:rsidRPr="00E84D74">
              <w:rPr>
                <w:sz w:val="18"/>
                <w:szCs w:val="18"/>
              </w:rPr>
              <w:t>1. The forecasting party shall provide the transmission system operator with forecasts of network user’s non- daily metered off-takes and subsequent allocations consistent with the information requirements set out in Articles 36 and 37. This information shall be provided to the transmission system operator within the time sufficient for the transmission system operator to provide the information to network users and for day ahead and within day forecasts of a network user’s non-daily metered off-takes no later than one hour before the deadlines referred to in Article 36(1)(a) and (b), unless a later time sufficient for the transmission system operator to provide this information to the network users is agreed by the transmission system operator and the forecasting party.</w:t>
            </w:r>
          </w:p>
          <w:p w:rsidR="00CE3ABE" w:rsidRDefault="00CE3ABE" w:rsidP="00DA725A">
            <w:pPr>
              <w:autoSpaceDE w:val="0"/>
              <w:autoSpaceDN w:val="0"/>
              <w:adjustRightInd w:val="0"/>
              <w:rPr>
                <w:sz w:val="18"/>
                <w:szCs w:val="18"/>
              </w:rPr>
            </w:pPr>
            <w:r w:rsidRPr="00E84D74">
              <w:rPr>
                <w:sz w:val="18"/>
                <w:szCs w:val="18"/>
              </w:rPr>
              <w:t>2. The methodology for the forecast of a network user’s non-daily metered off-takes shall be based on a statistical demand model, with each non-daily metered off-take assigned with a load profile, consisting of a formula of the variation in gas demand versus variables such as temperature, day of week, customer type and holiday seasons. The methodology shall be subject to consultation before its adoption.</w:t>
            </w:r>
          </w:p>
          <w:p w:rsidR="00322059" w:rsidRPr="00E84D74" w:rsidRDefault="00322059" w:rsidP="00DA725A">
            <w:pPr>
              <w:autoSpaceDE w:val="0"/>
              <w:autoSpaceDN w:val="0"/>
              <w:adjustRightInd w:val="0"/>
              <w:rPr>
                <w:sz w:val="18"/>
                <w:szCs w:val="18"/>
              </w:rPr>
            </w:pPr>
          </w:p>
          <w:p w:rsidR="00CE3ABE" w:rsidRDefault="00CE3ABE" w:rsidP="00DA725A">
            <w:pPr>
              <w:autoSpaceDE w:val="0"/>
              <w:autoSpaceDN w:val="0"/>
              <w:adjustRightInd w:val="0"/>
              <w:rPr>
                <w:sz w:val="18"/>
                <w:szCs w:val="18"/>
              </w:rPr>
            </w:pPr>
            <w:r w:rsidRPr="00E84D74">
              <w:rPr>
                <w:sz w:val="18"/>
                <w:szCs w:val="18"/>
              </w:rPr>
              <w:t>3. A report on the accuracy of the forecast of a network user’s non-daily metered off-takes shall be published by the forecasting party at least every two years.</w:t>
            </w:r>
          </w:p>
          <w:p w:rsidR="00322059" w:rsidRPr="00E84D74" w:rsidRDefault="00322059" w:rsidP="00DA725A">
            <w:pPr>
              <w:autoSpaceDE w:val="0"/>
              <w:autoSpaceDN w:val="0"/>
              <w:adjustRightInd w:val="0"/>
              <w:rPr>
                <w:sz w:val="18"/>
                <w:szCs w:val="18"/>
              </w:rPr>
            </w:pPr>
          </w:p>
          <w:p w:rsidR="00CE3ABE" w:rsidRPr="00E84D74" w:rsidRDefault="00CE3ABE" w:rsidP="00DA725A">
            <w:pPr>
              <w:autoSpaceDE w:val="0"/>
              <w:autoSpaceDN w:val="0"/>
              <w:adjustRightInd w:val="0"/>
              <w:rPr>
                <w:sz w:val="18"/>
                <w:szCs w:val="18"/>
              </w:rPr>
            </w:pPr>
            <w:r w:rsidRPr="00E84D74">
              <w:rPr>
                <w:sz w:val="18"/>
                <w:szCs w:val="18"/>
              </w:rPr>
              <w:t>4. Where relevant, transmission system operators shall provide the data regarding gas flows within the time sufficient for the forecasting party to comply with its obligations under this Article.</w:t>
            </w:r>
          </w:p>
          <w:p w:rsidR="00A6023C" w:rsidRPr="00E84D74" w:rsidRDefault="00CE3ABE" w:rsidP="00DA725A">
            <w:pPr>
              <w:autoSpaceDE w:val="0"/>
              <w:autoSpaceDN w:val="0"/>
              <w:adjustRightInd w:val="0"/>
              <w:rPr>
                <w:b/>
                <w:bCs/>
                <w:sz w:val="18"/>
                <w:szCs w:val="18"/>
              </w:rPr>
            </w:pPr>
            <w:r w:rsidRPr="00E84D74">
              <w:rPr>
                <w:sz w:val="18"/>
                <w:szCs w:val="18"/>
              </w:rPr>
              <w:t xml:space="preserve">5. Paragraphs 2 to 4 shall, </w:t>
            </w:r>
            <w:r w:rsidRPr="00E84D74">
              <w:rPr>
                <w:i/>
                <w:iCs/>
                <w:sz w:val="18"/>
                <w:szCs w:val="18"/>
              </w:rPr>
              <w:t>mutatis mutandis</w:t>
            </w:r>
            <w:r w:rsidRPr="00E84D74">
              <w:rPr>
                <w:sz w:val="18"/>
                <w:szCs w:val="18"/>
              </w:rPr>
              <w:t>, apply to variant 1</w:t>
            </w:r>
          </w:p>
        </w:tc>
      </w:tr>
      <w:tr w:rsidR="003879B5" w:rsidRPr="00043955" w:rsidTr="00983016">
        <w:trPr>
          <w:trHeight w:val="409"/>
        </w:trPr>
        <w:tc>
          <w:tcPr>
            <w:tcW w:w="5245" w:type="dxa"/>
            <w:shd w:val="clear" w:color="auto" w:fill="auto"/>
          </w:tcPr>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CAPITOLUL IX</w:t>
            </w:r>
          </w:p>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SERVICIU DE FLEXIBILITATE PRIN STOCARE ÎN CONDUCTĂ</w:t>
            </w:r>
          </w:p>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43</w:t>
            </w:r>
          </w:p>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generale</w:t>
            </w:r>
          </w:p>
          <w:p w:rsidR="003879B5" w:rsidRPr="00981BD4" w:rsidRDefault="003879B5"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(1)   Un operator de sistem de transport poate oferi utilizatorilor rețelei un serviciu de flexibilitate prin stocare în conductă după ce termenii și </w:t>
            </w:r>
            <w:r w:rsidRPr="00981BD4">
              <w:rPr>
                <w:sz w:val="18"/>
                <w:szCs w:val="18"/>
                <w:lang w:val="it-IT" w:eastAsia="en-US"/>
              </w:rPr>
              <w:lastRenderedPageBreak/>
              <w:t>condițiile aferente sunt aprobate de autoritatea națională de reglementare. </w:t>
            </w:r>
          </w:p>
          <w:p w:rsidR="003879B5" w:rsidRPr="00981BD4" w:rsidRDefault="003879B5" w:rsidP="00DA725A">
            <w:pPr>
              <w:jc w:val="both"/>
              <w:textAlignment w:val="baseline"/>
              <w:rPr>
                <w:rFonts w:ascii="Segoe UI" w:hAnsi="Segoe UI" w:cs="Segoe UI"/>
                <w:sz w:val="18"/>
                <w:szCs w:val="18"/>
                <w:lang w:val="it-IT" w:eastAsia="en-US"/>
              </w:rPr>
            </w:pPr>
            <w:r w:rsidRPr="00981BD4">
              <w:rPr>
                <w:sz w:val="18"/>
                <w:szCs w:val="18"/>
                <w:lang w:val="it-IT" w:eastAsia="en-US"/>
              </w:rPr>
              <w:t>(2)   Termenii și condițiile aplicabile unui serviciu de flexibilitate prin stocare în conductă sunt în concordanță cu responsabilitatea utilizatorului rețelei de a-și echilibra intrările și ieșirile pe durata zilei gaziere. </w:t>
            </w:r>
          </w:p>
          <w:p w:rsidR="00322059" w:rsidRDefault="003879B5" w:rsidP="00322059">
            <w:pPr>
              <w:jc w:val="both"/>
              <w:textAlignment w:val="baseline"/>
              <w:rPr>
                <w:sz w:val="18"/>
                <w:szCs w:val="18"/>
                <w:lang w:val="it-IT" w:eastAsia="en-US"/>
              </w:rPr>
            </w:pPr>
            <w:r w:rsidRPr="00981BD4">
              <w:rPr>
                <w:sz w:val="18"/>
                <w:szCs w:val="18"/>
                <w:lang w:val="it-IT" w:eastAsia="en-US"/>
              </w:rPr>
              <w:t>(3)   Serviciul de flexibilitate prin stocare în conductă este limitat la nivelul de flexibilitate al stocării în conductă disponibil în rețeaua de transport și considerat ca nefiind necesar pentru îndeplinirea funcției sale de transport, conform evaluării operatorului de sistem de transport în cauză. </w:t>
            </w:r>
          </w:p>
          <w:p w:rsidR="00322059" w:rsidRDefault="00322059" w:rsidP="00322059">
            <w:pPr>
              <w:jc w:val="both"/>
              <w:textAlignment w:val="baseline"/>
              <w:rPr>
                <w:sz w:val="18"/>
                <w:szCs w:val="18"/>
                <w:lang w:val="it-IT" w:eastAsia="en-US"/>
              </w:rPr>
            </w:pPr>
          </w:p>
          <w:p w:rsidR="003879B5" w:rsidRDefault="003879B5" w:rsidP="00322059">
            <w:pPr>
              <w:jc w:val="both"/>
              <w:textAlignment w:val="baseline"/>
              <w:rPr>
                <w:sz w:val="18"/>
                <w:szCs w:val="18"/>
                <w:lang w:val="it-IT" w:eastAsia="en-US"/>
              </w:rPr>
            </w:pPr>
            <w:r w:rsidRPr="00981BD4">
              <w:rPr>
                <w:sz w:val="18"/>
                <w:szCs w:val="18"/>
                <w:lang w:val="it-IT" w:eastAsia="en-US"/>
              </w:rPr>
              <w:t>(4)   Gazul livrat către rețeaua de transport și preluat din aceasta de către utilizatorii rețelei în cadrul acestui serviciu este luat în considerare în scopul calculării cantității lor de dezechilibru zilnic. </w:t>
            </w:r>
          </w:p>
          <w:p w:rsidR="00322059" w:rsidRPr="00981BD4" w:rsidRDefault="00322059" w:rsidP="00322059">
            <w:pPr>
              <w:jc w:val="both"/>
              <w:textAlignment w:val="baseline"/>
              <w:rPr>
                <w:rFonts w:ascii="Segoe UI" w:hAnsi="Segoe UI" w:cs="Segoe UI"/>
                <w:sz w:val="18"/>
                <w:szCs w:val="18"/>
                <w:lang w:val="it-IT" w:eastAsia="en-US"/>
              </w:rPr>
            </w:pPr>
          </w:p>
          <w:p w:rsidR="003879B5" w:rsidRDefault="003879B5" w:rsidP="00DA725A">
            <w:pPr>
              <w:jc w:val="both"/>
              <w:textAlignment w:val="baseline"/>
              <w:rPr>
                <w:sz w:val="18"/>
                <w:szCs w:val="18"/>
                <w:lang w:val="it-IT" w:eastAsia="en-US"/>
              </w:rPr>
            </w:pPr>
            <w:r w:rsidRPr="00981BD4">
              <w:rPr>
                <w:sz w:val="18"/>
                <w:szCs w:val="18"/>
                <w:lang w:val="it-IT" w:eastAsia="en-US"/>
              </w:rPr>
              <w:t>(5)   Mecanismul de neutralitate stabilit în capitolul VII nu se aplică serviciului de flexibilitate prin stocare în conductă, cu excepția cazului în care autoritatea națională de reglementare decide altfel. </w:t>
            </w:r>
          </w:p>
          <w:p w:rsidR="00322059" w:rsidRPr="00981BD4" w:rsidRDefault="00322059" w:rsidP="00DA725A">
            <w:pPr>
              <w:jc w:val="both"/>
              <w:textAlignment w:val="baseline"/>
              <w:rPr>
                <w:rFonts w:ascii="Segoe UI" w:hAnsi="Segoe UI" w:cs="Segoe UI"/>
                <w:sz w:val="18"/>
                <w:szCs w:val="18"/>
                <w:lang w:val="it-IT" w:eastAsia="en-US"/>
              </w:rPr>
            </w:pPr>
          </w:p>
          <w:p w:rsidR="003879B5" w:rsidRPr="00981BD4" w:rsidRDefault="003879B5" w:rsidP="00DA725A">
            <w:pPr>
              <w:jc w:val="both"/>
              <w:textAlignment w:val="baseline"/>
              <w:rPr>
                <w:rFonts w:ascii="Segoe UI" w:hAnsi="Segoe UI" w:cs="Segoe UI"/>
                <w:sz w:val="18"/>
                <w:szCs w:val="18"/>
                <w:lang w:val="it-IT" w:eastAsia="en-US"/>
              </w:rPr>
            </w:pPr>
            <w:r w:rsidRPr="00981BD4">
              <w:rPr>
                <w:sz w:val="18"/>
                <w:szCs w:val="18"/>
                <w:lang w:val="it-IT" w:eastAsia="en-US"/>
              </w:rPr>
              <w:t>(6)   Utilizatorii rețelei notifică operatorului de sistem de transport în cauză utilizarea serviciului de flexibilitate prin stocare în conductă prin prezentarea de nominalizări și de renominalizări. </w:t>
            </w:r>
          </w:p>
          <w:p w:rsidR="003879B5" w:rsidRPr="00981BD4" w:rsidRDefault="003879B5" w:rsidP="00DA725A">
            <w:pPr>
              <w:textAlignment w:val="baseline"/>
              <w:rPr>
                <w:b/>
                <w:bCs/>
                <w:sz w:val="18"/>
                <w:szCs w:val="18"/>
                <w:lang w:val="it-IT" w:eastAsia="en-US"/>
              </w:rPr>
            </w:pPr>
            <w:r w:rsidRPr="00981BD4">
              <w:rPr>
                <w:sz w:val="18"/>
                <w:szCs w:val="18"/>
                <w:lang w:val="it-IT" w:eastAsia="en-US"/>
              </w:rPr>
              <w:t>(7)   Operatorul de sistem de transport poate să nu solicite utilizatorilor rețelei să transmită nominalizările și renominalizările menționate la alineatul (6), în cazul în care absența unei astfel de notificări nu subminează dezvoltarea pieței angro a gazului pe termen scurt, iar operatorul de sistem de transport are suficiente informații pentru a oferi o alocare exactă a utilizării unui serviciu de flexibilitate prin stocare în conductă în următoarea zi gazieră. </w:t>
            </w:r>
          </w:p>
        </w:tc>
        <w:tc>
          <w:tcPr>
            <w:tcW w:w="4962" w:type="dxa"/>
            <w:shd w:val="clear" w:color="auto" w:fill="auto"/>
          </w:tcPr>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lastRenderedPageBreak/>
              <w:t>Capitolul IX</w:t>
            </w:r>
          </w:p>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t>SERVICIUL DE FLEXIBILITATE PRIN STOCARE ÎN CONDUCTĂ</w:t>
            </w:r>
          </w:p>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t>Secţiunea 1</w:t>
            </w:r>
          </w:p>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t>Dispoziţii generale</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590.</w:t>
            </w:r>
            <w:r w:rsidRPr="005623B2">
              <w:rPr>
                <w:bCs/>
                <w:sz w:val="18"/>
                <w:szCs w:val="18"/>
                <w:lang w:val="ro-RO" w:eastAsia="en-US"/>
              </w:rPr>
              <w:t xml:space="preserve"> Un OST poate oferi utilizatorilor de sistem un serviciu de flexibilitate prin stocare în conductă după ce termenii şi condiţiile aferente sunt aprobate de Agenţie.</w:t>
            </w:r>
          </w:p>
          <w:p w:rsidR="007C0101" w:rsidRDefault="007C0101" w:rsidP="005623B2">
            <w:pPr>
              <w:textAlignment w:val="baseline"/>
              <w:rPr>
                <w:b/>
                <w:bCs/>
                <w:sz w:val="18"/>
                <w:szCs w:val="18"/>
                <w:lang w:val="ro-RO" w:eastAsia="en-US"/>
              </w:rPr>
            </w:pPr>
          </w:p>
          <w:p w:rsidR="005623B2" w:rsidRPr="005623B2" w:rsidRDefault="005623B2" w:rsidP="005623B2">
            <w:pPr>
              <w:textAlignment w:val="baseline"/>
              <w:rPr>
                <w:bCs/>
                <w:sz w:val="18"/>
                <w:szCs w:val="18"/>
                <w:lang w:val="ro-RO" w:eastAsia="en-US"/>
              </w:rPr>
            </w:pPr>
            <w:r w:rsidRPr="005623B2">
              <w:rPr>
                <w:b/>
                <w:bCs/>
                <w:sz w:val="18"/>
                <w:szCs w:val="18"/>
                <w:lang w:val="ro-RO" w:eastAsia="en-US"/>
              </w:rPr>
              <w:t>591.</w:t>
            </w:r>
            <w:r w:rsidRPr="005623B2">
              <w:rPr>
                <w:bCs/>
                <w:sz w:val="18"/>
                <w:szCs w:val="18"/>
                <w:lang w:val="ro-RO" w:eastAsia="en-US"/>
              </w:rPr>
              <w:t xml:space="preserve"> Termenii şi condiţiile aplicabile unui serviciu de flexibilitate prin stocare în conductă sunt în concordanţă cu responsabilitatea utilizatorului de sistem de a-şi echilibra intrările şi ieşirile pe durata zilei gaziere.</w:t>
            </w:r>
          </w:p>
          <w:p w:rsidR="005623B2" w:rsidRDefault="005623B2" w:rsidP="005623B2">
            <w:pPr>
              <w:textAlignment w:val="baseline"/>
              <w:rPr>
                <w:bCs/>
                <w:sz w:val="18"/>
                <w:szCs w:val="18"/>
                <w:lang w:val="ro-RO" w:eastAsia="en-US"/>
              </w:rPr>
            </w:pPr>
            <w:r w:rsidRPr="005623B2">
              <w:rPr>
                <w:b/>
                <w:bCs/>
                <w:sz w:val="18"/>
                <w:szCs w:val="18"/>
                <w:lang w:val="ro-RO" w:eastAsia="en-US"/>
              </w:rPr>
              <w:t>592.</w:t>
            </w:r>
            <w:r w:rsidRPr="005623B2">
              <w:rPr>
                <w:bCs/>
                <w:sz w:val="18"/>
                <w:szCs w:val="18"/>
                <w:lang w:val="ro-RO" w:eastAsia="en-US"/>
              </w:rPr>
              <w:t xml:space="preserve"> Serviciul de flexibilitate prin stocare în conductă este limitat la nivelul de flexibilitate al stocării în conductă disponibil în reţeaua de transport şi considerat ca nefiind necesar pentru îndeplinirea funcţiei sale de transport, conform evaluării OST în cauză.</w:t>
            </w:r>
          </w:p>
          <w:p w:rsidR="00322059" w:rsidRPr="005623B2" w:rsidRDefault="00322059" w:rsidP="005623B2">
            <w:pPr>
              <w:textAlignment w:val="baseline"/>
              <w:rPr>
                <w:bCs/>
                <w:sz w:val="18"/>
                <w:szCs w:val="18"/>
                <w:lang w:val="ro-RO" w:eastAsia="en-US"/>
              </w:rPr>
            </w:pPr>
          </w:p>
          <w:p w:rsidR="005623B2" w:rsidRPr="005623B2" w:rsidRDefault="005623B2" w:rsidP="005623B2">
            <w:pPr>
              <w:textAlignment w:val="baseline"/>
              <w:rPr>
                <w:bCs/>
                <w:sz w:val="18"/>
                <w:szCs w:val="18"/>
                <w:lang w:val="ro-RO" w:eastAsia="en-US"/>
              </w:rPr>
            </w:pPr>
            <w:r w:rsidRPr="005623B2">
              <w:rPr>
                <w:b/>
                <w:bCs/>
                <w:sz w:val="18"/>
                <w:szCs w:val="18"/>
                <w:lang w:val="ro-RO" w:eastAsia="en-US"/>
              </w:rPr>
              <w:t>593.</w:t>
            </w:r>
            <w:r w:rsidRPr="005623B2">
              <w:rPr>
                <w:bCs/>
                <w:sz w:val="18"/>
                <w:szCs w:val="18"/>
                <w:lang w:val="ro-RO" w:eastAsia="en-US"/>
              </w:rPr>
              <w:t xml:space="preserve"> Gazele naturale livrate în reţeaua de transport şi preluate din aceasta de către utilizatorii de sistem în cadrul acestui serviciu este luat în considerare în scopul calculării cantităţii lor de dezechilibru zilnic.</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594.</w:t>
            </w:r>
            <w:r w:rsidRPr="005623B2">
              <w:rPr>
                <w:bCs/>
                <w:sz w:val="18"/>
                <w:szCs w:val="18"/>
                <w:lang w:val="ro-RO" w:eastAsia="en-US"/>
              </w:rPr>
              <w:t xml:space="preserve"> Mecanismul de neutralitate stabilit în Capitolul VII al prezentului Titlu nu se aplică serviciului de flexibilitate prin stocare în conductă, cu excepţia cazului în care Agenţia decide altfel.</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595.</w:t>
            </w:r>
            <w:r w:rsidRPr="005623B2">
              <w:rPr>
                <w:bCs/>
                <w:sz w:val="18"/>
                <w:szCs w:val="18"/>
                <w:lang w:val="ro-RO" w:eastAsia="en-US"/>
              </w:rPr>
              <w:t xml:space="preserve"> Utilizatorii de sistem notifică OST în cauză despre utilizarea serviciului de flexibilitate prin stocare în conductă, prin prezentarea de nominalizări şi de renominalizări.</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596.</w:t>
            </w:r>
            <w:r w:rsidRPr="005623B2">
              <w:rPr>
                <w:bCs/>
                <w:sz w:val="18"/>
                <w:szCs w:val="18"/>
                <w:lang w:val="ro-RO" w:eastAsia="en-US"/>
              </w:rPr>
              <w:t xml:space="preserve"> OST poate să nu solicite utilizatorilor de sistem să transmită nominalizările şi renominalizările menţionate în pct.595, în cazul în care absenţa unei astfel de notificări nu subminează dezvoltarea pieţei angro a gazelor naturale pe termen scurt, iar OST are suficiente informaţii pentru a asigura o alocare exactă a utilizării unui serviciu de flexibilitate prin stocare în conductă în următoarea zi gazieră.</w:t>
            </w:r>
          </w:p>
          <w:p w:rsidR="003879B5" w:rsidRPr="005623B2" w:rsidRDefault="003879B5" w:rsidP="005623B2">
            <w:pPr>
              <w:textAlignment w:val="baseline"/>
              <w:rPr>
                <w:b/>
                <w:bCs/>
                <w:sz w:val="18"/>
                <w:szCs w:val="18"/>
                <w:lang w:val="ro-RO" w:eastAsia="en-US"/>
              </w:rPr>
            </w:pPr>
          </w:p>
        </w:tc>
        <w:tc>
          <w:tcPr>
            <w:tcW w:w="1275" w:type="dxa"/>
            <w:shd w:val="clear" w:color="auto" w:fill="auto"/>
          </w:tcPr>
          <w:p w:rsidR="00767C01" w:rsidRPr="00380C00" w:rsidRDefault="00767C01" w:rsidP="00DA725A">
            <w:pPr>
              <w:jc w:val="both"/>
              <w:rPr>
                <w:sz w:val="18"/>
                <w:szCs w:val="18"/>
                <w:lang w:val="ro-RO"/>
              </w:rPr>
            </w:pPr>
          </w:p>
          <w:p w:rsidR="00767C01" w:rsidRPr="00380C00" w:rsidRDefault="00767C01" w:rsidP="00DA725A">
            <w:pPr>
              <w:jc w:val="both"/>
              <w:rPr>
                <w:sz w:val="18"/>
                <w:szCs w:val="18"/>
                <w:lang w:val="ro-RO"/>
              </w:rPr>
            </w:pPr>
          </w:p>
          <w:p w:rsidR="00767C01" w:rsidRPr="00380C00" w:rsidRDefault="00767C01" w:rsidP="00DA725A">
            <w:pPr>
              <w:jc w:val="both"/>
              <w:rPr>
                <w:sz w:val="18"/>
                <w:szCs w:val="18"/>
                <w:lang w:val="ro-RO"/>
              </w:rPr>
            </w:pPr>
          </w:p>
          <w:p w:rsidR="00767C01" w:rsidRPr="00380C00" w:rsidRDefault="00767C01" w:rsidP="00DA725A">
            <w:pPr>
              <w:jc w:val="both"/>
              <w:rPr>
                <w:sz w:val="18"/>
                <w:szCs w:val="18"/>
                <w:lang w:val="ro-RO"/>
              </w:rPr>
            </w:pPr>
          </w:p>
          <w:p w:rsidR="00183FA7" w:rsidRPr="00380C00" w:rsidRDefault="00183FA7" w:rsidP="00DA725A">
            <w:pPr>
              <w:jc w:val="both"/>
              <w:rPr>
                <w:sz w:val="18"/>
                <w:szCs w:val="18"/>
                <w:lang w:val="ro-RO"/>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p>
          <w:p w:rsidR="00DE2104" w:rsidRPr="00981BD4" w:rsidRDefault="00DE2104"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DE2104" w:rsidRPr="00981BD4" w:rsidRDefault="00DE2104" w:rsidP="00DA725A">
            <w:pPr>
              <w:jc w:val="both"/>
              <w:rPr>
                <w:sz w:val="18"/>
                <w:szCs w:val="18"/>
                <w:lang w:val="it-IT"/>
              </w:rPr>
            </w:pPr>
          </w:p>
          <w:p w:rsidR="00DE2104" w:rsidRPr="00981BD4" w:rsidRDefault="00DE2104" w:rsidP="00DA725A">
            <w:pPr>
              <w:jc w:val="both"/>
              <w:rPr>
                <w:sz w:val="18"/>
                <w:szCs w:val="18"/>
                <w:lang w:val="it-IT"/>
              </w:rPr>
            </w:pPr>
          </w:p>
          <w:p w:rsidR="003879B5" w:rsidRDefault="003879B5" w:rsidP="00DA725A">
            <w:pPr>
              <w:jc w:val="both"/>
              <w:rPr>
                <w:sz w:val="18"/>
                <w:szCs w:val="18"/>
                <w:lang w:val="it-IT"/>
              </w:rPr>
            </w:pPr>
          </w:p>
          <w:p w:rsidR="00322059" w:rsidRPr="00981BD4" w:rsidRDefault="00322059" w:rsidP="00DA725A">
            <w:pPr>
              <w:jc w:val="both"/>
              <w:rPr>
                <w:sz w:val="18"/>
                <w:szCs w:val="18"/>
                <w:lang w:val="it-IT"/>
              </w:rPr>
            </w:pPr>
          </w:p>
          <w:p w:rsidR="003879B5" w:rsidRPr="00981BD4" w:rsidRDefault="00DE2104" w:rsidP="00DA725A">
            <w:pPr>
              <w:jc w:val="both"/>
              <w:rPr>
                <w:sz w:val="18"/>
                <w:szCs w:val="18"/>
                <w:lang w:val="it-IT"/>
              </w:rPr>
            </w:pPr>
            <w:r w:rsidRPr="00380C00">
              <w:rPr>
                <w:sz w:val="18"/>
                <w:szCs w:val="18"/>
                <w:lang w:val="it-IT"/>
              </w:rPr>
              <w:t>C</w:t>
            </w:r>
            <w:r w:rsidR="003879B5" w:rsidRPr="00981BD4">
              <w:rPr>
                <w:sz w:val="18"/>
                <w:szCs w:val="18"/>
                <w:lang w:val="it-IT"/>
              </w:rPr>
              <w:t>ompatibil</w:t>
            </w:r>
          </w:p>
          <w:p w:rsidR="003879B5" w:rsidRPr="00981BD4" w:rsidRDefault="003879B5" w:rsidP="00DA725A">
            <w:pPr>
              <w:jc w:val="both"/>
              <w:rPr>
                <w:sz w:val="18"/>
                <w:szCs w:val="18"/>
                <w:lang w:val="it-IT"/>
              </w:rPr>
            </w:pPr>
          </w:p>
          <w:p w:rsidR="003879B5" w:rsidRDefault="003879B5" w:rsidP="00DA725A">
            <w:pPr>
              <w:jc w:val="both"/>
              <w:rPr>
                <w:sz w:val="18"/>
                <w:szCs w:val="18"/>
                <w:lang w:val="it-IT"/>
              </w:rPr>
            </w:pPr>
          </w:p>
          <w:p w:rsidR="00322059" w:rsidRDefault="00322059"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Default="003879B5" w:rsidP="00DA725A">
            <w:pPr>
              <w:jc w:val="both"/>
              <w:rPr>
                <w:sz w:val="18"/>
                <w:szCs w:val="18"/>
                <w:lang w:val="it-IT"/>
              </w:rPr>
            </w:pPr>
          </w:p>
          <w:p w:rsidR="00322059" w:rsidRDefault="00322059" w:rsidP="00DA725A">
            <w:pPr>
              <w:jc w:val="both"/>
              <w:rPr>
                <w:sz w:val="18"/>
                <w:szCs w:val="18"/>
                <w:lang w:val="it-IT"/>
              </w:rPr>
            </w:pPr>
          </w:p>
          <w:p w:rsidR="00322059" w:rsidRPr="00981BD4" w:rsidRDefault="00322059"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3879B5" w:rsidRDefault="003879B5" w:rsidP="00DA725A">
            <w:pPr>
              <w:jc w:val="both"/>
              <w:rPr>
                <w:sz w:val="18"/>
                <w:szCs w:val="18"/>
                <w:lang w:val="it-IT"/>
              </w:rPr>
            </w:pPr>
          </w:p>
          <w:p w:rsidR="003879B5" w:rsidRDefault="003879B5" w:rsidP="00DA725A">
            <w:pPr>
              <w:jc w:val="both"/>
              <w:rPr>
                <w:b/>
                <w:sz w:val="18"/>
                <w:szCs w:val="18"/>
                <w:lang w:val="it-IT"/>
              </w:rPr>
            </w:pPr>
            <w:r w:rsidRPr="00E55B82">
              <w:rPr>
                <w:sz w:val="18"/>
                <w:szCs w:val="18"/>
              </w:rPr>
              <w:t>Compatibil</w:t>
            </w:r>
          </w:p>
        </w:tc>
        <w:tc>
          <w:tcPr>
            <w:tcW w:w="4253" w:type="dxa"/>
            <w:shd w:val="clear" w:color="auto" w:fill="auto"/>
          </w:tcPr>
          <w:p w:rsidR="003879B5" w:rsidRPr="00E84D74" w:rsidRDefault="003879B5" w:rsidP="003D56C7">
            <w:pPr>
              <w:autoSpaceDE w:val="0"/>
              <w:autoSpaceDN w:val="0"/>
              <w:adjustRightInd w:val="0"/>
              <w:jc w:val="center"/>
              <w:rPr>
                <w:b/>
                <w:bCs/>
                <w:sz w:val="18"/>
                <w:szCs w:val="18"/>
              </w:rPr>
            </w:pPr>
            <w:r w:rsidRPr="00E84D74">
              <w:rPr>
                <w:b/>
                <w:bCs/>
                <w:sz w:val="18"/>
                <w:szCs w:val="18"/>
              </w:rPr>
              <w:lastRenderedPageBreak/>
              <w:t>CHAPTER IX</w:t>
            </w:r>
          </w:p>
          <w:p w:rsidR="003879B5" w:rsidRPr="00E84D74" w:rsidRDefault="003879B5" w:rsidP="003D56C7">
            <w:pPr>
              <w:autoSpaceDE w:val="0"/>
              <w:autoSpaceDN w:val="0"/>
              <w:adjustRightInd w:val="0"/>
              <w:jc w:val="center"/>
              <w:rPr>
                <w:b/>
                <w:bCs/>
                <w:sz w:val="18"/>
                <w:szCs w:val="18"/>
              </w:rPr>
            </w:pPr>
            <w:r w:rsidRPr="00E84D74">
              <w:rPr>
                <w:b/>
                <w:bCs/>
                <w:sz w:val="18"/>
                <w:szCs w:val="18"/>
              </w:rPr>
              <w:t>LINEPACK FLEXIBILITY SERVICE</w:t>
            </w:r>
          </w:p>
          <w:p w:rsidR="003879B5" w:rsidRPr="00E84D74" w:rsidRDefault="003879B5" w:rsidP="003D56C7">
            <w:pPr>
              <w:autoSpaceDE w:val="0"/>
              <w:autoSpaceDN w:val="0"/>
              <w:adjustRightInd w:val="0"/>
              <w:jc w:val="center"/>
              <w:rPr>
                <w:b/>
                <w:bCs/>
                <w:i/>
                <w:iCs/>
                <w:sz w:val="18"/>
                <w:szCs w:val="18"/>
              </w:rPr>
            </w:pPr>
            <w:r w:rsidRPr="00E84D74">
              <w:rPr>
                <w:b/>
                <w:bCs/>
                <w:i/>
                <w:iCs/>
                <w:sz w:val="18"/>
                <w:szCs w:val="18"/>
              </w:rPr>
              <w:t>Article 43</w:t>
            </w:r>
          </w:p>
          <w:p w:rsidR="003879B5" w:rsidRPr="00E84D74" w:rsidRDefault="003879B5" w:rsidP="003D56C7">
            <w:pPr>
              <w:autoSpaceDE w:val="0"/>
              <w:autoSpaceDN w:val="0"/>
              <w:adjustRightInd w:val="0"/>
              <w:jc w:val="center"/>
              <w:rPr>
                <w:b/>
                <w:bCs/>
                <w:sz w:val="18"/>
                <w:szCs w:val="18"/>
              </w:rPr>
            </w:pPr>
            <w:r w:rsidRPr="00E84D74">
              <w:rPr>
                <w:b/>
                <w:bCs/>
                <w:sz w:val="18"/>
                <w:szCs w:val="18"/>
              </w:rPr>
              <w:t>General provisions</w:t>
            </w:r>
          </w:p>
          <w:p w:rsidR="003879B5" w:rsidRPr="00E84D74" w:rsidRDefault="003879B5" w:rsidP="003D56C7">
            <w:pPr>
              <w:autoSpaceDE w:val="0"/>
              <w:autoSpaceDN w:val="0"/>
              <w:adjustRightInd w:val="0"/>
              <w:jc w:val="both"/>
              <w:rPr>
                <w:sz w:val="18"/>
                <w:szCs w:val="18"/>
              </w:rPr>
            </w:pPr>
            <w:r w:rsidRPr="00E84D74">
              <w:rPr>
                <w:sz w:val="18"/>
                <w:szCs w:val="18"/>
              </w:rPr>
              <w:t>1. A transmission system operator may offer the provision of a linepack flexibility service to network users after the approval of the related terms and conditions by the national regulatory authority.</w:t>
            </w:r>
          </w:p>
          <w:p w:rsidR="00DE2104" w:rsidRPr="00E84D74" w:rsidRDefault="00DE2104" w:rsidP="003D56C7">
            <w:pPr>
              <w:autoSpaceDE w:val="0"/>
              <w:autoSpaceDN w:val="0"/>
              <w:adjustRightInd w:val="0"/>
              <w:jc w:val="both"/>
              <w:rPr>
                <w:sz w:val="18"/>
                <w:szCs w:val="18"/>
              </w:rPr>
            </w:pPr>
          </w:p>
          <w:p w:rsidR="003879B5" w:rsidRPr="00E84D74" w:rsidRDefault="003879B5" w:rsidP="003D56C7">
            <w:pPr>
              <w:autoSpaceDE w:val="0"/>
              <w:autoSpaceDN w:val="0"/>
              <w:adjustRightInd w:val="0"/>
              <w:jc w:val="both"/>
              <w:rPr>
                <w:sz w:val="18"/>
                <w:szCs w:val="18"/>
              </w:rPr>
            </w:pPr>
            <w:r w:rsidRPr="00E84D74">
              <w:rPr>
                <w:sz w:val="18"/>
                <w:szCs w:val="18"/>
              </w:rPr>
              <w:t>2. The terms and conditions applicable to a linepack flexibility service shall be consistent with the responsibility of a network user to balance its inputs and off-takes over the gas day.</w:t>
            </w:r>
          </w:p>
          <w:p w:rsidR="003879B5" w:rsidRPr="00E84D74" w:rsidRDefault="003879B5" w:rsidP="003D56C7">
            <w:pPr>
              <w:autoSpaceDE w:val="0"/>
              <w:autoSpaceDN w:val="0"/>
              <w:adjustRightInd w:val="0"/>
              <w:jc w:val="both"/>
              <w:rPr>
                <w:sz w:val="18"/>
                <w:szCs w:val="18"/>
              </w:rPr>
            </w:pPr>
            <w:r w:rsidRPr="00E84D74">
              <w:rPr>
                <w:sz w:val="18"/>
                <w:szCs w:val="18"/>
              </w:rPr>
              <w:t>3. The linepack flexibility service shall be limited to the level of linepack flexibility available in the transmission network and deemed not required for carrying out its function of transmission according to the concerned transmission system operator’s evaluation.</w:t>
            </w:r>
          </w:p>
          <w:p w:rsidR="003879B5" w:rsidRPr="00E84D74" w:rsidRDefault="003879B5" w:rsidP="003D56C7">
            <w:pPr>
              <w:autoSpaceDE w:val="0"/>
              <w:autoSpaceDN w:val="0"/>
              <w:adjustRightInd w:val="0"/>
              <w:jc w:val="both"/>
              <w:rPr>
                <w:sz w:val="18"/>
                <w:szCs w:val="18"/>
              </w:rPr>
            </w:pPr>
            <w:r w:rsidRPr="00E84D74">
              <w:rPr>
                <w:sz w:val="18"/>
                <w:szCs w:val="18"/>
              </w:rPr>
              <w:t>4. Gas delivered to and off-taken from the transmission network by network users under this service shall be taken into account for the purpose of calculation of their daily imbalance quantity.</w:t>
            </w:r>
          </w:p>
          <w:p w:rsidR="003879B5" w:rsidRDefault="003879B5" w:rsidP="003D56C7">
            <w:pPr>
              <w:autoSpaceDE w:val="0"/>
              <w:autoSpaceDN w:val="0"/>
              <w:adjustRightInd w:val="0"/>
              <w:jc w:val="both"/>
              <w:rPr>
                <w:sz w:val="18"/>
                <w:szCs w:val="18"/>
              </w:rPr>
            </w:pPr>
            <w:r w:rsidRPr="00E84D74">
              <w:rPr>
                <w:sz w:val="18"/>
                <w:szCs w:val="18"/>
              </w:rPr>
              <w:t>5. The neutrality mechanism set out in Chapter VII shall not apply to the linepack flexibility service unless otherwise decided by the national regulatory authority.</w:t>
            </w:r>
          </w:p>
          <w:p w:rsidR="00322059" w:rsidRPr="00E84D74" w:rsidRDefault="00322059" w:rsidP="003D56C7">
            <w:pPr>
              <w:autoSpaceDE w:val="0"/>
              <w:autoSpaceDN w:val="0"/>
              <w:adjustRightInd w:val="0"/>
              <w:jc w:val="both"/>
              <w:rPr>
                <w:sz w:val="18"/>
                <w:szCs w:val="18"/>
              </w:rPr>
            </w:pPr>
          </w:p>
          <w:p w:rsidR="003879B5" w:rsidRPr="00E84D74" w:rsidRDefault="003879B5" w:rsidP="003D56C7">
            <w:pPr>
              <w:autoSpaceDE w:val="0"/>
              <w:autoSpaceDN w:val="0"/>
              <w:adjustRightInd w:val="0"/>
              <w:jc w:val="both"/>
              <w:rPr>
                <w:sz w:val="18"/>
                <w:szCs w:val="18"/>
              </w:rPr>
            </w:pPr>
            <w:r w:rsidRPr="00E84D74">
              <w:rPr>
                <w:sz w:val="18"/>
                <w:szCs w:val="18"/>
              </w:rPr>
              <w:t>6. Network users shall notify the transmission system operator concerned of the use of the linepack flexibility service by submitting nominations and re-nominations.</w:t>
            </w:r>
          </w:p>
          <w:p w:rsidR="003879B5" w:rsidRPr="00E84D74" w:rsidRDefault="003879B5" w:rsidP="003D56C7">
            <w:pPr>
              <w:autoSpaceDE w:val="0"/>
              <w:autoSpaceDN w:val="0"/>
              <w:adjustRightInd w:val="0"/>
              <w:jc w:val="both"/>
              <w:rPr>
                <w:b/>
                <w:bCs/>
                <w:i/>
                <w:iCs/>
                <w:sz w:val="18"/>
                <w:szCs w:val="18"/>
              </w:rPr>
            </w:pPr>
            <w:r w:rsidRPr="00E84D74">
              <w:rPr>
                <w:sz w:val="18"/>
                <w:szCs w:val="18"/>
              </w:rPr>
              <w:t>7. The transmission system operator may refrain from requiring the network users to submit nominations</w:t>
            </w:r>
            <w:r w:rsidR="00DE2104" w:rsidRPr="00E84D74">
              <w:rPr>
                <w:sz w:val="18"/>
                <w:szCs w:val="18"/>
              </w:rPr>
              <w:t xml:space="preserve"> </w:t>
            </w:r>
            <w:r w:rsidRPr="00E84D74">
              <w:rPr>
                <w:sz w:val="18"/>
                <w:szCs w:val="18"/>
              </w:rPr>
              <w:t xml:space="preserve">and re-nominations referred to in paragraph 6, where the absence of such a notification does not undermine the development of the short term wholesale gas market and the transmission system operator has sufficient information to provide an accurate allocation of the use of a linepack flexibility </w:t>
            </w:r>
            <w:r w:rsidR="00DE2104" w:rsidRPr="00E84D74">
              <w:rPr>
                <w:sz w:val="18"/>
                <w:szCs w:val="18"/>
              </w:rPr>
              <w:t>s</w:t>
            </w:r>
            <w:r w:rsidRPr="00E84D74">
              <w:rPr>
                <w:sz w:val="18"/>
                <w:szCs w:val="18"/>
              </w:rPr>
              <w:t>ervice the following gas day.</w:t>
            </w:r>
          </w:p>
        </w:tc>
      </w:tr>
      <w:tr w:rsidR="0097704B" w:rsidRPr="00043955" w:rsidTr="00FC3840">
        <w:trPr>
          <w:trHeight w:val="1240"/>
        </w:trPr>
        <w:tc>
          <w:tcPr>
            <w:tcW w:w="5245" w:type="dxa"/>
            <w:shd w:val="clear" w:color="auto" w:fill="auto"/>
          </w:tcPr>
          <w:p w:rsidR="0097704B" w:rsidRPr="00981BD4" w:rsidRDefault="0097704B"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44</w:t>
            </w:r>
          </w:p>
          <w:p w:rsidR="0097704B" w:rsidRPr="00981BD4" w:rsidRDefault="0097704B" w:rsidP="00DA725A">
            <w:pPr>
              <w:jc w:val="center"/>
              <w:textAlignment w:val="baseline"/>
              <w:rPr>
                <w:rFonts w:ascii="Segoe UI" w:hAnsi="Segoe UI" w:cs="Segoe UI"/>
                <w:sz w:val="18"/>
                <w:szCs w:val="18"/>
                <w:lang w:val="it-IT" w:eastAsia="en-US"/>
              </w:rPr>
            </w:pPr>
            <w:r w:rsidRPr="00981BD4">
              <w:rPr>
                <w:b/>
                <w:bCs/>
                <w:sz w:val="18"/>
                <w:szCs w:val="18"/>
                <w:lang w:val="it-IT" w:eastAsia="en-US"/>
              </w:rPr>
              <w:t>Condiții pentru furnizarea unui serviciu de flexibilitate prin stocare în conductă</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(1)   Serviciul de flexibilitate prin stocare în conductă poate fi furnizat numai dacă toate criteriile următoare sunt îndeplinite: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nu este nevoit să încheie contracte cu niciun alt furnizor de infrastructură, precum un operator de sistem de stocare sau un operator de sistem GNL, în scopul furnizării unui serviciu de flexibilitate prin stocare în conductă;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veniturile generate de operatorul de sistem de transport în urma furnizării unui serviciu de flexibilitate prin stocare în conductă sunt cel puțin egale cu costurile suportate sau care urmează să fie suportate pentru furnizarea serviciului respectiv;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serviciul de flexibilitate prin stocare în conductă este pus la dispoziție în mod transparent și nediscriminatoriu și poate fi oferit prin folosirea unor mecanisme concurențiale;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(d)</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nu tarifează un utilizator al rețelei, nici direct, nici indirect, pentru costurile suportate în urma furnizării unui serviciu de flexibilitate prin stocare în conductă, în cazul în care utilizatorul respectiv al rețelei respectiv nu îl contractează; și </w:t>
            </w:r>
          </w:p>
          <w:p w:rsidR="0097704B" w:rsidRDefault="0097704B" w:rsidP="00DA725A">
            <w:pPr>
              <w:jc w:val="both"/>
              <w:textAlignment w:val="baseline"/>
              <w:rPr>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furnizarea unui serviciu de flexibilitate prin stocare în conductă nu are un impact negativ asupra comerțului transfrontalier. </w:t>
            </w:r>
          </w:p>
          <w:p w:rsidR="00322059" w:rsidRDefault="00322059" w:rsidP="00DA725A">
            <w:pPr>
              <w:jc w:val="both"/>
              <w:textAlignment w:val="baseline"/>
              <w:rPr>
                <w:sz w:val="18"/>
                <w:szCs w:val="18"/>
                <w:lang w:val="it-IT" w:eastAsia="en-US"/>
              </w:rPr>
            </w:pPr>
          </w:p>
          <w:p w:rsidR="00DF33C3" w:rsidRDefault="00DF33C3" w:rsidP="00DA725A">
            <w:pPr>
              <w:jc w:val="both"/>
              <w:textAlignment w:val="baseline"/>
              <w:rPr>
                <w:sz w:val="18"/>
                <w:szCs w:val="18"/>
                <w:lang w:val="it-IT" w:eastAsia="en-US"/>
              </w:rPr>
            </w:pPr>
          </w:p>
          <w:p w:rsidR="00322059" w:rsidRDefault="00322059" w:rsidP="00DA725A">
            <w:pPr>
              <w:jc w:val="both"/>
              <w:textAlignment w:val="baseline"/>
              <w:rPr>
                <w:sz w:val="18"/>
                <w:szCs w:val="18"/>
                <w:lang w:val="it-IT" w:eastAsia="en-US"/>
              </w:rPr>
            </w:pP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acordă prioritate reducerii obligațiilor în cursul zilei față de furnizarea unui serviciu de flexibilitate prin stocare în conductă. </w:t>
            </w:r>
          </w:p>
          <w:p w:rsidR="0097704B" w:rsidRPr="00981BD4" w:rsidRDefault="0097704B" w:rsidP="00DA725A">
            <w:pPr>
              <w:jc w:val="center"/>
              <w:textAlignment w:val="baseline"/>
              <w:rPr>
                <w:b/>
                <w:bCs/>
                <w:sz w:val="18"/>
                <w:szCs w:val="18"/>
                <w:lang w:val="it-IT" w:eastAsia="en-US"/>
              </w:rPr>
            </w:pPr>
          </w:p>
        </w:tc>
        <w:tc>
          <w:tcPr>
            <w:tcW w:w="4962" w:type="dxa"/>
            <w:shd w:val="clear" w:color="auto" w:fill="auto"/>
          </w:tcPr>
          <w:p w:rsidR="005623B2" w:rsidRPr="005623B2" w:rsidRDefault="005623B2" w:rsidP="007C0101">
            <w:pPr>
              <w:jc w:val="center"/>
              <w:textAlignment w:val="baseline"/>
              <w:rPr>
                <w:bCs/>
                <w:sz w:val="18"/>
                <w:szCs w:val="18"/>
                <w:lang w:val="ro-RO" w:eastAsia="en-US"/>
              </w:rPr>
            </w:pPr>
            <w:r w:rsidRPr="005623B2">
              <w:rPr>
                <w:b/>
                <w:bCs/>
                <w:sz w:val="18"/>
                <w:szCs w:val="18"/>
                <w:lang w:val="ro-RO" w:eastAsia="en-US"/>
              </w:rPr>
              <w:lastRenderedPageBreak/>
              <w:t>Secţiunea 2</w:t>
            </w:r>
          </w:p>
          <w:p w:rsidR="005623B2" w:rsidRPr="005623B2" w:rsidRDefault="005623B2" w:rsidP="007C0101">
            <w:pPr>
              <w:jc w:val="center"/>
              <w:textAlignment w:val="baseline"/>
              <w:rPr>
                <w:bCs/>
                <w:sz w:val="18"/>
                <w:szCs w:val="18"/>
                <w:lang w:val="ro-RO" w:eastAsia="en-US"/>
              </w:rPr>
            </w:pPr>
            <w:r w:rsidRPr="005623B2">
              <w:rPr>
                <w:b/>
                <w:bCs/>
                <w:sz w:val="18"/>
                <w:szCs w:val="18"/>
                <w:lang w:val="ro-RO" w:eastAsia="en-US"/>
              </w:rPr>
              <w:t>Condiţii pentru prestarea unui serviciu de flexibilitate</w:t>
            </w:r>
            <w:r w:rsidR="007C0101" w:rsidRPr="00670674">
              <w:rPr>
                <w:bCs/>
                <w:sz w:val="18"/>
                <w:szCs w:val="18"/>
                <w:lang w:val="it-IT" w:eastAsia="en-US"/>
              </w:rPr>
              <w:t xml:space="preserve"> </w:t>
            </w:r>
            <w:r w:rsidRPr="005623B2">
              <w:rPr>
                <w:b/>
                <w:bCs/>
                <w:sz w:val="18"/>
                <w:szCs w:val="18"/>
                <w:lang w:val="ro-RO" w:eastAsia="en-US"/>
              </w:rPr>
              <w:t>prin stocare în conductă</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597.</w:t>
            </w:r>
            <w:r w:rsidRPr="005623B2">
              <w:rPr>
                <w:bCs/>
                <w:sz w:val="18"/>
                <w:szCs w:val="18"/>
                <w:lang w:val="ro-RO" w:eastAsia="en-US"/>
              </w:rPr>
              <w:t xml:space="preserve"> Serviciul de flexibilitate prin stocare în conductă poate fi prestat numai dacă au fost îndeplinite următoarele criterii cumulativ:</w:t>
            </w:r>
          </w:p>
          <w:p w:rsidR="005623B2" w:rsidRDefault="005623B2" w:rsidP="005623B2">
            <w:pPr>
              <w:textAlignment w:val="baseline"/>
              <w:rPr>
                <w:bCs/>
                <w:sz w:val="18"/>
                <w:szCs w:val="18"/>
                <w:lang w:val="ro-RO" w:eastAsia="en-US"/>
              </w:rPr>
            </w:pPr>
          </w:p>
          <w:p w:rsidR="005623B2" w:rsidRPr="005623B2" w:rsidRDefault="005623B2" w:rsidP="00322059">
            <w:pPr>
              <w:textAlignment w:val="baseline"/>
              <w:rPr>
                <w:bCs/>
                <w:sz w:val="18"/>
                <w:szCs w:val="18"/>
                <w:lang w:val="ro-RO" w:eastAsia="en-US"/>
              </w:rPr>
            </w:pPr>
            <w:r w:rsidRPr="005623B2">
              <w:rPr>
                <w:bCs/>
                <w:sz w:val="18"/>
                <w:szCs w:val="18"/>
                <w:lang w:val="ro-RO" w:eastAsia="en-US"/>
              </w:rPr>
              <w:t>1) OST nu este nevoit să încheie contracte cu nici un alt operator al depozitului stocare sau operator GNL, în scopul prestării unui serviciu de flexibilitate prin stocare în conductă;</w:t>
            </w:r>
          </w:p>
          <w:p w:rsidR="005623B2" w:rsidRPr="005623B2" w:rsidRDefault="005623B2" w:rsidP="00322059">
            <w:pPr>
              <w:textAlignment w:val="baseline"/>
              <w:rPr>
                <w:bCs/>
                <w:sz w:val="18"/>
                <w:szCs w:val="18"/>
                <w:lang w:val="ro-RO" w:eastAsia="en-US"/>
              </w:rPr>
            </w:pPr>
            <w:r w:rsidRPr="005623B2">
              <w:rPr>
                <w:bCs/>
                <w:sz w:val="18"/>
                <w:szCs w:val="18"/>
                <w:lang w:val="ro-RO" w:eastAsia="en-US"/>
              </w:rPr>
              <w:t>2) veniturile generate de OST în urma prestării unui serviciu de flexibilitate prin stocare în conductă sunt cel puţin egale cu costurile suportate sau care urmează să fie suportate pentru prestarea serviciului respectiv;</w:t>
            </w:r>
          </w:p>
          <w:p w:rsidR="005623B2" w:rsidRPr="005623B2" w:rsidRDefault="005623B2" w:rsidP="00322059">
            <w:pPr>
              <w:textAlignment w:val="baseline"/>
              <w:rPr>
                <w:bCs/>
                <w:sz w:val="18"/>
                <w:szCs w:val="18"/>
                <w:lang w:val="ro-RO" w:eastAsia="en-US"/>
              </w:rPr>
            </w:pPr>
            <w:r w:rsidRPr="005623B2">
              <w:rPr>
                <w:bCs/>
                <w:sz w:val="18"/>
                <w:szCs w:val="18"/>
                <w:lang w:val="ro-RO" w:eastAsia="en-US"/>
              </w:rPr>
              <w:lastRenderedPageBreak/>
              <w:t>3) serviciul de flexibilitate prin stocare în conductă este pus la dispoziţie în mod transparent şi nediscriminatoriu şi poate fi oferit prin folosirea unor mecanisme concurenţiale;</w:t>
            </w:r>
          </w:p>
          <w:p w:rsidR="005623B2" w:rsidRPr="005623B2" w:rsidRDefault="005623B2" w:rsidP="00322059">
            <w:pPr>
              <w:textAlignment w:val="baseline"/>
              <w:rPr>
                <w:bCs/>
                <w:sz w:val="18"/>
                <w:szCs w:val="18"/>
                <w:lang w:val="ro-RO" w:eastAsia="en-US"/>
              </w:rPr>
            </w:pPr>
            <w:r w:rsidRPr="005623B2">
              <w:rPr>
                <w:bCs/>
                <w:sz w:val="18"/>
                <w:szCs w:val="18"/>
                <w:lang w:val="ro-RO" w:eastAsia="en-US"/>
              </w:rPr>
              <w:t xml:space="preserve">4) OST nu tarifează un utilizator de sistem, nici direct, nici indirect, pentru costurile suportate în urma prestării unui serviciu de flexibilitate prin stocare în conductă, în cazul în care utilizatorul de sistem respectiv nu îl contractează; </w:t>
            </w:r>
          </w:p>
          <w:p w:rsidR="005623B2" w:rsidRPr="005623B2" w:rsidRDefault="005623B2" w:rsidP="00322059">
            <w:pPr>
              <w:textAlignment w:val="baseline"/>
              <w:rPr>
                <w:bCs/>
                <w:sz w:val="18"/>
                <w:szCs w:val="18"/>
                <w:lang w:val="ro-RO" w:eastAsia="en-US"/>
              </w:rPr>
            </w:pPr>
            <w:r w:rsidRPr="005623B2">
              <w:rPr>
                <w:bCs/>
                <w:sz w:val="18"/>
                <w:szCs w:val="18"/>
                <w:lang w:val="ro-RO" w:eastAsia="en-US"/>
              </w:rPr>
              <w:t>5) prestarea unui serviciu de flexibilitate prin stocare în conductă nu are un impact negativ asupra comerţului transfrontalier.</w:t>
            </w:r>
          </w:p>
          <w:p w:rsidR="0097704B" w:rsidRPr="00BE464B" w:rsidRDefault="005623B2" w:rsidP="005623B2">
            <w:pPr>
              <w:textAlignment w:val="baseline"/>
              <w:rPr>
                <w:b/>
                <w:bCs/>
                <w:sz w:val="18"/>
                <w:szCs w:val="18"/>
                <w:lang w:val="ro-MD" w:eastAsia="en-US"/>
              </w:rPr>
            </w:pPr>
            <w:r w:rsidRPr="005623B2">
              <w:rPr>
                <w:b/>
                <w:bCs/>
                <w:sz w:val="18"/>
                <w:szCs w:val="18"/>
                <w:lang w:val="ro-RO" w:eastAsia="en-US"/>
              </w:rPr>
              <w:t>598.</w:t>
            </w:r>
            <w:r w:rsidRPr="005623B2">
              <w:rPr>
                <w:bCs/>
                <w:sz w:val="18"/>
                <w:szCs w:val="18"/>
                <w:lang w:val="ro-RO" w:eastAsia="en-US"/>
              </w:rPr>
              <w:t xml:space="preserve"> OST acordă prioritate reducerii obligaţiilor intrazilnice faţă de prestarea unui serviciu de flexibilitate prin stocare în conductă.</w:t>
            </w:r>
            <w:r w:rsidR="0097704B" w:rsidRPr="00BE464B">
              <w:rPr>
                <w:sz w:val="18"/>
                <w:szCs w:val="18"/>
                <w:lang w:eastAsia="en-US"/>
              </w:rPr>
              <w:t> </w:t>
            </w:r>
          </w:p>
        </w:tc>
        <w:tc>
          <w:tcPr>
            <w:tcW w:w="1275" w:type="dxa"/>
            <w:shd w:val="clear" w:color="auto" w:fill="auto"/>
          </w:tcPr>
          <w:p w:rsidR="0097704B" w:rsidRDefault="0097704B" w:rsidP="00DA725A">
            <w:pPr>
              <w:jc w:val="both"/>
              <w:rPr>
                <w:b/>
                <w:sz w:val="18"/>
                <w:szCs w:val="18"/>
                <w:lang w:val="it-IT"/>
              </w:rPr>
            </w:pPr>
          </w:p>
          <w:p w:rsidR="003879B5" w:rsidRDefault="003879B5" w:rsidP="00DA725A">
            <w:pPr>
              <w:jc w:val="both"/>
              <w:rPr>
                <w:b/>
                <w:sz w:val="18"/>
                <w:szCs w:val="18"/>
                <w:lang w:val="it-IT"/>
              </w:rPr>
            </w:pPr>
          </w:p>
          <w:p w:rsidR="00322059" w:rsidRDefault="00322059" w:rsidP="00DA725A">
            <w:pPr>
              <w:jc w:val="both"/>
              <w:rPr>
                <w:b/>
                <w:sz w:val="18"/>
                <w:szCs w:val="18"/>
                <w:lang w:val="it-IT"/>
              </w:rPr>
            </w:pPr>
          </w:p>
          <w:p w:rsidR="003879B5" w:rsidRDefault="006B50A5" w:rsidP="00DA725A">
            <w:pPr>
              <w:jc w:val="both"/>
              <w:rPr>
                <w:sz w:val="18"/>
                <w:szCs w:val="18"/>
              </w:rPr>
            </w:pPr>
            <w:r w:rsidRPr="00E55B82">
              <w:rPr>
                <w:sz w:val="18"/>
                <w:szCs w:val="18"/>
              </w:rPr>
              <w:t>Compatibil</w:t>
            </w: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DF33C3" w:rsidRDefault="00DF33C3" w:rsidP="00DA725A">
            <w:pPr>
              <w:jc w:val="both"/>
              <w:rPr>
                <w:sz w:val="18"/>
                <w:szCs w:val="18"/>
              </w:rPr>
            </w:pPr>
          </w:p>
          <w:p w:rsidR="006B50A5" w:rsidRDefault="006B50A5" w:rsidP="00DA725A">
            <w:pPr>
              <w:jc w:val="both"/>
              <w:rPr>
                <w:b/>
                <w:sz w:val="18"/>
                <w:szCs w:val="18"/>
                <w:lang w:val="it-IT"/>
              </w:rPr>
            </w:pPr>
            <w:r w:rsidRPr="00E55B82">
              <w:rPr>
                <w:sz w:val="18"/>
                <w:szCs w:val="18"/>
              </w:rPr>
              <w:t>Compatibil</w:t>
            </w:r>
          </w:p>
          <w:p w:rsidR="003879B5" w:rsidRDefault="003879B5" w:rsidP="00DA725A">
            <w:pPr>
              <w:jc w:val="both"/>
              <w:rPr>
                <w:b/>
                <w:sz w:val="18"/>
                <w:szCs w:val="18"/>
                <w:lang w:val="it-IT"/>
              </w:rPr>
            </w:pPr>
          </w:p>
          <w:p w:rsidR="003879B5" w:rsidRPr="00D82EE4" w:rsidRDefault="003879B5" w:rsidP="00DA725A">
            <w:pPr>
              <w:jc w:val="both"/>
              <w:rPr>
                <w:b/>
                <w:sz w:val="18"/>
                <w:szCs w:val="18"/>
                <w:lang w:val="it-IT"/>
              </w:rPr>
            </w:pPr>
          </w:p>
        </w:tc>
        <w:tc>
          <w:tcPr>
            <w:tcW w:w="4253" w:type="dxa"/>
            <w:shd w:val="clear" w:color="auto" w:fill="auto"/>
          </w:tcPr>
          <w:p w:rsidR="0097704B" w:rsidRPr="00E84D74" w:rsidRDefault="0097704B" w:rsidP="003D56C7">
            <w:pPr>
              <w:autoSpaceDE w:val="0"/>
              <w:autoSpaceDN w:val="0"/>
              <w:adjustRightInd w:val="0"/>
              <w:jc w:val="both"/>
              <w:rPr>
                <w:b/>
                <w:bCs/>
                <w:i/>
                <w:iCs/>
                <w:sz w:val="18"/>
                <w:szCs w:val="18"/>
              </w:rPr>
            </w:pPr>
            <w:r w:rsidRPr="00E84D74">
              <w:rPr>
                <w:b/>
                <w:bCs/>
                <w:i/>
                <w:iCs/>
                <w:sz w:val="18"/>
                <w:szCs w:val="18"/>
              </w:rPr>
              <w:lastRenderedPageBreak/>
              <w:t>Article 44</w:t>
            </w:r>
          </w:p>
          <w:p w:rsidR="0097704B" w:rsidRPr="00E84D74" w:rsidRDefault="0097704B" w:rsidP="003D56C7">
            <w:pPr>
              <w:autoSpaceDE w:val="0"/>
              <w:autoSpaceDN w:val="0"/>
              <w:adjustRightInd w:val="0"/>
              <w:jc w:val="both"/>
              <w:rPr>
                <w:b/>
                <w:bCs/>
                <w:sz w:val="18"/>
                <w:szCs w:val="18"/>
              </w:rPr>
            </w:pPr>
            <w:r w:rsidRPr="00E84D74">
              <w:rPr>
                <w:b/>
                <w:bCs/>
                <w:sz w:val="18"/>
                <w:szCs w:val="18"/>
              </w:rPr>
              <w:t>Conditions for provision of linepack flexibility service</w:t>
            </w:r>
          </w:p>
          <w:p w:rsidR="0097704B" w:rsidRPr="00E84D74" w:rsidRDefault="0097704B" w:rsidP="003D56C7">
            <w:pPr>
              <w:autoSpaceDE w:val="0"/>
              <w:autoSpaceDN w:val="0"/>
              <w:adjustRightInd w:val="0"/>
              <w:jc w:val="both"/>
              <w:rPr>
                <w:sz w:val="18"/>
                <w:szCs w:val="18"/>
              </w:rPr>
            </w:pPr>
            <w:r w:rsidRPr="00E84D74">
              <w:rPr>
                <w:sz w:val="18"/>
                <w:szCs w:val="18"/>
              </w:rPr>
              <w:t>1. Linepack flexibility service can only be provided once all the following criteria are met:</w:t>
            </w:r>
          </w:p>
          <w:p w:rsidR="0097704B" w:rsidRPr="00E84D74" w:rsidRDefault="0097704B" w:rsidP="003D56C7">
            <w:pPr>
              <w:autoSpaceDE w:val="0"/>
              <w:autoSpaceDN w:val="0"/>
              <w:adjustRightInd w:val="0"/>
              <w:jc w:val="both"/>
              <w:rPr>
                <w:sz w:val="18"/>
                <w:szCs w:val="18"/>
              </w:rPr>
            </w:pPr>
            <w:r w:rsidRPr="00E84D74">
              <w:rPr>
                <w:sz w:val="18"/>
                <w:szCs w:val="18"/>
              </w:rPr>
              <w:t>(a) the transmission system operator shall not need to enter into any contracts with any other infrastructure</w:t>
            </w:r>
            <w:r w:rsidR="00E92C9B" w:rsidRPr="00E84D74">
              <w:rPr>
                <w:sz w:val="18"/>
                <w:szCs w:val="18"/>
              </w:rPr>
              <w:t xml:space="preserve"> </w:t>
            </w:r>
            <w:r w:rsidRPr="00E84D74">
              <w:rPr>
                <w:sz w:val="18"/>
                <w:szCs w:val="18"/>
              </w:rPr>
              <w:t>provider, such as storage system operator or LNG system operator, for the purpose of provision of a linepack flexibility service;</w:t>
            </w:r>
          </w:p>
          <w:p w:rsidR="0097704B" w:rsidRPr="00E84D74" w:rsidRDefault="0097704B" w:rsidP="003D56C7">
            <w:pPr>
              <w:autoSpaceDE w:val="0"/>
              <w:autoSpaceDN w:val="0"/>
              <w:adjustRightInd w:val="0"/>
              <w:jc w:val="both"/>
              <w:rPr>
                <w:sz w:val="18"/>
                <w:szCs w:val="18"/>
              </w:rPr>
            </w:pPr>
            <w:r w:rsidRPr="00E84D74">
              <w:rPr>
                <w:sz w:val="18"/>
                <w:szCs w:val="18"/>
              </w:rPr>
              <w:t>(b) the revenues generated by the transmission system operator from the provision of a linepack flexibility service shall at least be equal to the costs incurred or to be incurred in providing this service;</w:t>
            </w:r>
          </w:p>
          <w:p w:rsidR="0097704B" w:rsidRPr="00E84D74" w:rsidRDefault="0097704B" w:rsidP="003D56C7">
            <w:pPr>
              <w:autoSpaceDE w:val="0"/>
              <w:autoSpaceDN w:val="0"/>
              <w:adjustRightInd w:val="0"/>
              <w:jc w:val="both"/>
              <w:rPr>
                <w:sz w:val="18"/>
                <w:szCs w:val="18"/>
              </w:rPr>
            </w:pPr>
            <w:r w:rsidRPr="00E84D74">
              <w:rPr>
                <w:sz w:val="18"/>
                <w:szCs w:val="18"/>
              </w:rPr>
              <w:lastRenderedPageBreak/>
              <w:t>(c) the linepack flexibility service shall be offered on a transparent and non-discriminatory basis and can be offered using competitive mechanisms;</w:t>
            </w:r>
          </w:p>
          <w:p w:rsidR="00663458" w:rsidRPr="00E84D74" w:rsidRDefault="0097704B" w:rsidP="003D56C7">
            <w:pPr>
              <w:autoSpaceDE w:val="0"/>
              <w:autoSpaceDN w:val="0"/>
              <w:adjustRightInd w:val="0"/>
              <w:jc w:val="both"/>
              <w:rPr>
                <w:sz w:val="18"/>
                <w:szCs w:val="18"/>
              </w:rPr>
            </w:pPr>
            <w:r w:rsidRPr="00E84D74">
              <w:rPr>
                <w:sz w:val="18"/>
                <w:szCs w:val="18"/>
              </w:rPr>
              <w:t>(d) the transmission system operator shall not charge, either directly or indirectly, a network user for any costs incurred by the provision of a linepack flexibility</w:t>
            </w:r>
            <w:r w:rsidR="003F5A98" w:rsidRPr="00E84D74">
              <w:rPr>
                <w:sz w:val="18"/>
                <w:szCs w:val="18"/>
              </w:rPr>
              <w:t xml:space="preserve"> </w:t>
            </w:r>
            <w:r w:rsidRPr="00E84D74">
              <w:rPr>
                <w:sz w:val="18"/>
                <w:szCs w:val="18"/>
              </w:rPr>
              <w:t xml:space="preserve">service, should this network user not contract for it; and </w:t>
            </w:r>
          </w:p>
          <w:p w:rsidR="0097704B" w:rsidRPr="00E84D74" w:rsidRDefault="0097704B" w:rsidP="003D56C7">
            <w:pPr>
              <w:autoSpaceDE w:val="0"/>
              <w:autoSpaceDN w:val="0"/>
              <w:adjustRightInd w:val="0"/>
              <w:jc w:val="both"/>
              <w:rPr>
                <w:sz w:val="18"/>
                <w:szCs w:val="18"/>
              </w:rPr>
            </w:pPr>
            <w:r w:rsidRPr="00E84D74">
              <w:rPr>
                <w:sz w:val="18"/>
                <w:szCs w:val="18"/>
              </w:rPr>
              <w:t>(e) the provision of a linepack flexibility service shall not have a detrimental impact on cross-border trade.</w:t>
            </w:r>
          </w:p>
          <w:p w:rsidR="0097704B" w:rsidRPr="00E84D74" w:rsidRDefault="0097704B" w:rsidP="003D56C7">
            <w:pPr>
              <w:autoSpaceDE w:val="0"/>
              <w:autoSpaceDN w:val="0"/>
              <w:adjustRightInd w:val="0"/>
              <w:jc w:val="both"/>
              <w:rPr>
                <w:sz w:val="18"/>
                <w:szCs w:val="18"/>
              </w:rPr>
            </w:pPr>
            <w:r w:rsidRPr="00E84D74">
              <w:rPr>
                <w:sz w:val="18"/>
                <w:szCs w:val="18"/>
              </w:rPr>
              <w:t>2. The transmission system operator shall prioritise the reduction of within day obligations over the provision of a linepack flexibility service.</w:t>
            </w:r>
          </w:p>
          <w:p w:rsidR="0097704B" w:rsidRPr="00E84D74" w:rsidRDefault="0097704B" w:rsidP="003D56C7">
            <w:pPr>
              <w:autoSpaceDE w:val="0"/>
              <w:autoSpaceDN w:val="0"/>
              <w:adjustRightInd w:val="0"/>
              <w:jc w:val="both"/>
              <w:rPr>
                <w:b/>
                <w:bCs/>
                <w:sz w:val="18"/>
                <w:szCs w:val="18"/>
              </w:rPr>
            </w:pPr>
          </w:p>
        </w:tc>
      </w:tr>
      <w:tr w:rsidR="003879B5" w:rsidRPr="00043955" w:rsidTr="00FC3840">
        <w:trPr>
          <w:trHeight w:val="1240"/>
        </w:trPr>
        <w:tc>
          <w:tcPr>
            <w:tcW w:w="5245" w:type="dxa"/>
            <w:shd w:val="clear" w:color="auto" w:fill="auto"/>
          </w:tcPr>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CAPITOLUL X</w:t>
            </w:r>
          </w:p>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t>MĂSURI PROVIZORII</w:t>
            </w:r>
          </w:p>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45</w:t>
            </w:r>
          </w:p>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t>Măsuri provizorii: dispoziții generale</w:t>
            </w:r>
          </w:p>
          <w:p w:rsidR="004C1A36" w:rsidRDefault="004C1A36" w:rsidP="00DA725A">
            <w:pPr>
              <w:jc w:val="both"/>
              <w:textAlignment w:val="baseline"/>
              <w:rPr>
                <w:sz w:val="18"/>
                <w:szCs w:val="18"/>
                <w:lang w:val="it-IT" w:eastAsia="en-US"/>
              </w:rPr>
            </w:pPr>
            <w:r w:rsidRPr="00981BD4">
              <w:rPr>
                <w:sz w:val="18"/>
                <w:szCs w:val="18"/>
                <w:lang w:val="it-IT" w:eastAsia="en-US"/>
              </w:rPr>
              <w:t>(1)   În absența unui nivel suficient de lichiditate al pieței angro a gazului pe termen scurt, operatorii de sisteme de transport pun în aplicare măsurile provizorii prevăzute la articolele 47-50. Acțiunile de echilibrare întreprinse de operatorul de sistem de transport în cazul unor măsuri provizorii favorizează pe cât posibil lichiditatea pieței angro a gazului pe termen scurt. </w:t>
            </w:r>
          </w:p>
          <w:p w:rsidR="00322059" w:rsidRPr="00981BD4" w:rsidRDefault="00322059" w:rsidP="00DA725A">
            <w:pPr>
              <w:jc w:val="both"/>
              <w:textAlignment w:val="baseline"/>
              <w:rPr>
                <w:rFonts w:ascii="Segoe UI" w:hAnsi="Segoe UI" w:cs="Segoe UI"/>
                <w:sz w:val="18"/>
                <w:szCs w:val="18"/>
                <w:lang w:val="it-IT" w:eastAsia="en-US"/>
              </w:rPr>
            </w:pPr>
          </w:p>
          <w:p w:rsidR="004C1A36" w:rsidRPr="00981BD4" w:rsidRDefault="004C1A36" w:rsidP="00DA725A">
            <w:pPr>
              <w:jc w:val="both"/>
              <w:textAlignment w:val="baseline"/>
              <w:rPr>
                <w:rFonts w:ascii="Segoe UI" w:hAnsi="Segoe UI" w:cs="Segoe UI"/>
                <w:sz w:val="18"/>
                <w:szCs w:val="18"/>
                <w:lang w:val="it-IT" w:eastAsia="en-US"/>
              </w:rPr>
            </w:pPr>
            <w:r w:rsidRPr="00981BD4">
              <w:rPr>
                <w:sz w:val="18"/>
                <w:szCs w:val="18"/>
                <w:lang w:val="it-IT" w:eastAsia="en-US"/>
              </w:rPr>
              <w:t>(2)   Recurgerea la o măsură provizorie nu aduce atingere punerii în aplicare a niciunei (niciunor) alte măsuri provizorii, ca alternativă la aceasta sau în completarea ei, cu condiția ca astfel de măsuri să vizeze promovarea concurenței și lichiditatea pieței angro a gazului pe termen scurt și să fie coerente cu principiile generale stabilite în prezentul regulament. </w:t>
            </w:r>
          </w:p>
          <w:p w:rsidR="004C1A36" w:rsidRDefault="004C1A36" w:rsidP="00DA725A">
            <w:pPr>
              <w:jc w:val="both"/>
              <w:textAlignment w:val="baseline"/>
              <w:rPr>
                <w:sz w:val="18"/>
                <w:szCs w:val="18"/>
                <w:lang w:val="it-IT" w:eastAsia="en-US"/>
              </w:rPr>
            </w:pPr>
            <w:r w:rsidRPr="00981BD4">
              <w:rPr>
                <w:sz w:val="18"/>
                <w:szCs w:val="18"/>
                <w:lang w:val="it-IT" w:eastAsia="en-US"/>
              </w:rPr>
              <w:t>(3)   Măsurile provizorii menționate la alineatele (1) și (2) trebuie elaborate și implementate de fiecare operator de sistem de transport, în conformitate cu raportul menționat la articolul 46 alineatul (1), aprobat de autoritatea națională de reglementare în conformitate cu procedura stabilită la articolul 46. </w:t>
            </w:r>
          </w:p>
          <w:p w:rsidR="00DF16A0" w:rsidRPr="00981BD4" w:rsidRDefault="00DF16A0" w:rsidP="00DA725A">
            <w:pPr>
              <w:jc w:val="both"/>
              <w:textAlignment w:val="baseline"/>
              <w:rPr>
                <w:rFonts w:ascii="Segoe UI" w:hAnsi="Segoe UI" w:cs="Segoe UI"/>
                <w:sz w:val="18"/>
                <w:szCs w:val="18"/>
                <w:lang w:val="it-IT" w:eastAsia="en-US"/>
              </w:rPr>
            </w:pPr>
          </w:p>
          <w:p w:rsidR="003879B5" w:rsidRPr="00981BD4" w:rsidRDefault="004C1A36" w:rsidP="00DA725A">
            <w:pPr>
              <w:jc w:val="both"/>
              <w:textAlignment w:val="baseline"/>
              <w:rPr>
                <w:b/>
                <w:sz w:val="18"/>
                <w:szCs w:val="18"/>
                <w:lang w:val="it-IT" w:eastAsia="en-US"/>
              </w:rPr>
            </w:pPr>
            <w:r w:rsidRPr="00981BD4">
              <w:rPr>
                <w:sz w:val="18"/>
                <w:szCs w:val="18"/>
                <w:lang w:val="it-IT" w:eastAsia="en-US"/>
              </w:rPr>
              <w:t>(4)   Raportul prevede încheierea măsurilor provizorii în termen de cel mult cinci ani de la intrarea în vigoare a prezentului regulament. </w:t>
            </w:r>
          </w:p>
        </w:tc>
        <w:tc>
          <w:tcPr>
            <w:tcW w:w="4962" w:type="dxa"/>
            <w:shd w:val="clear" w:color="auto" w:fill="auto"/>
          </w:tcPr>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Capitolul X</w:t>
            </w:r>
          </w:p>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MĂSURI PROVIZORII</w:t>
            </w:r>
          </w:p>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Secţiunea 1</w:t>
            </w:r>
          </w:p>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Măsuri provizorii: dispoziţii generale</w:t>
            </w:r>
          </w:p>
          <w:p w:rsidR="006A3B10" w:rsidRDefault="006A3B10" w:rsidP="006A3B10">
            <w:pPr>
              <w:textAlignment w:val="baseline"/>
              <w:rPr>
                <w:bCs/>
                <w:sz w:val="18"/>
                <w:szCs w:val="18"/>
                <w:lang w:val="ro-RO" w:eastAsia="en-US"/>
              </w:rPr>
            </w:pPr>
            <w:r w:rsidRPr="006A3B10">
              <w:rPr>
                <w:b/>
                <w:bCs/>
                <w:sz w:val="18"/>
                <w:szCs w:val="18"/>
                <w:lang w:val="ro-RO" w:eastAsia="en-US"/>
              </w:rPr>
              <w:t>599.</w:t>
            </w:r>
            <w:r w:rsidRPr="006A3B10">
              <w:rPr>
                <w:bCs/>
                <w:sz w:val="18"/>
                <w:szCs w:val="18"/>
                <w:lang w:val="ro-RO" w:eastAsia="en-US"/>
              </w:rPr>
              <w:t xml:space="preserve"> În absenţa unui nivel suficient de lichiditate al pieţei angro a gazelor naturale pe termen scurt, OST pun în aplicare măsurile provizorii prevăzute în Secţiunea 2 a prezentului Capitol. Acţiunile de echilibrare întreprinse de OST în cazul unor măsuri provizorii favorizează pe cât posibil lichiditatea pieţei angro a gazelor naturale pe termen scurt.</w:t>
            </w:r>
          </w:p>
          <w:p w:rsidR="00322059" w:rsidRPr="006A3B10" w:rsidRDefault="00322059" w:rsidP="006A3B10">
            <w:pPr>
              <w:textAlignment w:val="baseline"/>
              <w:rPr>
                <w:bCs/>
                <w:sz w:val="18"/>
                <w:szCs w:val="18"/>
                <w:lang w:val="ro-RO" w:eastAsia="en-US"/>
              </w:rPr>
            </w:pPr>
          </w:p>
          <w:p w:rsidR="006A3B10" w:rsidRPr="006A3B10" w:rsidRDefault="006A3B10" w:rsidP="006A3B10">
            <w:pPr>
              <w:textAlignment w:val="baseline"/>
              <w:rPr>
                <w:bCs/>
                <w:sz w:val="18"/>
                <w:szCs w:val="18"/>
                <w:lang w:val="ro-RO" w:eastAsia="en-US"/>
              </w:rPr>
            </w:pPr>
            <w:r w:rsidRPr="006A3B10">
              <w:rPr>
                <w:b/>
                <w:bCs/>
                <w:sz w:val="18"/>
                <w:szCs w:val="18"/>
                <w:lang w:val="ro-RO" w:eastAsia="en-US"/>
              </w:rPr>
              <w:t>600.</w:t>
            </w:r>
            <w:r w:rsidRPr="006A3B10">
              <w:rPr>
                <w:bCs/>
                <w:sz w:val="18"/>
                <w:szCs w:val="18"/>
                <w:lang w:val="ro-RO" w:eastAsia="en-US"/>
              </w:rPr>
              <w:t xml:space="preserve"> Recurgerea la o măsură provizorie nu aduce atingere punerii în aplicare a oricărei (nici unor) alte măsuri provizorii, ca soluţie alternativă sau suplimentară, cu condiţia că scopul acestor măsuri să vizeze promovarea concurenţei şi lichiditatea pieţei angro a gazelor naturale pe termen scurt şi să fie coerente cu principiile generale stabilite în prezentul Titlu. </w:t>
            </w:r>
          </w:p>
          <w:p w:rsidR="006A3B10" w:rsidRDefault="006A3B10" w:rsidP="006A3B10">
            <w:pPr>
              <w:textAlignment w:val="baseline"/>
              <w:rPr>
                <w:bCs/>
                <w:sz w:val="18"/>
                <w:szCs w:val="18"/>
                <w:lang w:val="ro-RO" w:eastAsia="en-US"/>
              </w:rPr>
            </w:pPr>
            <w:r w:rsidRPr="006A3B10">
              <w:rPr>
                <w:b/>
                <w:bCs/>
                <w:sz w:val="18"/>
                <w:szCs w:val="18"/>
                <w:lang w:val="ro-RO" w:eastAsia="en-US"/>
              </w:rPr>
              <w:t>601.</w:t>
            </w:r>
            <w:r w:rsidRPr="006A3B10">
              <w:rPr>
                <w:bCs/>
                <w:sz w:val="18"/>
                <w:szCs w:val="18"/>
                <w:lang w:val="ro-RO" w:eastAsia="en-US"/>
              </w:rPr>
              <w:t xml:space="preserve"> Măsurile provizorii menţionate în prezenta Secţiune trebuie elaborate şi implementate de fiecare OST, în conformitate cu raportul menţionat în pct.603, aprobat de Agenţia în conformitate cu procedura stabilită în Secţiunea 2 din prezentul Capitol.</w:t>
            </w:r>
          </w:p>
          <w:p w:rsidR="00DF16A0" w:rsidRDefault="00DF16A0" w:rsidP="006A3B10">
            <w:pPr>
              <w:textAlignment w:val="baseline"/>
              <w:rPr>
                <w:bCs/>
                <w:sz w:val="18"/>
                <w:szCs w:val="18"/>
                <w:lang w:val="ro-RO" w:eastAsia="en-US"/>
              </w:rPr>
            </w:pPr>
          </w:p>
          <w:p w:rsidR="00DF16A0" w:rsidRPr="006A3B10" w:rsidRDefault="00DF16A0" w:rsidP="006A3B10">
            <w:pPr>
              <w:textAlignment w:val="baseline"/>
              <w:rPr>
                <w:bCs/>
                <w:sz w:val="18"/>
                <w:szCs w:val="18"/>
                <w:lang w:val="ro-RO" w:eastAsia="en-US"/>
              </w:rPr>
            </w:pPr>
          </w:p>
          <w:p w:rsidR="003879B5" w:rsidRPr="00BE464B" w:rsidRDefault="006A3B10" w:rsidP="006A3B10">
            <w:pPr>
              <w:textAlignment w:val="baseline"/>
              <w:rPr>
                <w:b/>
                <w:bCs/>
                <w:sz w:val="18"/>
                <w:szCs w:val="18"/>
                <w:lang w:val="ro-MD" w:eastAsia="en-US"/>
              </w:rPr>
            </w:pPr>
            <w:r w:rsidRPr="006A3B10">
              <w:rPr>
                <w:b/>
                <w:bCs/>
                <w:sz w:val="18"/>
                <w:szCs w:val="18"/>
                <w:lang w:val="ro-RO" w:eastAsia="en-US"/>
              </w:rPr>
              <w:t>602.</w:t>
            </w:r>
            <w:r w:rsidRPr="006A3B10">
              <w:rPr>
                <w:bCs/>
                <w:sz w:val="18"/>
                <w:szCs w:val="18"/>
                <w:lang w:val="ro-RO" w:eastAsia="en-US"/>
              </w:rPr>
              <w:t xml:space="preserve"> Raportul prevede punerea în aplicare a măsurilor provizorii în termen de cel mult 5 ani de la intrarea în vigoare a prezentului Titlu.</w:t>
            </w:r>
          </w:p>
        </w:tc>
        <w:tc>
          <w:tcPr>
            <w:tcW w:w="1275" w:type="dxa"/>
            <w:shd w:val="clear" w:color="auto" w:fill="auto"/>
          </w:tcPr>
          <w:p w:rsidR="003879B5" w:rsidRDefault="003879B5" w:rsidP="00DA725A">
            <w:pPr>
              <w:jc w:val="both"/>
              <w:rPr>
                <w:b/>
                <w:sz w:val="18"/>
                <w:szCs w:val="18"/>
                <w:lang w:val="it-IT"/>
              </w:rPr>
            </w:pPr>
          </w:p>
          <w:p w:rsidR="00AC5C9B" w:rsidRDefault="00AC5C9B" w:rsidP="00DA725A">
            <w:pPr>
              <w:jc w:val="both"/>
              <w:rPr>
                <w:b/>
                <w:sz w:val="18"/>
                <w:szCs w:val="18"/>
                <w:lang w:val="it-IT"/>
              </w:rPr>
            </w:pPr>
          </w:p>
          <w:p w:rsidR="00AC5C9B" w:rsidRDefault="00AC5C9B" w:rsidP="00DA725A">
            <w:pPr>
              <w:jc w:val="both"/>
              <w:rPr>
                <w:b/>
                <w:sz w:val="18"/>
                <w:szCs w:val="18"/>
                <w:lang w:val="it-IT"/>
              </w:rPr>
            </w:pPr>
          </w:p>
          <w:p w:rsidR="00AC5C9B" w:rsidRDefault="00AC5C9B" w:rsidP="00DA725A">
            <w:pPr>
              <w:jc w:val="both"/>
              <w:rPr>
                <w:b/>
                <w:sz w:val="18"/>
                <w:szCs w:val="18"/>
                <w:lang w:val="it-IT"/>
              </w:rPr>
            </w:pPr>
          </w:p>
          <w:p w:rsidR="00AC5C9B" w:rsidRDefault="00AC5C9B" w:rsidP="00DA725A">
            <w:pPr>
              <w:jc w:val="both"/>
              <w:rPr>
                <w:sz w:val="18"/>
                <w:szCs w:val="18"/>
              </w:rPr>
            </w:pPr>
            <w:r w:rsidRPr="00E55B82">
              <w:rPr>
                <w:sz w:val="18"/>
                <w:szCs w:val="18"/>
              </w:rPr>
              <w:t>Compatibil</w:t>
            </w: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322059" w:rsidRDefault="00322059"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r w:rsidRPr="00E55B82">
              <w:rPr>
                <w:sz w:val="18"/>
                <w:szCs w:val="18"/>
              </w:rPr>
              <w:t>Compatibil</w:t>
            </w: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322059" w:rsidRDefault="00322059" w:rsidP="00DA725A">
            <w:pPr>
              <w:jc w:val="both"/>
              <w:rPr>
                <w:sz w:val="18"/>
                <w:szCs w:val="18"/>
              </w:rPr>
            </w:pPr>
          </w:p>
          <w:p w:rsidR="00AC5C9B" w:rsidRDefault="00AC5C9B" w:rsidP="00DA725A">
            <w:pPr>
              <w:jc w:val="both"/>
              <w:rPr>
                <w:sz w:val="18"/>
                <w:szCs w:val="18"/>
              </w:rPr>
            </w:pPr>
            <w:r w:rsidRPr="00E55B82">
              <w:rPr>
                <w:sz w:val="18"/>
                <w:szCs w:val="18"/>
              </w:rPr>
              <w:t>Comptibil</w:t>
            </w: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322059" w:rsidRDefault="00322059" w:rsidP="00DA725A">
            <w:pPr>
              <w:jc w:val="both"/>
              <w:rPr>
                <w:sz w:val="18"/>
                <w:szCs w:val="18"/>
              </w:rPr>
            </w:pPr>
          </w:p>
          <w:p w:rsidR="00183FA7" w:rsidRDefault="00183FA7" w:rsidP="00DA725A">
            <w:pPr>
              <w:rPr>
                <w:sz w:val="18"/>
                <w:szCs w:val="18"/>
              </w:rPr>
            </w:pPr>
            <w:r>
              <w:rPr>
                <w:sz w:val="18"/>
                <w:szCs w:val="18"/>
              </w:rPr>
              <w:t>Compatibil</w:t>
            </w:r>
          </w:p>
          <w:p w:rsidR="00183FA7" w:rsidRDefault="00183FA7" w:rsidP="00DA725A">
            <w:pPr>
              <w:jc w:val="both"/>
              <w:rPr>
                <w:b/>
                <w:sz w:val="18"/>
                <w:szCs w:val="18"/>
                <w:lang w:val="it-IT"/>
              </w:rPr>
            </w:pPr>
          </w:p>
        </w:tc>
        <w:tc>
          <w:tcPr>
            <w:tcW w:w="4253" w:type="dxa"/>
            <w:shd w:val="clear" w:color="auto" w:fill="auto"/>
          </w:tcPr>
          <w:p w:rsidR="004C1A36" w:rsidRPr="00E84D74" w:rsidRDefault="004C1A36" w:rsidP="003D56C7">
            <w:pPr>
              <w:autoSpaceDE w:val="0"/>
              <w:autoSpaceDN w:val="0"/>
              <w:adjustRightInd w:val="0"/>
              <w:jc w:val="center"/>
              <w:rPr>
                <w:b/>
                <w:bCs/>
                <w:sz w:val="18"/>
                <w:szCs w:val="18"/>
              </w:rPr>
            </w:pPr>
            <w:r w:rsidRPr="00E84D74">
              <w:rPr>
                <w:b/>
                <w:bCs/>
                <w:sz w:val="18"/>
                <w:szCs w:val="18"/>
              </w:rPr>
              <w:t>CHAPTER X</w:t>
            </w:r>
          </w:p>
          <w:p w:rsidR="004C1A36" w:rsidRPr="00E84D74" w:rsidRDefault="004C1A36" w:rsidP="003D56C7">
            <w:pPr>
              <w:autoSpaceDE w:val="0"/>
              <w:autoSpaceDN w:val="0"/>
              <w:adjustRightInd w:val="0"/>
              <w:jc w:val="center"/>
              <w:rPr>
                <w:b/>
                <w:bCs/>
                <w:sz w:val="18"/>
                <w:szCs w:val="18"/>
              </w:rPr>
            </w:pPr>
            <w:r w:rsidRPr="00E84D74">
              <w:rPr>
                <w:b/>
                <w:bCs/>
                <w:sz w:val="18"/>
                <w:szCs w:val="18"/>
              </w:rPr>
              <w:t>INTERIM MEASURES</w:t>
            </w:r>
          </w:p>
          <w:p w:rsidR="004C1A36" w:rsidRPr="00E84D74" w:rsidRDefault="004C1A36" w:rsidP="003D56C7">
            <w:pPr>
              <w:autoSpaceDE w:val="0"/>
              <w:autoSpaceDN w:val="0"/>
              <w:adjustRightInd w:val="0"/>
              <w:jc w:val="center"/>
              <w:rPr>
                <w:b/>
                <w:bCs/>
                <w:i/>
                <w:iCs/>
                <w:sz w:val="18"/>
                <w:szCs w:val="18"/>
              </w:rPr>
            </w:pPr>
            <w:r w:rsidRPr="00E84D74">
              <w:rPr>
                <w:b/>
                <w:bCs/>
                <w:i/>
                <w:iCs/>
                <w:sz w:val="18"/>
                <w:szCs w:val="18"/>
              </w:rPr>
              <w:t>Article 45</w:t>
            </w:r>
          </w:p>
          <w:p w:rsidR="004C1A36" w:rsidRPr="00E84D74" w:rsidRDefault="004C1A36" w:rsidP="003D56C7">
            <w:pPr>
              <w:autoSpaceDE w:val="0"/>
              <w:autoSpaceDN w:val="0"/>
              <w:adjustRightInd w:val="0"/>
              <w:jc w:val="center"/>
              <w:rPr>
                <w:b/>
                <w:bCs/>
                <w:sz w:val="18"/>
                <w:szCs w:val="18"/>
              </w:rPr>
            </w:pPr>
            <w:r w:rsidRPr="00E84D74">
              <w:rPr>
                <w:b/>
                <w:bCs/>
                <w:sz w:val="18"/>
                <w:szCs w:val="18"/>
              </w:rPr>
              <w:t>Interim measures: general provisions</w:t>
            </w:r>
          </w:p>
          <w:p w:rsidR="004C1A36" w:rsidRPr="00E84D74" w:rsidRDefault="004C1A36" w:rsidP="003D56C7">
            <w:pPr>
              <w:autoSpaceDE w:val="0"/>
              <w:autoSpaceDN w:val="0"/>
              <w:adjustRightInd w:val="0"/>
              <w:jc w:val="both"/>
              <w:rPr>
                <w:sz w:val="18"/>
                <w:szCs w:val="18"/>
              </w:rPr>
            </w:pPr>
            <w:r w:rsidRPr="00E84D74">
              <w:rPr>
                <w:sz w:val="18"/>
                <w:szCs w:val="18"/>
              </w:rPr>
              <w:t xml:space="preserve">1. In the absence of sufficient liquidity of the short-term wholesale gas market, suitable interim measures referred to in Articles 47 to 50 shall be implemented by the transmission system operators. Balancing actions undertaken by the transmission system operator in case of interim measures shall foster the liquidity of the short- term wholesale gas market to the extent possible. </w:t>
            </w:r>
          </w:p>
          <w:p w:rsidR="004C1A36" w:rsidRPr="00E84D74" w:rsidRDefault="004C1A36" w:rsidP="003D56C7">
            <w:pPr>
              <w:autoSpaceDE w:val="0"/>
              <w:autoSpaceDN w:val="0"/>
              <w:adjustRightInd w:val="0"/>
              <w:jc w:val="both"/>
              <w:rPr>
                <w:sz w:val="18"/>
                <w:szCs w:val="18"/>
              </w:rPr>
            </w:pPr>
            <w:r w:rsidRPr="00E84D74">
              <w:rPr>
                <w:sz w:val="18"/>
                <w:szCs w:val="18"/>
              </w:rPr>
              <w:t>2. The resort to an interim measure is without prejudice to the implementation of any other interim measure(s) as an alternative or additionally, provided that such measures aim at promoting competition and liquidity of the short term wholesale gas market and are consistent with the general principles set out in this Regulation.</w:t>
            </w:r>
          </w:p>
          <w:p w:rsidR="004C1A36" w:rsidRPr="00E84D74" w:rsidRDefault="004C1A36" w:rsidP="003D56C7">
            <w:pPr>
              <w:autoSpaceDE w:val="0"/>
              <w:autoSpaceDN w:val="0"/>
              <w:adjustRightInd w:val="0"/>
              <w:jc w:val="both"/>
              <w:rPr>
                <w:sz w:val="18"/>
                <w:szCs w:val="18"/>
              </w:rPr>
            </w:pPr>
            <w:r w:rsidRPr="00E84D74">
              <w:rPr>
                <w:sz w:val="18"/>
                <w:szCs w:val="18"/>
              </w:rPr>
              <w:t>3. The interim measures referred to in paragraph 1 and 2 shall be developed and implemented by each transmission system operator, in accordance with the report, referred to in Article 46(1), approved by the national regulatory authority in accordance with the procedure set out in Article 46.</w:t>
            </w:r>
          </w:p>
          <w:p w:rsidR="003879B5" w:rsidRPr="00E84D74" w:rsidRDefault="004C1A36" w:rsidP="003D56C7">
            <w:pPr>
              <w:autoSpaceDE w:val="0"/>
              <w:autoSpaceDN w:val="0"/>
              <w:adjustRightInd w:val="0"/>
              <w:jc w:val="both"/>
              <w:rPr>
                <w:b/>
                <w:bCs/>
                <w:sz w:val="18"/>
                <w:szCs w:val="18"/>
              </w:rPr>
            </w:pPr>
            <w:r w:rsidRPr="00E84D74">
              <w:rPr>
                <w:sz w:val="18"/>
                <w:szCs w:val="18"/>
              </w:rPr>
              <w:t xml:space="preserve">4. The report shall foresee the termination of the interim measures no later than five years as from the </w:t>
            </w:r>
            <w:r w:rsidRPr="00E84D74">
              <w:rPr>
                <w:b/>
                <w:bCs/>
                <w:sz w:val="18"/>
                <w:szCs w:val="18"/>
              </w:rPr>
              <w:t xml:space="preserve">expiry of the deadline for transposition </w:t>
            </w:r>
            <w:r w:rsidRPr="00E84D74">
              <w:rPr>
                <w:sz w:val="18"/>
                <w:szCs w:val="18"/>
              </w:rPr>
              <w:t>of this Regulation.</w:t>
            </w:r>
          </w:p>
        </w:tc>
      </w:tr>
      <w:tr w:rsidR="0097704B" w:rsidRPr="00043955" w:rsidTr="00FC3840">
        <w:trPr>
          <w:trHeight w:val="267"/>
        </w:trPr>
        <w:tc>
          <w:tcPr>
            <w:tcW w:w="5245" w:type="dxa"/>
            <w:shd w:val="clear" w:color="auto" w:fill="auto"/>
          </w:tcPr>
          <w:p w:rsidR="0097704B" w:rsidRPr="00BE464B" w:rsidRDefault="0097704B" w:rsidP="00DA725A">
            <w:pPr>
              <w:jc w:val="center"/>
              <w:textAlignment w:val="baseline"/>
              <w:rPr>
                <w:rFonts w:ascii="Segoe UI" w:hAnsi="Segoe UI" w:cs="Segoe UI"/>
                <w:sz w:val="18"/>
                <w:szCs w:val="18"/>
                <w:lang w:eastAsia="en-US"/>
              </w:rPr>
            </w:pPr>
            <w:r w:rsidRPr="00BE464B">
              <w:rPr>
                <w:b/>
                <w:bCs/>
                <w:sz w:val="18"/>
                <w:szCs w:val="18"/>
                <w:lang w:eastAsia="en-US"/>
              </w:rPr>
              <w:t>Articolul 46</w:t>
            </w:r>
          </w:p>
          <w:p w:rsidR="0097704B" w:rsidRPr="00BE464B" w:rsidRDefault="0097704B" w:rsidP="00DA725A">
            <w:pPr>
              <w:jc w:val="center"/>
              <w:textAlignment w:val="baseline"/>
              <w:rPr>
                <w:rFonts w:ascii="Segoe UI" w:hAnsi="Segoe UI" w:cs="Segoe UI"/>
                <w:sz w:val="18"/>
                <w:szCs w:val="18"/>
                <w:lang w:eastAsia="en-US"/>
              </w:rPr>
            </w:pPr>
            <w:r w:rsidRPr="00BE464B">
              <w:rPr>
                <w:b/>
                <w:bCs/>
                <w:sz w:val="18"/>
                <w:szCs w:val="18"/>
                <w:lang w:eastAsia="en-US"/>
              </w:rPr>
              <w:t>Măsuri provizorii: raport anual</w:t>
            </w:r>
          </w:p>
          <w:p w:rsidR="0097704B" w:rsidRPr="00BE464B" w:rsidRDefault="0097704B" w:rsidP="00DA725A">
            <w:pPr>
              <w:jc w:val="both"/>
              <w:textAlignment w:val="baseline"/>
              <w:rPr>
                <w:rFonts w:ascii="Segoe UI" w:hAnsi="Segoe UI" w:cs="Segoe UI"/>
                <w:sz w:val="18"/>
                <w:szCs w:val="18"/>
                <w:lang w:eastAsia="en-US"/>
              </w:rPr>
            </w:pPr>
            <w:r w:rsidRPr="00BE464B">
              <w:rPr>
                <w:sz w:val="18"/>
                <w:szCs w:val="18"/>
                <w:lang w:eastAsia="en-US"/>
              </w:rPr>
              <w:t>(1)   În cazul în care operatorul de sistem de transport prevede punerea în aplicare sau continuarea punerii în aplicare a măsurilor provizorii, aceasta întocmește un raport care trebuie să indice: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 xml:space="preserve">o descriere a stadiului de dezvoltare și a lichidității pieței angro a gazului pe termen scurt la momentul întocmirii raportului, inclusiv, </w:t>
            </w:r>
            <w:r w:rsidRPr="00981BD4">
              <w:rPr>
                <w:sz w:val="18"/>
                <w:szCs w:val="18"/>
                <w:lang w:val="it-IT" w:eastAsia="en-US"/>
              </w:rPr>
              <w:lastRenderedPageBreak/>
              <w:t>dacă acestea sunt puse la dispoziția operatorului de sistem de transport, printre altele: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numărul de tranzacții încheiate la punctul de tranzacționare virtual și numărul de tranzacții în general;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diferențele dintre ofertele de cumpărare și de vânzare și volumele acestor oferte;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(iii)</w:t>
            </w:r>
            <w:r w:rsidRPr="00981BD4">
              <w:rPr>
                <w:rFonts w:ascii="Calibri" w:hAnsi="Calibri" w:cs="Calibri"/>
                <w:sz w:val="18"/>
                <w:szCs w:val="18"/>
                <w:lang w:val="it-IT" w:eastAsia="en-US"/>
              </w:rPr>
              <w:t xml:space="preserve"> </w:t>
            </w:r>
            <w:r w:rsidRPr="00981BD4">
              <w:rPr>
                <w:sz w:val="18"/>
                <w:szCs w:val="18"/>
                <w:lang w:val="it-IT" w:eastAsia="en-US"/>
              </w:rPr>
              <w:t>numărul participanților cu acces la piața angro a gazului pe termen scurt;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(iv)</w:t>
            </w:r>
            <w:r w:rsidRPr="00981BD4">
              <w:rPr>
                <w:rFonts w:ascii="Calibri" w:hAnsi="Calibri" w:cs="Calibri"/>
                <w:sz w:val="18"/>
                <w:szCs w:val="18"/>
                <w:lang w:val="it-IT" w:eastAsia="en-US"/>
              </w:rPr>
              <w:t xml:space="preserve"> </w:t>
            </w:r>
            <w:r w:rsidRPr="00981BD4">
              <w:rPr>
                <w:sz w:val="18"/>
                <w:szCs w:val="18"/>
                <w:lang w:val="it-IT" w:eastAsia="en-US"/>
              </w:rPr>
              <w:t>numărul participanților care au fost activi pe piața angro a gazului pe termen scurt într-o anumită perioadă de timp;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măsurile provizorii care urmează să fie aplicate;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motivele aplicării măsurilor provizorii: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o explicație a motivelor pentru care măsurile sunt necesare, din cauza stadiului de dezvoltare a pieței angro a gazului pe termen scurt menționată la litera (b);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o evaluare a modului în care măsurile vor spori lichiditatea pieței angro a gazului pe termen scurt.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Default="0097704B" w:rsidP="00DA725A">
            <w:pPr>
              <w:jc w:val="both"/>
              <w:textAlignment w:val="baseline"/>
              <w:rPr>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o descriere a măsurilor care vor fi luate în scopul eliminării măsurilor provizorii, inclusiv criteriile privind elaborarea măsurilor respective, precum și o evaluare a calendarului aferent. </w:t>
            </w:r>
          </w:p>
          <w:p w:rsidR="00322059" w:rsidRDefault="00322059" w:rsidP="00DA725A">
            <w:pPr>
              <w:jc w:val="both"/>
              <w:textAlignment w:val="baseline"/>
              <w:rPr>
                <w:rFonts w:ascii="Segoe UI" w:hAnsi="Segoe UI" w:cs="Segoe UI"/>
                <w:sz w:val="18"/>
                <w:szCs w:val="18"/>
                <w:lang w:val="it-IT" w:eastAsia="en-US"/>
              </w:rPr>
            </w:pPr>
          </w:p>
          <w:p w:rsidR="00322059" w:rsidRDefault="00322059" w:rsidP="00DA725A">
            <w:pPr>
              <w:jc w:val="both"/>
              <w:textAlignment w:val="baseline"/>
              <w:rPr>
                <w:rFonts w:ascii="Segoe UI" w:hAnsi="Segoe UI" w:cs="Segoe UI"/>
                <w:sz w:val="18"/>
                <w:szCs w:val="18"/>
                <w:lang w:val="it-IT" w:eastAsia="en-US"/>
              </w:rPr>
            </w:pPr>
          </w:p>
          <w:p w:rsidR="002C437E" w:rsidRPr="00981BD4" w:rsidRDefault="002C437E" w:rsidP="00DA725A">
            <w:pPr>
              <w:jc w:val="both"/>
              <w:textAlignment w:val="baseline"/>
              <w:rPr>
                <w:rFonts w:ascii="Segoe UI" w:hAnsi="Segoe UI" w:cs="Segoe UI"/>
                <w:sz w:val="18"/>
                <w:szCs w:val="18"/>
                <w:lang w:val="it-IT" w:eastAsia="en-US"/>
              </w:rPr>
            </w:pPr>
          </w:p>
          <w:p w:rsidR="0097704B" w:rsidRPr="006F61EB"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(2)   Operatorul </w:t>
            </w:r>
            <w:r w:rsidRPr="006F61EB">
              <w:rPr>
                <w:sz w:val="18"/>
                <w:szCs w:val="18"/>
                <w:lang w:val="it-IT" w:eastAsia="en-US"/>
              </w:rPr>
              <w:t>de sistem de transport consultă părțile interesate cu privire la raportul propus. </w:t>
            </w:r>
          </w:p>
          <w:p w:rsidR="0097704B" w:rsidRPr="00981BD4" w:rsidRDefault="0097704B" w:rsidP="00DA725A">
            <w:pPr>
              <w:jc w:val="both"/>
              <w:textAlignment w:val="baseline"/>
              <w:rPr>
                <w:rFonts w:ascii="Segoe UI" w:hAnsi="Segoe UI" w:cs="Segoe UI"/>
                <w:sz w:val="18"/>
                <w:szCs w:val="18"/>
                <w:lang w:val="it-IT" w:eastAsia="en-US"/>
              </w:rPr>
            </w:pPr>
            <w:r w:rsidRPr="006F61EB">
              <w:rPr>
                <w:sz w:val="18"/>
                <w:szCs w:val="18"/>
                <w:lang w:val="it-IT" w:eastAsia="en-US"/>
              </w:rPr>
              <w:t>(3)   Ca urmare a procesului de consultare, operatorul de sistem de transport prezintă raportul autorității naționale de reglementare, spre aprobare. Primul raport se transmite în termen de șase luni de la data intrării în vigoare a prezentului regulament, iar rapoartele ulterioare care îl actualizează se prezintă anual, dacă este necesar.</w:t>
            </w:r>
            <w:r w:rsidRPr="00981BD4">
              <w:rPr>
                <w:sz w:val="18"/>
                <w:szCs w:val="18"/>
                <w:lang w:val="it-IT" w:eastAsia="en-US"/>
              </w:rPr>
              <w:t> </w:t>
            </w:r>
          </w:p>
          <w:p w:rsidR="00322059" w:rsidRDefault="00322059" w:rsidP="00DA725A">
            <w:pPr>
              <w:jc w:val="both"/>
              <w:textAlignment w:val="baseline"/>
              <w:rPr>
                <w:sz w:val="18"/>
                <w:szCs w:val="18"/>
                <w:lang w:val="it-IT" w:eastAsia="en-US"/>
              </w:rPr>
            </w:pPr>
          </w:p>
          <w:p w:rsidR="006F61EB" w:rsidRDefault="006F61EB" w:rsidP="00DA725A">
            <w:pPr>
              <w:jc w:val="both"/>
              <w:textAlignment w:val="baseline"/>
              <w:rPr>
                <w:sz w:val="18"/>
                <w:szCs w:val="18"/>
                <w:lang w:val="it-IT" w:eastAsia="en-US"/>
              </w:rPr>
            </w:pPr>
          </w:p>
          <w:p w:rsidR="0097704B" w:rsidRDefault="0097704B" w:rsidP="00DA725A">
            <w:pPr>
              <w:jc w:val="both"/>
              <w:textAlignment w:val="baseline"/>
              <w:rPr>
                <w:sz w:val="18"/>
                <w:szCs w:val="18"/>
                <w:lang w:val="it-IT" w:eastAsia="en-US"/>
              </w:rPr>
            </w:pPr>
            <w:r w:rsidRPr="00981BD4">
              <w:rPr>
                <w:sz w:val="18"/>
                <w:szCs w:val="18"/>
                <w:lang w:val="it-IT" w:eastAsia="en-US"/>
              </w:rPr>
              <w:t>(4)   Autoritatea națională de reglementare adoptă și publică o decizie motivată în termen de șase luni de la primirea raportului complet. Această decizie se notifică fără întârziere agenției și Comisiei. În ceea ce privește decizia dacă să aprobe raportul, autoritatea națională de reglementare analizează efectul său în ceea ce privește armonizarea regimurilor de echilibrare, facilitarea integrării pieței, asigurarea nediscriminării, concurența efectivă și funcționarea eficientă a pieței gazelor. </w:t>
            </w:r>
          </w:p>
          <w:p w:rsidR="00F556FE" w:rsidRDefault="00F556FE" w:rsidP="00DA725A">
            <w:pPr>
              <w:jc w:val="both"/>
              <w:textAlignment w:val="baseline"/>
              <w:rPr>
                <w:sz w:val="18"/>
                <w:szCs w:val="18"/>
                <w:lang w:val="it-IT" w:eastAsia="en-US"/>
              </w:rPr>
            </w:pPr>
          </w:p>
          <w:p w:rsidR="00F556FE" w:rsidRDefault="00F556FE" w:rsidP="00DA725A">
            <w:pPr>
              <w:jc w:val="both"/>
              <w:textAlignment w:val="baseline"/>
              <w:rPr>
                <w:sz w:val="18"/>
                <w:szCs w:val="18"/>
                <w:lang w:val="it-IT" w:eastAsia="en-US"/>
              </w:rPr>
            </w:pPr>
          </w:p>
          <w:p w:rsidR="002C437E" w:rsidRPr="00981BD4" w:rsidRDefault="002C437E" w:rsidP="00DA725A">
            <w:pPr>
              <w:jc w:val="both"/>
              <w:textAlignment w:val="baseline"/>
              <w:rPr>
                <w:rFonts w:ascii="Segoe UI" w:hAnsi="Segoe UI" w:cs="Segoe UI"/>
                <w:sz w:val="18"/>
                <w:szCs w:val="18"/>
                <w:lang w:val="it-IT" w:eastAsia="en-US"/>
              </w:rPr>
            </w:pPr>
          </w:p>
          <w:p w:rsidR="0097704B" w:rsidRPr="00981BD4" w:rsidRDefault="0097704B" w:rsidP="00DA725A">
            <w:pPr>
              <w:jc w:val="both"/>
              <w:textAlignment w:val="baseline"/>
              <w:rPr>
                <w:b/>
                <w:bCs/>
                <w:sz w:val="18"/>
                <w:szCs w:val="18"/>
                <w:lang w:val="it-IT" w:eastAsia="en-US"/>
              </w:rPr>
            </w:pPr>
            <w:r w:rsidRPr="00981BD4">
              <w:rPr>
                <w:sz w:val="18"/>
                <w:szCs w:val="18"/>
                <w:lang w:val="it-IT" w:eastAsia="en-US"/>
              </w:rPr>
              <w:t>(5)   Se aplică procedura prevăzută la articolul 27 alineatul (2). </w:t>
            </w:r>
          </w:p>
        </w:tc>
        <w:tc>
          <w:tcPr>
            <w:tcW w:w="4962" w:type="dxa"/>
            <w:shd w:val="clear" w:color="auto" w:fill="auto"/>
          </w:tcPr>
          <w:p w:rsidR="0097704B" w:rsidRPr="00981BD4" w:rsidRDefault="0097704B" w:rsidP="00322059">
            <w:pPr>
              <w:jc w:val="both"/>
              <w:textAlignment w:val="baseline"/>
              <w:rPr>
                <w:rFonts w:ascii="Segoe UI" w:hAnsi="Segoe UI" w:cs="Segoe UI"/>
                <w:sz w:val="18"/>
                <w:szCs w:val="18"/>
                <w:lang w:val="it-IT" w:eastAsia="en-US"/>
              </w:rPr>
            </w:pPr>
            <w:r w:rsidRPr="00BE464B">
              <w:rPr>
                <w:b/>
                <w:bCs/>
                <w:sz w:val="18"/>
                <w:szCs w:val="18"/>
                <w:lang w:val="ro-MD" w:eastAsia="en-US"/>
              </w:rPr>
              <w:lastRenderedPageBreak/>
              <w:t>Secţiunea 2</w:t>
            </w:r>
          </w:p>
          <w:p w:rsidR="0097704B" w:rsidRPr="00981BD4" w:rsidRDefault="0097704B" w:rsidP="00322059">
            <w:pPr>
              <w:jc w:val="both"/>
              <w:textAlignment w:val="baseline"/>
              <w:rPr>
                <w:rFonts w:ascii="Segoe UI" w:hAnsi="Segoe UI" w:cs="Segoe UI"/>
                <w:sz w:val="18"/>
                <w:szCs w:val="18"/>
                <w:lang w:val="it-IT" w:eastAsia="en-US"/>
              </w:rPr>
            </w:pPr>
            <w:r w:rsidRPr="00BE464B">
              <w:rPr>
                <w:b/>
                <w:bCs/>
                <w:sz w:val="18"/>
                <w:szCs w:val="18"/>
                <w:lang w:val="ro-MD" w:eastAsia="en-US"/>
              </w:rPr>
              <w:t>Măsuri provizorii: raport anual</w:t>
            </w:r>
          </w:p>
          <w:p w:rsidR="0097704B" w:rsidRPr="00981BD4" w:rsidRDefault="001F01C1" w:rsidP="00322059">
            <w:pPr>
              <w:jc w:val="both"/>
              <w:textAlignment w:val="baseline"/>
              <w:rPr>
                <w:rFonts w:ascii="Segoe UI" w:hAnsi="Segoe UI" w:cs="Segoe UI"/>
                <w:sz w:val="18"/>
                <w:szCs w:val="18"/>
                <w:lang w:val="it-IT" w:eastAsia="en-US"/>
              </w:rPr>
            </w:pPr>
            <w:r>
              <w:rPr>
                <w:sz w:val="18"/>
                <w:szCs w:val="18"/>
                <w:lang w:val="ro-MD" w:eastAsia="en-US"/>
              </w:rPr>
              <w:t>603</w:t>
            </w:r>
            <w:r w:rsidR="0097704B" w:rsidRPr="00BE464B">
              <w:rPr>
                <w:sz w:val="18"/>
                <w:szCs w:val="18"/>
                <w:lang w:val="ro-MD" w:eastAsia="en-US"/>
              </w:rPr>
              <w:t>. În cazul în care OST prevede punerea în aplicare sau continuarea punerii în aplicare a măsurilor provizorii, aceasta întocmește un raport care trebuie să indice:</w:t>
            </w:r>
            <w:r w:rsidR="0097704B"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lastRenderedPageBreak/>
              <w:t>1) o descriere a stadiului de dezvoltare și a lichidității pieței angro a gazului pe termen scurt la momentul întocmirii raportului, inclusiv, dacă acestea sunt puse la dispoziția OST, printre altele:</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a) numărul de tranzacții încheiate la punctul de tranzacționare virtual și numărul de tranzacții în general;</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b) diferențele dintre ofertele de cumpărare și de vânzare și volumele acestor oferte;</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c) numărul participanților cu acces la piața angro a gazelor naturale pe termen scurt;</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d) numărul participanților care au fost activi pe piața angro a gazelor naturale pe termen scurt într-o anumită perioadă de timp;</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981BD4">
              <w:rPr>
                <w:sz w:val="18"/>
                <w:szCs w:val="18"/>
                <w:lang w:val="it-IT" w:eastAsia="en-US"/>
              </w:rPr>
              <w:t> </w:t>
            </w:r>
            <w:r w:rsidRPr="00BE464B">
              <w:rPr>
                <w:sz w:val="18"/>
                <w:szCs w:val="18"/>
                <w:lang w:val="ro-MD" w:eastAsia="en-US"/>
              </w:rPr>
              <w:t>2) măsurile provizorii care urmează să fie aplicate;</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3) motivele aplicării măsurilor provizorii:</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a) o explicație a motivelor pentru care măsurile sunt necesare, din cauza stadiului de dezvoltare a pieței angro a gazului pe termen scurt menționată la litera (b);</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b) o evaluare a modului în care măsurile vor spori lichiditatea pieței angro a gazului pe termen scurt.</w:t>
            </w:r>
            <w:r w:rsidRPr="00981BD4">
              <w:rPr>
                <w:sz w:val="18"/>
                <w:szCs w:val="18"/>
                <w:lang w:val="it-IT" w:eastAsia="en-US"/>
              </w:rPr>
              <w:t> </w:t>
            </w:r>
          </w:p>
          <w:p w:rsidR="0097704B" w:rsidRDefault="0097704B" w:rsidP="00322059">
            <w:pPr>
              <w:jc w:val="both"/>
              <w:textAlignment w:val="baseline"/>
              <w:rPr>
                <w:sz w:val="18"/>
                <w:szCs w:val="18"/>
                <w:lang w:val="it-IT" w:eastAsia="en-US"/>
              </w:rPr>
            </w:pPr>
            <w:r w:rsidRPr="00981BD4">
              <w:rPr>
                <w:sz w:val="18"/>
                <w:szCs w:val="18"/>
                <w:lang w:val="it-IT" w:eastAsia="en-US"/>
              </w:rPr>
              <w:t> </w:t>
            </w:r>
            <w:r w:rsidRPr="00BE464B">
              <w:rPr>
                <w:sz w:val="18"/>
                <w:szCs w:val="18"/>
                <w:lang w:val="ro-MD" w:eastAsia="en-US"/>
              </w:rPr>
              <w:t>4) o descriere a măsurilor care vor fi luate în scopul eliminării măsurilor provizorii, inclusiv criteriile privind elaborarea măsurilor respective, precum și o evaluare a calendarului aferent.</w:t>
            </w:r>
            <w:r w:rsidRPr="00981BD4">
              <w:rPr>
                <w:sz w:val="18"/>
                <w:szCs w:val="18"/>
                <w:lang w:val="it-IT" w:eastAsia="en-US"/>
              </w:rPr>
              <w:t> </w:t>
            </w:r>
          </w:p>
          <w:p w:rsidR="00322059" w:rsidRDefault="00322059" w:rsidP="00322059">
            <w:pPr>
              <w:jc w:val="both"/>
              <w:textAlignment w:val="baseline"/>
              <w:rPr>
                <w:rFonts w:ascii="Segoe UI" w:hAnsi="Segoe UI" w:cs="Segoe UI"/>
                <w:sz w:val="18"/>
                <w:szCs w:val="18"/>
                <w:lang w:val="it-IT" w:eastAsia="en-US"/>
              </w:rPr>
            </w:pPr>
          </w:p>
          <w:p w:rsidR="00471C83" w:rsidRDefault="00471C83" w:rsidP="00322059">
            <w:pPr>
              <w:jc w:val="both"/>
              <w:textAlignment w:val="baseline"/>
              <w:rPr>
                <w:rFonts w:ascii="Segoe UI" w:hAnsi="Segoe UI" w:cs="Segoe UI"/>
                <w:sz w:val="18"/>
                <w:szCs w:val="18"/>
                <w:lang w:val="it-IT" w:eastAsia="en-US"/>
              </w:rPr>
            </w:pPr>
          </w:p>
          <w:p w:rsidR="002C437E" w:rsidRDefault="002C437E" w:rsidP="00322059">
            <w:pPr>
              <w:jc w:val="both"/>
              <w:textAlignment w:val="baseline"/>
              <w:rPr>
                <w:rFonts w:ascii="Segoe UI" w:hAnsi="Segoe UI" w:cs="Segoe UI"/>
                <w:sz w:val="18"/>
                <w:szCs w:val="18"/>
                <w:lang w:val="it-IT" w:eastAsia="en-US"/>
              </w:rPr>
            </w:pPr>
          </w:p>
          <w:p w:rsidR="006F61EB" w:rsidRDefault="006F61EB" w:rsidP="006F61EB">
            <w:pPr>
              <w:jc w:val="both"/>
              <w:rPr>
                <w:sz w:val="18"/>
                <w:szCs w:val="18"/>
                <w:lang w:val="it-IT"/>
              </w:rPr>
            </w:pPr>
            <w:r w:rsidRPr="006F61EB">
              <w:rPr>
                <w:sz w:val="18"/>
                <w:szCs w:val="18"/>
                <w:lang w:val="it-IT"/>
              </w:rPr>
              <w:t>604. OST consultă părțile interesate cu privire la raportul propus.</w:t>
            </w:r>
          </w:p>
          <w:p w:rsidR="002C437E" w:rsidRPr="006F61EB" w:rsidRDefault="002C437E" w:rsidP="006F61EB">
            <w:pPr>
              <w:jc w:val="both"/>
              <w:rPr>
                <w:sz w:val="18"/>
                <w:szCs w:val="18"/>
                <w:lang w:val="it-IT"/>
              </w:rPr>
            </w:pPr>
          </w:p>
          <w:p w:rsidR="006F61EB" w:rsidRPr="006F61EB" w:rsidRDefault="006F61EB" w:rsidP="006F61EB">
            <w:pPr>
              <w:jc w:val="both"/>
              <w:rPr>
                <w:sz w:val="18"/>
                <w:szCs w:val="18"/>
                <w:lang w:val="it-IT"/>
              </w:rPr>
            </w:pPr>
            <w:r w:rsidRPr="006F61EB">
              <w:rPr>
                <w:sz w:val="18"/>
                <w:szCs w:val="18"/>
                <w:lang w:val="it-IT"/>
              </w:rPr>
              <w:t>605. După respectarea procedurii de consultare, OST prezintă raportul Agenției, spre aprobare. Cererea OST se examinează de Agenție. Primul raport se transmite în termen de 6 luni de la data intrării în vigoare a prezentului Titlu, iar rapoartele ulterioare care îl actualizează se prezintă anual.</w:t>
            </w:r>
          </w:p>
          <w:p w:rsidR="0097704B" w:rsidRDefault="0097704B" w:rsidP="00322059">
            <w:pPr>
              <w:jc w:val="both"/>
              <w:textAlignment w:val="baseline"/>
              <w:rPr>
                <w:rFonts w:ascii="Segoe UI" w:hAnsi="Segoe UI" w:cs="Segoe UI"/>
                <w:sz w:val="18"/>
                <w:szCs w:val="18"/>
                <w:lang w:val="it-IT" w:eastAsia="en-US"/>
              </w:rPr>
            </w:pPr>
          </w:p>
          <w:p w:rsidR="002C437E" w:rsidRDefault="002C437E" w:rsidP="006F61EB">
            <w:pPr>
              <w:jc w:val="both"/>
              <w:rPr>
                <w:sz w:val="18"/>
                <w:szCs w:val="18"/>
                <w:lang w:val="it-IT"/>
              </w:rPr>
            </w:pPr>
          </w:p>
          <w:p w:rsidR="006F61EB" w:rsidRDefault="006F61EB" w:rsidP="006F61EB">
            <w:pPr>
              <w:jc w:val="both"/>
              <w:rPr>
                <w:sz w:val="18"/>
                <w:szCs w:val="18"/>
                <w:lang w:val="it-IT"/>
              </w:rPr>
            </w:pPr>
            <w:r w:rsidRPr="006F61EB">
              <w:rPr>
                <w:sz w:val="18"/>
                <w:szCs w:val="18"/>
                <w:lang w:val="it-IT"/>
              </w:rPr>
              <w:t>606.  Agenția adoptă și publică o Hotărâre motivată în termen de 6 luni de la primirea raportului complet. Această hotărâre se notifică fără întârziere Comitetului de Reglementare al Comunității Energetice și Secretariatului Comunității Energetice. În ceea ce privește hotărârea privind aprobarea raportului, Agenția analizează efectul său în ceea ce privește armonizarea regimurilor de echilibrare, facilitarea integrării pieței, asigurarea nediscriminării, concurența efectivă și funcționarea eficientă a pieței gazelor.</w:t>
            </w:r>
          </w:p>
          <w:p w:rsidR="00F556FE" w:rsidRDefault="00F556FE" w:rsidP="006F61EB">
            <w:pPr>
              <w:jc w:val="both"/>
              <w:rPr>
                <w:sz w:val="18"/>
                <w:szCs w:val="18"/>
                <w:lang w:val="it-IT"/>
              </w:rPr>
            </w:pPr>
          </w:p>
          <w:p w:rsidR="00F556FE" w:rsidRPr="006F61EB" w:rsidRDefault="00F556FE" w:rsidP="006F61EB">
            <w:pPr>
              <w:jc w:val="both"/>
              <w:rPr>
                <w:sz w:val="18"/>
                <w:szCs w:val="18"/>
                <w:lang w:val="it-IT"/>
              </w:rPr>
            </w:pPr>
          </w:p>
          <w:p w:rsidR="006F61EB" w:rsidRPr="006F61EB" w:rsidRDefault="006F61EB" w:rsidP="006F61EB">
            <w:pPr>
              <w:jc w:val="both"/>
              <w:rPr>
                <w:sz w:val="18"/>
                <w:szCs w:val="18"/>
                <w:lang w:val="it-IT"/>
              </w:rPr>
            </w:pPr>
            <w:r w:rsidRPr="006F61EB">
              <w:rPr>
                <w:sz w:val="18"/>
                <w:szCs w:val="18"/>
                <w:lang w:val="it-IT"/>
              </w:rPr>
              <w:t>607.  Prezentei Secțiuni i se aplică procedura prevăzută în pct. 536.</w:t>
            </w:r>
          </w:p>
          <w:p w:rsidR="0097704B" w:rsidRPr="006F61EB" w:rsidRDefault="0097704B" w:rsidP="00322059">
            <w:pPr>
              <w:jc w:val="both"/>
              <w:textAlignment w:val="baseline"/>
              <w:rPr>
                <w:b/>
                <w:bCs/>
                <w:sz w:val="18"/>
                <w:szCs w:val="18"/>
                <w:lang w:val="it-IT" w:eastAsia="en-US"/>
              </w:rPr>
            </w:pPr>
          </w:p>
        </w:tc>
        <w:tc>
          <w:tcPr>
            <w:tcW w:w="1275" w:type="dxa"/>
            <w:shd w:val="clear" w:color="auto" w:fill="auto"/>
          </w:tcPr>
          <w:p w:rsidR="0097704B" w:rsidRDefault="0097704B" w:rsidP="00322059">
            <w:pPr>
              <w:jc w:val="both"/>
              <w:rPr>
                <w:b/>
                <w:sz w:val="18"/>
                <w:szCs w:val="18"/>
                <w:lang w:val="it-IT"/>
              </w:rPr>
            </w:pPr>
          </w:p>
          <w:p w:rsidR="00385F44" w:rsidRDefault="00385F44" w:rsidP="00322059">
            <w:pPr>
              <w:jc w:val="both"/>
              <w:rPr>
                <w:b/>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Default="00385F44"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322059" w:rsidRPr="00981BD4" w:rsidRDefault="00322059" w:rsidP="00322059">
            <w:pPr>
              <w:jc w:val="both"/>
              <w:rPr>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Default="00385F44" w:rsidP="00322059">
            <w:pPr>
              <w:jc w:val="both"/>
              <w:rPr>
                <w:sz w:val="18"/>
                <w:szCs w:val="18"/>
                <w:lang w:val="it-IT"/>
              </w:rPr>
            </w:pPr>
          </w:p>
          <w:p w:rsidR="00183FA7" w:rsidRPr="00981BD4" w:rsidRDefault="00183FA7" w:rsidP="00322059">
            <w:pPr>
              <w:jc w:val="both"/>
              <w:rPr>
                <w:sz w:val="18"/>
                <w:szCs w:val="18"/>
                <w:lang w:val="it-IT"/>
              </w:rPr>
            </w:pPr>
          </w:p>
          <w:p w:rsidR="00385F44" w:rsidRPr="00981BD4" w:rsidRDefault="00385F44" w:rsidP="00322059">
            <w:pPr>
              <w:jc w:val="both"/>
              <w:rPr>
                <w:sz w:val="18"/>
                <w:szCs w:val="18"/>
                <w:lang w:val="it-IT"/>
              </w:rPr>
            </w:pPr>
          </w:p>
          <w:p w:rsidR="00322059" w:rsidRDefault="00322059" w:rsidP="00322059">
            <w:pPr>
              <w:jc w:val="both"/>
              <w:rPr>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D82EE4" w:rsidRDefault="00E643D1" w:rsidP="00322059">
            <w:pPr>
              <w:jc w:val="both"/>
              <w:rPr>
                <w:b/>
                <w:sz w:val="18"/>
                <w:szCs w:val="18"/>
                <w:lang w:val="it-IT"/>
              </w:rPr>
            </w:pPr>
          </w:p>
        </w:tc>
        <w:tc>
          <w:tcPr>
            <w:tcW w:w="4253" w:type="dxa"/>
            <w:shd w:val="clear" w:color="auto" w:fill="auto"/>
          </w:tcPr>
          <w:p w:rsidR="0097704B" w:rsidRPr="00E84D74" w:rsidRDefault="0097704B" w:rsidP="00322059">
            <w:pPr>
              <w:autoSpaceDE w:val="0"/>
              <w:autoSpaceDN w:val="0"/>
              <w:adjustRightInd w:val="0"/>
              <w:jc w:val="both"/>
              <w:rPr>
                <w:b/>
                <w:bCs/>
                <w:i/>
                <w:iCs/>
                <w:sz w:val="18"/>
                <w:szCs w:val="18"/>
              </w:rPr>
            </w:pPr>
            <w:r w:rsidRPr="00E84D74">
              <w:rPr>
                <w:b/>
                <w:bCs/>
                <w:i/>
                <w:iCs/>
                <w:sz w:val="18"/>
                <w:szCs w:val="18"/>
              </w:rPr>
              <w:lastRenderedPageBreak/>
              <w:t>Article 46</w:t>
            </w:r>
          </w:p>
          <w:p w:rsidR="0097704B" w:rsidRPr="00E84D74" w:rsidRDefault="0097704B" w:rsidP="00322059">
            <w:pPr>
              <w:autoSpaceDE w:val="0"/>
              <w:autoSpaceDN w:val="0"/>
              <w:adjustRightInd w:val="0"/>
              <w:jc w:val="both"/>
              <w:rPr>
                <w:b/>
                <w:bCs/>
                <w:sz w:val="18"/>
                <w:szCs w:val="18"/>
              </w:rPr>
            </w:pPr>
            <w:r w:rsidRPr="00E84D74">
              <w:rPr>
                <w:b/>
                <w:bCs/>
                <w:sz w:val="18"/>
                <w:szCs w:val="18"/>
              </w:rPr>
              <w:t>Interim measures: annual report</w:t>
            </w:r>
          </w:p>
          <w:p w:rsidR="0097704B" w:rsidRPr="00E84D74" w:rsidRDefault="0097704B" w:rsidP="00322059">
            <w:pPr>
              <w:autoSpaceDE w:val="0"/>
              <w:autoSpaceDN w:val="0"/>
              <w:adjustRightInd w:val="0"/>
              <w:jc w:val="both"/>
              <w:rPr>
                <w:sz w:val="18"/>
                <w:szCs w:val="18"/>
              </w:rPr>
            </w:pPr>
            <w:r w:rsidRPr="00E84D74">
              <w:rPr>
                <w:sz w:val="18"/>
                <w:szCs w:val="18"/>
              </w:rPr>
              <w:t>1. Where the transmission system operator foresees implementing or continuing to implement interim measures, it shall prepare a report which shall specify:</w:t>
            </w:r>
          </w:p>
          <w:p w:rsidR="0097704B" w:rsidRPr="00E84D74" w:rsidRDefault="0097704B" w:rsidP="00322059">
            <w:pPr>
              <w:autoSpaceDE w:val="0"/>
              <w:autoSpaceDN w:val="0"/>
              <w:adjustRightInd w:val="0"/>
              <w:jc w:val="both"/>
              <w:rPr>
                <w:sz w:val="18"/>
                <w:szCs w:val="18"/>
              </w:rPr>
            </w:pPr>
            <w:r w:rsidRPr="00E84D74">
              <w:rPr>
                <w:sz w:val="18"/>
                <w:szCs w:val="18"/>
              </w:rPr>
              <w:t xml:space="preserve">(a) a description of the state of development and the liquidity of the short term wholesale gas market at the </w:t>
            </w:r>
            <w:r w:rsidRPr="00E84D74">
              <w:rPr>
                <w:sz w:val="18"/>
                <w:szCs w:val="18"/>
              </w:rPr>
              <w:lastRenderedPageBreak/>
              <w:t xml:space="preserve">time of preparing the report, including, where available to the transmission system operator, </w:t>
            </w:r>
            <w:r w:rsidRPr="00E84D74">
              <w:rPr>
                <w:i/>
                <w:iCs/>
                <w:sz w:val="18"/>
                <w:szCs w:val="18"/>
              </w:rPr>
              <w:t>inter alia</w:t>
            </w:r>
            <w:r w:rsidRPr="00E84D74">
              <w:rPr>
                <w:sz w:val="18"/>
                <w:szCs w:val="18"/>
              </w:rPr>
              <w:t>:</w:t>
            </w:r>
          </w:p>
          <w:p w:rsidR="0097704B" w:rsidRPr="00E84D74" w:rsidRDefault="0097704B" w:rsidP="00322059">
            <w:pPr>
              <w:autoSpaceDE w:val="0"/>
              <w:autoSpaceDN w:val="0"/>
              <w:adjustRightInd w:val="0"/>
              <w:jc w:val="both"/>
              <w:rPr>
                <w:sz w:val="18"/>
                <w:szCs w:val="18"/>
              </w:rPr>
            </w:pPr>
            <w:r w:rsidRPr="00E84D74">
              <w:rPr>
                <w:sz w:val="18"/>
                <w:szCs w:val="18"/>
              </w:rPr>
              <w:t>(i) the number of transactions concluded at the virtual trading point and the number of transactions in general;</w:t>
            </w:r>
          </w:p>
          <w:p w:rsidR="0097704B" w:rsidRPr="00E84D74" w:rsidRDefault="0097704B" w:rsidP="00322059">
            <w:pPr>
              <w:autoSpaceDE w:val="0"/>
              <w:autoSpaceDN w:val="0"/>
              <w:adjustRightInd w:val="0"/>
              <w:jc w:val="both"/>
              <w:rPr>
                <w:sz w:val="18"/>
                <w:szCs w:val="18"/>
              </w:rPr>
            </w:pPr>
            <w:r w:rsidRPr="00E84D74">
              <w:rPr>
                <w:sz w:val="18"/>
                <w:szCs w:val="18"/>
              </w:rPr>
              <w:t>(ii) the bid/offer spreads and the volumes of bids and offers;</w:t>
            </w:r>
          </w:p>
          <w:p w:rsidR="0097704B" w:rsidRPr="00E84D74" w:rsidRDefault="0097704B" w:rsidP="00322059">
            <w:pPr>
              <w:autoSpaceDE w:val="0"/>
              <w:autoSpaceDN w:val="0"/>
              <w:adjustRightInd w:val="0"/>
              <w:jc w:val="both"/>
              <w:rPr>
                <w:sz w:val="18"/>
                <w:szCs w:val="18"/>
              </w:rPr>
            </w:pPr>
            <w:r w:rsidRPr="00E84D74">
              <w:rPr>
                <w:sz w:val="18"/>
                <w:szCs w:val="18"/>
              </w:rPr>
              <w:t>(iii) the number of participants having access to the short term wholesale gas market;</w:t>
            </w:r>
          </w:p>
          <w:p w:rsidR="0097704B" w:rsidRPr="00E84D74" w:rsidRDefault="0097704B" w:rsidP="00322059">
            <w:pPr>
              <w:autoSpaceDE w:val="0"/>
              <w:autoSpaceDN w:val="0"/>
              <w:adjustRightInd w:val="0"/>
              <w:jc w:val="both"/>
              <w:rPr>
                <w:sz w:val="18"/>
                <w:szCs w:val="18"/>
              </w:rPr>
            </w:pPr>
            <w:r w:rsidRPr="00E84D74">
              <w:rPr>
                <w:sz w:val="18"/>
                <w:szCs w:val="18"/>
              </w:rPr>
              <w:t>(iv) the number of participants having been active on the short term wholesale gas market during a given period of time;</w:t>
            </w:r>
          </w:p>
          <w:p w:rsidR="0097704B" w:rsidRPr="00E84D74" w:rsidRDefault="0097704B" w:rsidP="00322059">
            <w:pPr>
              <w:autoSpaceDE w:val="0"/>
              <w:autoSpaceDN w:val="0"/>
              <w:adjustRightInd w:val="0"/>
              <w:jc w:val="both"/>
              <w:rPr>
                <w:sz w:val="18"/>
                <w:szCs w:val="18"/>
              </w:rPr>
            </w:pPr>
            <w:r w:rsidRPr="00E84D74">
              <w:rPr>
                <w:sz w:val="18"/>
                <w:szCs w:val="18"/>
              </w:rPr>
              <w:t xml:space="preserve">(b) the interim measures to be applied </w:t>
            </w:r>
          </w:p>
          <w:p w:rsidR="0097704B" w:rsidRPr="00E84D74" w:rsidRDefault="0097704B" w:rsidP="00322059">
            <w:pPr>
              <w:autoSpaceDE w:val="0"/>
              <w:autoSpaceDN w:val="0"/>
              <w:adjustRightInd w:val="0"/>
              <w:jc w:val="both"/>
              <w:rPr>
                <w:sz w:val="18"/>
                <w:szCs w:val="18"/>
              </w:rPr>
            </w:pPr>
            <w:r w:rsidRPr="00E84D74">
              <w:rPr>
                <w:sz w:val="18"/>
                <w:szCs w:val="18"/>
              </w:rPr>
              <w:t>(c) the reasons for the application of the interim measures:</w:t>
            </w:r>
          </w:p>
          <w:p w:rsidR="0097704B" w:rsidRPr="00E84D74" w:rsidRDefault="0097704B" w:rsidP="00322059">
            <w:pPr>
              <w:autoSpaceDE w:val="0"/>
              <w:autoSpaceDN w:val="0"/>
              <w:adjustRightInd w:val="0"/>
              <w:jc w:val="both"/>
              <w:rPr>
                <w:sz w:val="18"/>
                <w:szCs w:val="18"/>
              </w:rPr>
            </w:pPr>
            <w:r w:rsidRPr="00E84D74">
              <w:rPr>
                <w:sz w:val="18"/>
                <w:szCs w:val="18"/>
              </w:rPr>
              <w:t>(i) an explanation why they are needed due to the state of development of the short term wholesale</w:t>
            </w:r>
            <w:r w:rsidR="0007358E" w:rsidRPr="00E84D74">
              <w:rPr>
                <w:sz w:val="18"/>
                <w:szCs w:val="18"/>
              </w:rPr>
              <w:t xml:space="preserve"> </w:t>
            </w:r>
            <w:r w:rsidRPr="00E84D74">
              <w:rPr>
                <w:sz w:val="18"/>
                <w:szCs w:val="18"/>
              </w:rPr>
              <w:t>gas market referred to in point (b);</w:t>
            </w:r>
          </w:p>
          <w:p w:rsidR="0097704B" w:rsidRPr="00E84D74" w:rsidRDefault="0097704B" w:rsidP="00322059">
            <w:pPr>
              <w:autoSpaceDE w:val="0"/>
              <w:autoSpaceDN w:val="0"/>
              <w:adjustRightInd w:val="0"/>
              <w:jc w:val="both"/>
              <w:rPr>
                <w:sz w:val="18"/>
                <w:szCs w:val="18"/>
              </w:rPr>
            </w:pPr>
            <w:r w:rsidRPr="00E84D74">
              <w:rPr>
                <w:sz w:val="18"/>
                <w:szCs w:val="18"/>
              </w:rPr>
              <w:t>(ii) an assessment of how they will increase the liquidity of the short term wholesale gas market.</w:t>
            </w:r>
          </w:p>
          <w:p w:rsidR="0097704B" w:rsidRDefault="0097704B" w:rsidP="00322059">
            <w:pPr>
              <w:pStyle w:val="ListParagraph"/>
              <w:numPr>
                <w:ilvl w:val="0"/>
                <w:numId w:val="48"/>
              </w:numPr>
              <w:autoSpaceDE w:val="0"/>
              <w:autoSpaceDN w:val="0"/>
              <w:adjustRightInd w:val="0"/>
              <w:jc w:val="both"/>
              <w:rPr>
                <w:sz w:val="18"/>
                <w:szCs w:val="18"/>
              </w:rPr>
            </w:pPr>
            <w:r w:rsidRPr="00322059">
              <w:rPr>
                <w:sz w:val="18"/>
                <w:szCs w:val="18"/>
              </w:rPr>
              <w:t>an identification of the steps that will be taken to remove the interim measures, including the criteria for making these steps and an assessment of the related timing.</w:t>
            </w:r>
          </w:p>
          <w:p w:rsidR="00322059" w:rsidRPr="00322059" w:rsidRDefault="00322059" w:rsidP="00322059">
            <w:pPr>
              <w:pStyle w:val="ListParagraph"/>
              <w:numPr>
                <w:ilvl w:val="0"/>
                <w:numId w:val="48"/>
              </w:numPr>
              <w:autoSpaceDE w:val="0"/>
              <w:autoSpaceDN w:val="0"/>
              <w:adjustRightInd w:val="0"/>
              <w:jc w:val="both"/>
              <w:rPr>
                <w:sz w:val="18"/>
                <w:szCs w:val="18"/>
              </w:rPr>
            </w:pPr>
          </w:p>
          <w:p w:rsidR="00322059" w:rsidRPr="00322059" w:rsidRDefault="00322059" w:rsidP="00322059">
            <w:pPr>
              <w:autoSpaceDE w:val="0"/>
              <w:autoSpaceDN w:val="0"/>
              <w:adjustRightInd w:val="0"/>
              <w:jc w:val="both"/>
              <w:rPr>
                <w:sz w:val="18"/>
                <w:szCs w:val="18"/>
              </w:rPr>
            </w:pPr>
          </w:p>
          <w:p w:rsidR="0097704B" w:rsidRPr="00E84D74" w:rsidRDefault="0097704B" w:rsidP="00322059">
            <w:pPr>
              <w:autoSpaceDE w:val="0"/>
              <w:autoSpaceDN w:val="0"/>
              <w:adjustRightInd w:val="0"/>
              <w:jc w:val="both"/>
              <w:rPr>
                <w:sz w:val="18"/>
                <w:szCs w:val="18"/>
              </w:rPr>
            </w:pPr>
            <w:r w:rsidRPr="00E84D74">
              <w:rPr>
                <w:sz w:val="18"/>
                <w:szCs w:val="18"/>
              </w:rPr>
              <w:t>2. The transmission system operator shall consult  stakeholders on the proposed report.</w:t>
            </w:r>
          </w:p>
          <w:p w:rsidR="0097704B" w:rsidRPr="00E84D74" w:rsidRDefault="0097704B" w:rsidP="00F556FE">
            <w:pPr>
              <w:autoSpaceDE w:val="0"/>
              <w:autoSpaceDN w:val="0"/>
              <w:adjustRightInd w:val="0"/>
              <w:jc w:val="both"/>
              <w:rPr>
                <w:sz w:val="18"/>
                <w:szCs w:val="18"/>
              </w:rPr>
            </w:pPr>
            <w:r w:rsidRPr="00E84D74">
              <w:rPr>
                <w:sz w:val="18"/>
                <w:szCs w:val="18"/>
              </w:rPr>
              <w:t xml:space="preserve">3. Following the consultation process, the transmission system operator shall submit the report to the national regulatory authority for the approval. The first report shall be submitted within six months as from the </w:t>
            </w:r>
            <w:r w:rsidRPr="00E84D74">
              <w:rPr>
                <w:b/>
                <w:bCs/>
                <w:sz w:val="18"/>
                <w:szCs w:val="18"/>
              </w:rPr>
              <w:t xml:space="preserve">expiry of the deadline for transposition </w:t>
            </w:r>
            <w:r w:rsidRPr="00E84D74">
              <w:rPr>
                <w:sz w:val="18"/>
                <w:szCs w:val="18"/>
              </w:rPr>
              <w:t xml:space="preserve">of this Regulation and the subsequent reports updating it </w:t>
            </w:r>
            <w:r w:rsidRPr="00E84D74">
              <w:rPr>
                <w:b/>
                <w:bCs/>
                <w:sz w:val="18"/>
                <w:szCs w:val="18"/>
              </w:rPr>
              <w:t xml:space="preserve">&lt;…&gt; </w:t>
            </w:r>
            <w:r w:rsidRPr="00E84D74">
              <w:rPr>
                <w:sz w:val="18"/>
                <w:szCs w:val="18"/>
              </w:rPr>
              <w:t>shall be submitted annually.</w:t>
            </w:r>
          </w:p>
          <w:p w:rsidR="0097704B" w:rsidRPr="00E84D74" w:rsidRDefault="0097704B" w:rsidP="00F556FE">
            <w:pPr>
              <w:autoSpaceDE w:val="0"/>
              <w:autoSpaceDN w:val="0"/>
              <w:adjustRightInd w:val="0"/>
              <w:jc w:val="both"/>
              <w:rPr>
                <w:sz w:val="18"/>
                <w:szCs w:val="18"/>
              </w:rPr>
            </w:pPr>
            <w:r w:rsidRPr="00E84D74">
              <w:rPr>
                <w:sz w:val="18"/>
                <w:szCs w:val="18"/>
              </w:rPr>
              <w:t xml:space="preserve">4. The national regulatory authority shall take and publish a motivated decision within six months following the receipt of the complete report. Such a decision shall be notified, without delay, to the </w:t>
            </w:r>
            <w:r w:rsidRPr="00E84D74">
              <w:rPr>
                <w:b/>
                <w:bCs/>
                <w:sz w:val="18"/>
                <w:szCs w:val="18"/>
              </w:rPr>
              <w:t>Energy Community Regulatory Board and the Energy Community Secretariat</w:t>
            </w:r>
            <w:r w:rsidRPr="00E84D74">
              <w:rPr>
                <w:sz w:val="18"/>
                <w:szCs w:val="18"/>
              </w:rPr>
              <w:t>. In deciding whether to approve the report, the national regulatory authority shall assess its effect on balancing regimes’ harmonisation, facilitation of market integration, ensuring non-discrimination, effective</w:t>
            </w:r>
          </w:p>
          <w:p w:rsidR="0097704B" w:rsidRPr="00E84D74" w:rsidRDefault="0097704B" w:rsidP="00F556FE">
            <w:pPr>
              <w:autoSpaceDE w:val="0"/>
              <w:autoSpaceDN w:val="0"/>
              <w:adjustRightInd w:val="0"/>
              <w:jc w:val="both"/>
              <w:rPr>
                <w:sz w:val="18"/>
                <w:szCs w:val="18"/>
              </w:rPr>
            </w:pPr>
            <w:r w:rsidRPr="00E84D74">
              <w:rPr>
                <w:sz w:val="18"/>
                <w:szCs w:val="18"/>
              </w:rPr>
              <w:t>competition and the efficient functioning of the gas market.</w:t>
            </w:r>
          </w:p>
          <w:p w:rsidR="0097704B" w:rsidRPr="00E84D74" w:rsidRDefault="0097704B" w:rsidP="00322059">
            <w:pPr>
              <w:autoSpaceDE w:val="0"/>
              <w:autoSpaceDN w:val="0"/>
              <w:adjustRightInd w:val="0"/>
              <w:jc w:val="both"/>
              <w:rPr>
                <w:b/>
                <w:bCs/>
                <w:sz w:val="18"/>
                <w:szCs w:val="18"/>
              </w:rPr>
            </w:pPr>
            <w:r w:rsidRPr="00F556FE">
              <w:rPr>
                <w:color w:val="000000" w:themeColor="text1"/>
                <w:sz w:val="18"/>
                <w:szCs w:val="18"/>
              </w:rPr>
              <w:t>5. The procedure as set out in Article 27(2) applies.</w:t>
            </w:r>
          </w:p>
        </w:tc>
      </w:tr>
      <w:tr w:rsidR="00CD432C" w:rsidRPr="00043955" w:rsidTr="00FC3840">
        <w:trPr>
          <w:trHeight w:val="1240"/>
        </w:trPr>
        <w:tc>
          <w:tcPr>
            <w:tcW w:w="5245" w:type="dxa"/>
            <w:shd w:val="clear" w:color="auto" w:fill="auto"/>
          </w:tcPr>
          <w:p w:rsidR="00CD432C" w:rsidRPr="00981BD4" w:rsidRDefault="00CD432C"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Articolul 47</w:t>
            </w:r>
          </w:p>
          <w:p w:rsidR="00CD432C" w:rsidRPr="00981BD4" w:rsidRDefault="00CD432C" w:rsidP="00DA725A">
            <w:pPr>
              <w:jc w:val="center"/>
              <w:textAlignment w:val="baseline"/>
              <w:rPr>
                <w:rFonts w:ascii="Segoe UI" w:hAnsi="Segoe UI" w:cs="Segoe UI"/>
                <w:sz w:val="18"/>
                <w:szCs w:val="18"/>
                <w:lang w:val="it-IT" w:eastAsia="en-US"/>
              </w:rPr>
            </w:pPr>
            <w:r w:rsidRPr="00981BD4">
              <w:rPr>
                <w:b/>
                <w:bCs/>
                <w:sz w:val="18"/>
                <w:szCs w:val="18"/>
                <w:lang w:val="it-IT" w:eastAsia="en-US"/>
              </w:rPr>
              <w:t>Platforma de echilibrare</w:t>
            </w:r>
          </w:p>
          <w:p w:rsidR="00CD432C" w:rsidRDefault="00CD432C" w:rsidP="00DA725A">
            <w:pPr>
              <w:jc w:val="both"/>
              <w:textAlignment w:val="baseline"/>
              <w:rPr>
                <w:sz w:val="18"/>
                <w:szCs w:val="18"/>
                <w:lang w:val="it-IT" w:eastAsia="en-US"/>
              </w:rPr>
            </w:pPr>
            <w:r w:rsidRPr="00981BD4">
              <w:rPr>
                <w:sz w:val="18"/>
                <w:szCs w:val="18"/>
                <w:lang w:val="it-IT" w:eastAsia="en-US"/>
              </w:rPr>
              <w:t>(1)   Atunci când piața angro a gazului pe termen scurt are sau se anticipează că va avea o lichiditate insuficientă sau atunci când produsele temporale și cele localizate impuse de operatorul de sistem de transport nu pot fi achiziționate în mod rezonabil pe această piață, se instituie o platformă de echilibrare în scopul echilibrării operatorului de sistem de transport. </w:t>
            </w:r>
          </w:p>
          <w:p w:rsidR="00A850FE" w:rsidRPr="00981BD4" w:rsidRDefault="00A850FE" w:rsidP="00DA725A">
            <w:pPr>
              <w:jc w:val="both"/>
              <w:textAlignment w:val="baseline"/>
              <w:rPr>
                <w:rFonts w:ascii="Segoe UI" w:hAnsi="Segoe UI" w:cs="Segoe UI"/>
                <w:sz w:val="18"/>
                <w:szCs w:val="18"/>
                <w:lang w:val="it-IT" w:eastAsia="en-US"/>
              </w:rPr>
            </w:pPr>
          </w:p>
          <w:p w:rsidR="00CD432C" w:rsidRDefault="00CD432C" w:rsidP="00DA725A">
            <w:pPr>
              <w:jc w:val="both"/>
              <w:textAlignment w:val="baseline"/>
              <w:rPr>
                <w:sz w:val="18"/>
                <w:szCs w:val="18"/>
                <w:lang w:val="it-IT" w:eastAsia="en-US"/>
              </w:rPr>
            </w:pPr>
            <w:r w:rsidRPr="00981BD4">
              <w:rPr>
                <w:sz w:val="18"/>
                <w:szCs w:val="18"/>
                <w:lang w:val="it-IT" w:eastAsia="en-US"/>
              </w:rPr>
              <w:t>(2)   Operatorii de sisteme de transport examinează posibilitatea punerii în aplicare a unei platforme de echilibrare comune pentru zone de echilibrare adiacente în cadrul cooperării transfrontaliere dintre operatorii de sisteme de transport sau acolo unde există o capacitate de interconectare suficientă, iar o astfel de platformă de echilibrare este considerată destul de eficientă pentru a fi pusă în aplicare. Dacă este instituită o platformă de echilibrare comună, aceasta este exploatată de operatorii de sisteme de transport în cauză. </w:t>
            </w:r>
          </w:p>
          <w:p w:rsidR="00A850FE" w:rsidRPr="00981BD4" w:rsidRDefault="00A850FE" w:rsidP="00DA725A">
            <w:pPr>
              <w:jc w:val="both"/>
              <w:textAlignment w:val="baseline"/>
              <w:rPr>
                <w:rFonts w:ascii="Segoe UI" w:hAnsi="Segoe UI" w:cs="Segoe UI"/>
                <w:sz w:val="18"/>
                <w:szCs w:val="18"/>
                <w:lang w:val="it-IT" w:eastAsia="en-US"/>
              </w:rPr>
            </w:pPr>
          </w:p>
          <w:p w:rsidR="00CD432C" w:rsidRPr="00981BD4" w:rsidRDefault="00CD432C" w:rsidP="00DA725A">
            <w:pPr>
              <w:jc w:val="both"/>
              <w:textAlignment w:val="baseline"/>
              <w:rPr>
                <w:rFonts w:ascii="Segoe UI" w:hAnsi="Segoe UI" w:cs="Segoe UI"/>
                <w:sz w:val="18"/>
                <w:szCs w:val="18"/>
                <w:lang w:val="it-IT" w:eastAsia="en-US"/>
              </w:rPr>
            </w:pPr>
            <w:r w:rsidRPr="00981BD4">
              <w:rPr>
                <w:sz w:val="18"/>
                <w:szCs w:val="18"/>
                <w:lang w:val="it-IT" w:eastAsia="en-US"/>
              </w:rPr>
              <w:t>(3)   În cazul în care situația descrisă la alineatul (1) nu s-a schimbat fundamental după cinci ani, autoritatea națională de reglementare poate decide, fără a aduce atingere articolului 45 alineatul (4) și după prezentarea modificării corespunzătoare a raportului, să continue exploatarea platformei de echilibrare pentru o nouă perioadă de maximum cinci ani. </w:t>
            </w:r>
          </w:p>
          <w:p w:rsidR="00CD432C" w:rsidRPr="00981BD4" w:rsidRDefault="00CD432C" w:rsidP="00DA725A">
            <w:pPr>
              <w:jc w:val="center"/>
              <w:textAlignment w:val="baseline"/>
              <w:rPr>
                <w:b/>
                <w:bCs/>
                <w:sz w:val="18"/>
                <w:szCs w:val="18"/>
                <w:lang w:val="it-IT" w:eastAsia="en-US"/>
              </w:rPr>
            </w:pPr>
          </w:p>
        </w:tc>
        <w:tc>
          <w:tcPr>
            <w:tcW w:w="4962" w:type="dxa"/>
            <w:shd w:val="clear" w:color="auto" w:fill="auto"/>
          </w:tcPr>
          <w:p w:rsidR="00067F29" w:rsidRPr="00067F29" w:rsidRDefault="00067F29" w:rsidP="00C96878">
            <w:pPr>
              <w:jc w:val="center"/>
              <w:textAlignment w:val="baseline"/>
              <w:rPr>
                <w:bCs/>
                <w:sz w:val="18"/>
                <w:szCs w:val="18"/>
                <w:lang w:val="ro-RO" w:eastAsia="en-US"/>
              </w:rPr>
            </w:pPr>
            <w:r w:rsidRPr="00067F29">
              <w:rPr>
                <w:b/>
                <w:bCs/>
                <w:sz w:val="18"/>
                <w:szCs w:val="18"/>
                <w:lang w:val="ro-RO" w:eastAsia="en-US"/>
              </w:rPr>
              <w:t>Secţiunea 3</w:t>
            </w:r>
          </w:p>
          <w:p w:rsidR="00067F29" w:rsidRPr="00067F29" w:rsidRDefault="00067F29" w:rsidP="00C96878">
            <w:pPr>
              <w:jc w:val="center"/>
              <w:textAlignment w:val="baseline"/>
              <w:rPr>
                <w:bCs/>
                <w:sz w:val="18"/>
                <w:szCs w:val="18"/>
                <w:lang w:val="ro-RO" w:eastAsia="en-US"/>
              </w:rPr>
            </w:pPr>
            <w:r w:rsidRPr="00067F29">
              <w:rPr>
                <w:b/>
                <w:bCs/>
                <w:sz w:val="18"/>
                <w:szCs w:val="18"/>
                <w:lang w:val="ro-RO" w:eastAsia="en-US"/>
              </w:rPr>
              <w:t>Platforma de echilibrare</w:t>
            </w:r>
          </w:p>
          <w:p w:rsidR="00067F29" w:rsidRPr="00067F29" w:rsidRDefault="00067F29" w:rsidP="00322059">
            <w:pPr>
              <w:jc w:val="both"/>
              <w:textAlignment w:val="baseline"/>
              <w:rPr>
                <w:bCs/>
                <w:sz w:val="18"/>
                <w:szCs w:val="18"/>
                <w:lang w:val="ro-RO" w:eastAsia="en-US"/>
              </w:rPr>
            </w:pPr>
            <w:r w:rsidRPr="00067F29">
              <w:rPr>
                <w:b/>
                <w:bCs/>
                <w:sz w:val="18"/>
                <w:szCs w:val="18"/>
                <w:lang w:val="ro-RO" w:eastAsia="en-US"/>
              </w:rPr>
              <w:t>608.</w:t>
            </w:r>
            <w:r w:rsidRPr="00067F29">
              <w:rPr>
                <w:bCs/>
                <w:sz w:val="18"/>
                <w:szCs w:val="18"/>
                <w:lang w:val="ro-RO" w:eastAsia="en-US"/>
              </w:rPr>
              <w:t xml:space="preserve"> Atunci când piaţa angro a gazelor naturale pe termen scurt are sau se anticipează că va avea o lichiditate insuficientă sau atunci când produsele temporare şi cele de localizare de care are nevoie OST nu pot fi achiziţionate în mod rezonabil pe această piaţă, se instituie o platformă de echilibrare în scopul echilibrării OST.</w:t>
            </w:r>
          </w:p>
          <w:p w:rsidR="00067F29" w:rsidRDefault="00067F29" w:rsidP="00322059">
            <w:pPr>
              <w:jc w:val="both"/>
              <w:textAlignment w:val="baseline"/>
              <w:rPr>
                <w:b/>
                <w:bCs/>
                <w:sz w:val="18"/>
                <w:szCs w:val="18"/>
                <w:lang w:val="ro-RO" w:eastAsia="en-US"/>
              </w:rPr>
            </w:pPr>
          </w:p>
          <w:p w:rsidR="00067F29" w:rsidRDefault="00067F29" w:rsidP="00322059">
            <w:pPr>
              <w:jc w:val="both"/>
              <w:textAlignment w:val="baseline"/>
              <w:rPr>
                <w:bCs/>
                <w:sz w:val="18"/>
                <w:szCs w:val="18"/>
                <w:lang w:val="ro-RO" w:eastAsia="en-US"/>
              </w:rPr>
            </w:pPr>
            <w:r w:rsidRPr="00067F29">
              <w:rPr>
                <w:b/>
                <w:bCs/>
                <w:sz w:val="18"/>
                <w:szCs w:val="18"/>
                <w:lang w:val="ro-RO" w:eastAsia="en-US"/>
              </w:rPr>
              <w:t>609.</w:t>
            </w:r>
            <w:r w:rsidRPr="00067F29">
              <w:rPr>
                <w:bCs/>
                <w:sz w:val="18"/>
                <w:szCs w:val="18"/>
                <w:lang w:val="ro-RO" w:eastAsia="en-US"/>
              </w:rPr>
              <w:t xml:space="preserve"> OST examinează posibilitatea punerii în aplicare a unei platforme de echilibrare comune pentru zone de echilibrare adiacente în cadrul cooperării transfrontaliere dintre OST sau acolo unde există o capacitate de interconectare suficientă, iar o astfel de platformă de echilibrare este considerată destul de eficientă pentru a fi pusă în aplicare. Dacă este instituită o platformă de echilibrare comună, aceasta este exploatată de OST în cauză.</w:t>
            </w:r>
          </w:p>
          <w:p w:rsidR="0068469C" w:rsidRPr="00067F29" w:rsidRDefault="0068469C" w:rsidP="00322059">
            <w:pPr>
              <w:jc w:val="both"/>
              <w:textAlignment w:val="baseline"/>
              <w:rPr>
                <w:bCs/>
                <w:sz w:val="18"/>
                <w:szCs w:val="18"/>
                <w:lang w:val="ro-RO" w:eastAsia="en-US"/>
              </w:rPr>
            </w:pPr>
          </w:p>
          <w:p w:rsidR="00067F29" w:rsidRDefault="00067F29" w:rsidP="00322059">
            <w:pPr>
              <w:jc w:val="both"/>
              <w:textAlignment w:val="baseline"/>
              <w:rPr>
                <w:b/>
                <w:bCs/>
                <w:sz w:val="18"/>
                <w:szCs w:val="18"/>
                <w:lang w:val="ro-RO" w:eastAsia="en-US"/>
              </w:rPr>
            </w:pPr>
          </w:p>
          <w:p w:rsidR="00067F29" w:rsidRPr="00067F29" w:rsidRDefault="00067F29" w:rsidP="00322059">
            <w:pPr>
              <w:jc w:val="both"/>
              <w:textAlignment w:val="baseline"/>
              <w:rPr>
                <w:bCs/>
                <w:sz w:val="18"/>
                <w:szCs w:val="18"/>
                <w:lang w:val="ro-RO" w:eastAsia="en-US"/>
              </w:rPr>
            </w:pPr>
            <w:r w:rsidRPr="00067F29">
              <w:rPr>
                <w:b/>
                <w:bCs/>
                <w:sz w:val="18"/>
                <w:szCs w:val="18"/>
                <w:lang w:val="ro-RO" w:eastAsia="en-US"/>
              </w:rPr>
              <w:t>610.</w:t>
            </w:r>
            <w:r w:rsidRPr="00067F29">
              <w:rPr>
                <w:bCs/>
                <w:sz w:val="18"/>
                <w:szCs w:val="18"/>
                <w:lang w:val="ro-RO" w:eastAsia="en-US"/>
              </w:rPr>
              <w:t xml:space="preserve"> În cazul în care situaţia descrisă în pct.608 nu s-a schimbat fundamental după 5 ani, Agenţia poate decide, fără a aduce atingere pct.602 şi după prezentarea modificării corespunzătoare a raportului, decide în privinţa prelungirii exploatarea platformei de echilibrare pentru o perioadă suplimentară de maximum 5 ani.</w:t>
            </w:r>
          </w:p>
          <w:p w:rsidR="00CD432C" w:rsidRPr="00067F29" w:rsidRDefault="00CD432C" w:rsidP="00322059">
            <w:pPr>
              <w:jc w:val="both"/>
              <w:textAlignment w:val="baseline"/>
              <w:rPr>
                <w:b/>
                <w:bCs/>
                <w:sz w:val="18"/>
                <w:szCs w:val="18"/>
                <w:lang w:val="ro-RO" w:eastAsia="en-US"/>
              </w:rPr>
            </w:pPr>
          </w:p>
        </w:tc>
        <w:tc>
          <w:tcPr>
            <w:tcW w:w="1275" w:type="dxa"/>
            <w:shd w:val="clear" w:color="auto" w:fill="auto"/>
          </w:tcPr>
          <w:p w:rsidR="00CD432C" w:rsidRPr="00380C00" w:rsidRDefault="00CD432C" w:rsidP="00322059">
            <w:pPr>
              <w:jc w:val="both"/>
              <w:rPr>
                <w:b/>
                <w:sz w:val="18"/>
                <w:szCs w:val="18"/>
                <w:lang w:val="ro-RO"/>
              </w:rPr>
            </w:pPr>
          </w:p>
          <w:p w:rsidR="00764338" w:rsidRPr="00380C00" w:rsidRDefault="00764338" w:rsidP="00322059">
            <w:pPr>
              <w:jc w:val="both"/>
              <w:rPr>
                <w:b/>
                <w:sz w:val="18"/>
                <w:szCs w:val="18"/>
                <w:lang w:val="ro-RO"/>
              </w:rPr>
            </w:pPr>
          </w:p>
          <w:p w:rsidR="00764338" w:rsidRDefault="00764338" w:rsidP="00322059">
            <w:pPr>
              <w:jc w:val="both"/>
              <w:rPr>
                <w:sz w:val="18"/>
                <w:szCs w:val="18"/>
              </w:rPr>
            </w:pPr>
            <w:r w:rsidRPr="00E55B82">
              <w:rPr>
                <w:sz w:val="18"/>
                <w:szCs w:val="18"/>
              </w:rPr>
              <w:t>Compatibil</w:t>
            </w: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A850FE" w:rsidRDefault="00A850FE" w:rsidP="00322059">
            <w:pPr>
              <w:jc w:val="both"/>
              <w:rPr>
                <w:sz w:val="18"/>
                <w:szCs w:val="18"/>
              </w:rPr>
            </w:pPr>
          </w:p>
          <w:p w:rsidR="00764338" w:rsidRDefault="00764338" w:rsidP="00322059">
            <w:pPr>
              <w:jc w:val="both"/>
              <w:rPr>
                <w:sz w:val="18"/>
                <w:szCs w:val="18"/>
              </w:rPr>
            </w:pPr>
            <w:r w:rsidRPr="00E55B82">
              <w:rPr>
                <w:sz w:val="18"/>
                <w:szCs w:val="18"/>
              </w:rPr>
              <w:t>Compatibil</w:t>
            </w: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A850FE" w:rsidRDefault="00A850FE" w:rsidP="00322059">
            <w:pPr>
              <w:jc w:val="both"/>
              <w:rPr>
                <w:sz w:val="18"/>
                <w:szCs w:val="18"/>
              </w:rPr>
            </w:pPr>
          </w:p>
          <w:p w:rsidR="00764338" w:rsidRDefault="00764338" w:rsidP="00322059">
            <w:pPr>
              <w:jc w:val="both"/>
              <w:rPr>
                <w:sz w:val="18"/>
                <w:szCs w:val="18"/>
              </w:rPr>
            </w:pPr>
          </w:p>
          <w:p w:rsidR="00764338" w:rsidRDefault="00764338" w:rsidP="00322059">
            <w:pPr>
              <w:jc w:val="both"/>
              <w:rPr>
                <w:b/>
                <w:sz w:val="18"/>
                <w:szCs w:val="18"/>
                <w:lang w:val="it-IT"/>
              </w:rPr>
            </w:pPr>
            <w:r w:rsidRPr="00E55B82">
              <w:rPr>
                <w:sz w:val="18"/>
                <w:szCs w:val="18"/>
              </w:rPr>
              <w:t>Compatibil</w:t>
            </w:r>
          </w:p>
        </w:tc>
        <w:tc>
          <w:tcPr>
            <w:tcW w:w="4253" w:type="dxa"/>
            <w:shd w:val="clear" w:color="auto" w:fill="auto"/>
          </w:tcPr>
          <w:p w:rsidR="00CD432C" w:rsidRPr="00E84D74" w:rsidRDefault="00CD432C" w:rsidP="00322059">
            <w:pPr>
              <w:autoSpaceDE w:val="0"/>
              <w:autoSpaceDN w:val="0"/>
              <w:adjustRightInd w:val="0"/>
              <w:jc w:val="both"/>
              <w:rPr>
                <w:b/>
                <w:bCs/>
                <w:i/>
                <w:iCs/>
                <w:sz w:val="18"/>
                <w:szCs w:val="18"/>
              </w:rPr>
            </w:pPr>
            <w:r w:rsidRPr="00E84D74">
              <w:rPr>
                <w:b/>
                <w:bCs/>
                <w:i/>
                <w:iCs/>
                <w:sz w:val="18"/>
                <w:szCs w:val="18"/>
              </w:rPr>
              <w:t>Article 47</w:t>
            </w:r>
          </w:p>
          <w:p w:rsidR="00CD432C" w:rsidRPr="00E84D74" w:rsidRDefault="00CD432C" w:rsidP="00322059">
            <w:pPr>
              <w:autoSpaceDE w:val="0"/>
              <w:autoSpaceDN w:val="0"/>
              <w:adjustRightInd w:val="0"/>
              <w:jc w:val="both"/>
              <w:rPr>
                <w:b/>
                <w:bCs/>
                <w:sz w:val="18"/>
                <w:szCs w:val="18"/>
              </w:rPr>
            </w:pPr>
            <w:r w:rsidRPr="00E84D74">
              <w:rPr>
                <w:b/>
                <w:bCs/>
                <w:sz w:val="18"/>
                <w:szCs w:val="18"/>
              </w:rPr>
              <w:t>Balancing platform</w:t>
            </w:r>
          </w:p>
          <w:p w:rsidR="00CD432C" w:rsidRPr="00E84D74" w:rsidRDefault="00CD432C" w:rsidP="00322059">
            <w:pPr>
              <w:autoSpaceDE w:val="0"/>
              <w:autoSpaceDN w:val="0"/>
              <w:adjustRightInd w:val="0"/>
              <w:jc w:val="both"/>
              <w:rPr>
                <w:sz w:val="18"/>
                <w:szCs w:val="18"/>
              </w:rPr>
            </w:pPr>
            <w:r w:rsidRPr="00E84D74">
              <w:rPr>
                <w:sz w:val="18"/>
                <w:szCs w:val="18"/>
              </w:rPr>
              <w:t>1. Where the short term wholesale gas market has or is anticipated to have insufficient liquidity or where temporal products and locational products required by the transmission system operator cannot reasonably be procured on this market, a balancing platform shall be established for the purpose of transmission system operator balancing.</w:t>
            </w:r>
          </w:p>
          <w:p w:rsidR="00CD432C" w:rsidRPr="00E84D74" w:rsidRDefault="00CD432C" w:rsidP="00322059">
            <w:pPr>
              <w:autoSpaceDE w:val="0"/>
              <w:autoSpaceDN w:val="0"/>
              <w:adjustRightInd w:val="0"/>
              <w:jc w:val="both"/>
              <w:rPr>
                <w:sz w:val="18"/>
                <w:szCs w:val="18"/>
              </w:rPr>
            </w:pPr>
            <w:r w:rsidRPr="00E84D74">
              <w:rPr>
                <w:sz w:val="18"/>
                <w:szCs w:val="18"/>
              </w:rPr>
              <w:t>2. The transmission system operators shall consider whether a joint balancing platform may be implemented for adjacent balancing zones in the framework of cooperation between the transmission system operators or where there is sufficient interconnection capacity and such joint balancing platform is deemed efficient to be implemented. If a joint balancing platform is established, it shall be operated by the transmission system operators concerned.</w:t>
            </w:r>
          </w:p>
          <w:p w:rsidR="00CD432C" w:rsidRPr="00E84D74" w:rsidRDefault="00CD432C" w:rsidP="00322059">
            <w:pPr>
              <w:autoSpaceDE w:val="0"/>
              <w:autoSpaceDN w:val="0"/>
              <w:adjustRightInd w:val="0"/>
              <w:jc w:val="both"/>
              <w:rPr>
                <w:sz w:val="18"/>
                <w:szCs w:val="18"/>
              </w:rPr>
            </w:pPr>
            <w:r w:rsidRPr="00E84D74">
              <w:rPr>
                <w:sz w:val="18"/>
                <w:szCs w:val="18"/>
              </w:rPr>
              <w:t>3. In case the situation described under paragraph 1 has not fundamentally changed after five years the national regulatory authority may, without prejudice to Article 45(4) and after submitting the appropriate amendment of the report, decide to continue the operation of the balancing platform for another period of no more than five years.</w:t>
            </w:r>
          </w:p>
          <w:p w:rsidR="00CD432C" w:rsidRPr="00E84D74" w:rsidRDefault="00CD432C" w:rsidP="00322059">
            <w:pPr>
              <w:autoSpaceDE w:val="0"/>
              <w:autoSpaceDN w:val="0"/>
              <w:adjustRightInd w:val="0"/>
              <w:jc w:val="both"/>
              <w:rPr>
                <w:b/>
                <w:bCs/>
                <w:i/>
                <w:iCs/>
                <w:sz w:val="18"/>
                <w:szCs w:val="18"/>
              </w:rPr>
            </w:pPr>
          </w:p>
        </w:tc>
      </w:tr>
      <w:tr w:rsidR="0031265B" w:rsidRPr="00043955" w:rsidTr="00FC3840">
        <w:trPr>
          <w:trHeight w:val="1240"/>
        </w:trPr>
        <w:tc>
          <w:tcPr>
            <w:tcW w:w="5245" w:type="dxa"/>
            <w:shd w:val="clear" w:color="auto" w:fill="auto"/>
          </w:tcPr>
          <w:p w:rsidR="0031265B" w:rsidRPr="00981BD4" w:rsidRDefault="0031265B" w:rsidP="00DA725A">
            <w:pPr>
              <w:jc w:val="both"/>
              <w:textAlignment w:val="baseline"/>
              <w:rPr>
                <w:rFonts w:ascii="Segoe UI" w:hAnsi="Segoe UI" w:cs="Segoe UI"/>
                <w:sz w:val="18"/>
                <w:szCs w:val="18"/>
                <w:lang w:val="it-IT" w:eastAsia="en-US"/>
              </w:rPr>
            </w:pPr>
            <w:r w:rsidRPr="00981BD4">
              <w:rPr>
                <w:b/>
                <w:bCs/>
                <w:sz w:val="18"/>
                <w:szCs w:val="18"/>
                <w:lang w:val="it-IT" w:eastAsia="en-US"/>
              </w:rPr>
              <w:t>Articolul 48</w:t>
            </w:r>
            <w:r w:rsidRPr="00981BD4">
              <w:rPr>
                <w:sz w:val="18"/>
                <w:szCs w:val="18"/>
                <w:lang w:val="it-IT" w:eastAsia="en-US"/>
              </w:rPr>
              <w:t> </w:t>
            </w:r>
          </w:p>
          <w:p w:rsidR="0031265B" w:rsidRPr="00981BD4" w:rsidRDefault="0031265B" w:rsidP="00DA725A">
            <w:pPr>
              <w:jc w:val="both"/>
              <w:textAlignment w:val="baseline"/>
              <w:rPr>
                <w:rFonts w:ascii="Segoe UI" w:hAnsi="Segoe UI" w:cs="Segoe UI"/>
                <w:sz w:val="18"/>
                <w:szCs w:val="18"/>
                <w:lang w:val="it-IT" w:eastAsia="en-US"/>
              </w:rPr>
            </w:pPr>
            <w:r w:rsidRPr="00981BD4">
              <w:rPr>
                <w:b/>
                <w:bCs/>
                <w:sz w:val="18"/>
                <w:szCs w:val="18"/>
                <w:lang w:val="it-IT" w:eastAsia="en-US"/>
              </w:rPr>
              <w:t>Alternativă la o platformă de echilibrare</w:t>
            </w:r>
            <w:r w:rsidRPr="00981BD4">
              <w:rPr>
                <w:sz w:val="18"/>
                <w:szCs w:val="18"/>
                <w:lang w:val="it-IT" w:eastAsia="en-US"/>
              </w:rPr>
              <w:t> </w:t>
            </w:r>
          </w:p>
          <w:p w:rsidR="0031265B" w:rsidRPr="00981BD4" w:rsidRDefault="0031265B" w:rsidP="00DA725A">
            <w:pPr>
              <w:jc w:val="both"/>
              <w:textAlignment w:val="baseline"/>
              <w:rPr>
                <w:rFonts w:ascii="Segoe UI" w:hAnsi="Segoe UI" w:cs="Segoe UI"/>
                <w:sz w:val="18"/>
                <w:szCs w:val="18"/>
                <w:lang w:val="it-IT" w:eastAsia="en-US"/>
              </w:rPr>
            </w:pPr>
            <w:r w:rsidRPr="00981BD4">
              <w:rPr>
                <w:sz w:val="18"/>
                <w:szCs w:val="18"/>
                <w:lang w:val="it-IT" w:eastAsia="en-US"/>
              </w:rPr>
              <w:t>Atunci când operatorul de sistem de transport poate demonstra că, datorită unei capacități de interconectare insuficiente între zonele de echilibrare, o platformă de echilibrare nu poate conduce la o creștere a lichidității pieței angro a gazului pe termen scurt și nu poate permite operatorului de sistem de transport să întreprindă acțiuni de echilibrare eficiente, acesta poate utiliza o alternativă, cum ar fi serviciile de echilibrare care fac obiectul aprobării de către autoritatea națională de reglementare. În cazul în care se face uz de o asemenea alternativă, se specifică termenii și condițiile contractului ulterior, precum și prețurile aplicabile și durata acestuia. </w:t>
            </w:r>
          </w:p>
          <w:p w:rsidR="0031265B" w:rsidRPr="00981BD4" w:rsidRDefault="0031265B" w:rsidP="00DA725A">
            <w:pPr>
              <w:jc w:val="center"/>
              <w:textAlignment w:val="baseline"/>
              <w:rPr>
                <w:b/>
                <w:bCs/>
                <w:sz w:val="18"/>
                <w:szCs w:val="18"/>
                <w:lang w:val="it-IT" w:eastAsia="en-US"/>
              </w:rPr>
            </w:pPr>
          </w:p>
        </w:tc>
        <w:tc>
          <w:tcPr>
            <w:tcW w:w="4962" w:type="dxa"/>
            <w:shd w:val="clear" w:color="auto" w:fill="auto"/>
          </w:tcPr>
          <w:p w:rsidR="004C3779" w:rsidRDefault="004C3779" w:rsidP="00322059">
            <w:pPr>
              <w:jc w:val="both"/>
              <w:textAlignment w:val="baseline"/>
              <w:rPr>
                <w:b/>
                <w:bCs/>
                <w:sz w:val="18"/>
                <w:szCs w:val="18"/>
                <w:lang w:val="ro-RO" w:eastAsia="en-US"/>
              </w:rPr>
            </w:pPr>
          </w:p>
          <w:p w:rsidR="004C3779" w:rsidRDefault="004C3779" w:rsidP="00322059">
            <w:pPr>
              <w:jc w:val="both"/>
              <w:textAlignment w:val="baseline"/>
              <w:rPr>
                <w:b/>
                <w:bCs/>
                <w:sz w:val="18"/>
                <w:szCs w:val="18"/>
                <w:lang w:val="ro-RO" w:eastAsia="en-US"/>
              </w:rPr>
            </w:pPr>
          </w:p>
          <w:p w:rsidR="00AE7C98" w:rsidRPr="00AE7C98" w:rsidRDefault="00AE7C98" w:rsidP="00322059">
            <w:pPr>
              <w:jc w:val="both"/>
              <w:textAlignment w:val="baseline"/>
              <w:rPr>
                <w:sz w:val="18"/>
                <w:szCs w:val="18"/>
                <w:lang w:val="ro-RO" w:eastAsia="en-US"/>
              </w:rPr>
            </w:pPr>
            <w:r w:rsidRPr="00AE7C98">
              <w:rPr>
                <w:b/>
                <w:bCs/>
                <w:sz w:val="18"/>
                <w:szCs w:val="18"/>
                <w:lang w:val="ro-RO" w:eastAsia="en-US"/>
              </w:rPr>
              <w:t>611.</w:t>
            </w:r>
            <w:r w:rsidRPr="00AE7C98">
              <w:rPr>
                <w:sz w:val="18"/>
                <w:szCs w:val="18"/>
                <w:lang w:val="ro-RO" w:eastAsia="en-US"/>
              </w:rPr>
              <w:t xml:space="preserve"> Atunci când OST poate demonstra că, datorită unei capacităţi de interconectare insuficiente între zonele de echilibrare, o platformă de echilibrare nu poate conduce la o creştere a lichidităţii pieţei angro a gazelor naturale pe termen scurt şi nu poate permite OST să întreprindă acţiuni de echilibrare eficiente, acesta poate utiliza o alternativă, cum ar fi serviciile de echilibrare care fac obiectul aprobării de către Agenţie. În cazul în care se face uz de o asemenea alternativă, se specifică termenii şi condiţiile contractelor ulterioare, precum şi preţurile aplicabile şi durata acestora.</w:t>
            </w:r>
          </w:p>
          <w:p w:rsidR="0031265B" w:rsidRPr="00AE7C98" w:rsidRDefault="0031265B" w:rsidP="00322059">
            <w:pPr>
              <w:jc w:val="both"/>
              <w:textAlignment w:val="baseline"/>
              <w:rPr>
                <w:b/>
                <w:bCs/>
                <w:sz w:val="18"/>
                <w:szCs w:val="18"/>
                <w:lang w:val="ro-RO" w:eastAsia="en-US"/>
              </w:rPr>
            </w:pPr>
          </w:p>
        </w:tc>
        <w:tc>
          <w:tcPr>
            <w:tcW w:w="1275" w:type="dxa"/>
            <w:shd w:val="clear" w:color="auto" w:fill="auto"/>
          </w:tcPr>
          <w:p w:rsidR="0031265B" w:rsidRDefault="0031265B" w:rsidP="00322059">
            <w:pPr>
              <w:jc w:val="both"/>
              <w:rPr>
                <w:b/>
                <w:sz w:val="18"/>
                <w:szCs w:val="18"/>
                <w:lang w:val="it-IT"/>
              </w:rPr>
            </w:pPr>
          </w:p>
          <w:p w:rsidR="00C32950" w:rsidRDefault="00C32950" w:rsidP="00322059">
            <w:pPr>
              <w:jc w:val="both"/>
              <w:rPr>
                <w:b/>
                <w:sz w:val="18"/>
                <w:szCs w:val="18"/>
                <w:lang w:val="it-IT"/>
              </w:rPr>
            </w:pPr>
          </w:p>
          <w:p w:rsidR="00C32950" w:rsidRDefault="00C32950" w:rsidP="00322059">
            <w:pPr>
              <w:jc w:val="both"/>
              <w:rPr>
                <w:b/>
                <w:sz w:val="18"/>
                <w:szCs w:val="18"/>
                <w:lang w:val="it-IT"/>
              </w:rPr>
            </w:pPr>
            <w:r w:rsidRPr="00E55B82">
              <w:rPr>
                <w:sz w:val="18"/>
                <w:szCs w:val="18"/>
              </w:rPr>
              <w:t>Compatibil</w:t>
            </w:r>
          </w:p>
        </w:tc>
        <w:tc>
          <w:tcPr>
            <w:tcW w:w="4253" w:type="dxa"/>
            <w:shd w:val="clear" w:color="auto" w:fill="auto"/>
          </w:tcPr>
          <w:p w:rsidR="0031265B" w:rsidRPr="00E84D74" w:rsidRDefault="0031265B" w:rsidP="00322059">
            <w:pPr>
              <w:autoSpaceDE w:val="0"/>
              <w:autoSpaceDN w:val="0"/>
              <w:adjustRightInd w:val="0"/>
              <w:jc w:val="both"/>
              <w:rPr>
                <w:b/>
                <w:bCs/>
                <w:i/>
                <w:iCs/>
                <w:sz w:val="18"/>
                <w:szCs w:val="18"/>
              </w:rPr>
            </w:pPr>
            <w:r w:rsidRPr="00E84D74">
              <w:rPr>
                <w:b/>
                <w:bCs/>
                <w:i/>
                <w:iCs/>
                <w:sz w:val="18"/>
                <w:szCs w:val="18"/>
              </w:rPr>
              <w:t>Article 48</w:t>
            </w:r>
          </w:p>
          <w:p w:rsidR="0031265B" w:rsidRPr="00E84D74" w:rsidRDefault="0031265B" w:rsidP="00322059">
            <w:pPr>
              <w:autoSpaceDE w:val="0"/>
              <w:autoSpaceDN w:val="0"/>
              <w:adjustRightInd w:val="0"/>
              <w:jc w:val="both"/>
              <w:rPr>
                <w:b/>
                <w:bCs/>
                <w:sz w:val="18"/>
                <w:szCs w:val="18"/>
              </w:rPr>
            </w:pPr>
            <w:r w:rsidRPr="00E84D74">
              <w:rPr>
                <w:b/>
                <w:bCs/>
                <w:sz w:val="18"/>
                <w:szCs w:val="18"/>
              </w:rPr>
              <w:t>Alternative to a balancing platform</w:t>
            </w:r>
          </w:p>
          <w:p w:rsidR="0031265B" w:rsidRPr="00E84D74" w:rsidRDefault="0031265B" w:rsidP="00322059">
            <w:pPr>
              <w:autoSpaceDE w:val="0"/>
              <w:autoSpaceDN w:val="0"/>
              <w:adjustRightInd w:val="0"/>
              <w:jc w:val="both"/>
              <w:rPr>
                <w:b/>
                <w:bCs/>
                <w:i/>
                <w:iCs/>
                <w:sz w:val="18"/>
                <w:szCs w:val="18"/>
              </w:rPr>
            </w:pPr>
            <w:r w:rsidRPr="00E84D74">
              <w:rPr>
                <w:sz w:val="18"/>
                <w:szCs w:val="18"/>
              </w:rPr>
              <w:t>Where the transmission system operator can demonstrate that as a result of insufficient interconnection capacity between balancing zones a balancing platform cannot increase the liquidity of the short term wholesale gas market and cannot enable the transmission system operator to undertake efficient balancing actions, it may use an alternative, such as balancing services, subject to the approval by the national regulatory authority. Where such an alternative is used, the terms and conditions of the</w:t>
            </w:r>
            <w:r w:rsidR="001A596C" w:rsidRPr="00E84D74">
              <w:rPr>
                <w:sz w:val="18"/>
                <w:szCs w:val="18"/>
              </w:rPr>
              <w:t xml:space="preserve"> </w:t>
            </w:r>
            <w:r w:rsidRPr="00E84D74">
              <w:rPr>
                <w:sz w:val="18"/>
                <w:szCs w:val="18"/>
              </w:rPr>
              <w:t>subsequent contractual arrangements as well as the applicable prices and duration shall be specified</w:t>
            </w:r>
          </w:p>
        </w:tc>
      </w:tr>
      <w:tr w:rsidR="003D2ED5" w:rsidRPr="00043955" w:rsidTr="00FC3840">
        <w:trPr>
          <w:trHeight w:val="1240"/>
        </w:trPr>
        <w:tc>
          <w:tcPr>
            <w:tcW w:w="5245" w:type="dxa"/>
            <w:shd w:val="clear" w:color="auto" w:fill="auto"/>
          </w:tcPr>
          <w:p w:rsidR="003D2ED5" w:rsidRPr="00981BD4" w:rsidRDefault="003D2ED5" w:rsidP="00DA725A">
            <w:pPr>
              <w:jc w:val="both"/>
              <w:textAlignment w:val="baseline"/>
              <w:rPr>
                <w:rFonts w:ascii="Segoe UI" w:hAnsi="Segoe UI" w:cs="Segoe UI"/>
                <w:sz w:val="18"/>
                <w:szCs w:val="18"/>
                <w:lang w:val="it-IT" w:eastAsia="en-US"/>
              </w:rPr>
            </w:pPr>
            <w:r w:rsidRPr="00380C00">
              <w:rPr>
                <w:b/>
                <w:bCs/>
                <w:sz w:val="18"/>
                <w:szCs w:val="18"/>
                <w:lang w:val="it-IT" w:eastAsia="en-US"/>
              </w:rPr>
              <w:lastRenderedPageBreak/>
              <w:t>A</w:t>
            </w:r>
            <w:r w:rsidRPr="00981BD4">
              <w:rPr>
                <w:b/>
                <w:bCs/>
                <w:sz w:val="18"/>
                <w:szCs w:val="18"/>
                <w:lang w:val="it-IT" w:eastAsia="en-US"/>
              </w:rPr>
              <w:t>rticolul 49</w:t>
            </w:r>
            <w:r w:rsidRPr="00981BD4">
              <w:rPr>
                <w:sz w:val="18"/>
                <w:szCs w:val="18"/>
                <w:lang w:val="it-IT" w:eastAsia="en-US"/>
              </w:rPr>
              <w:t> </w:t>
            </w:r>
          </w:p>
          <w:p w:rsidR="003D2ED5" w:rsidRPr="00981BD4" w:rsidRDefault="003D2ED5" w:rsidP="00DA725A">
            <w:pPr>
              <w:jc w:val="both"/>
              <w:textAlignment w:val="baseline"/>
              <w:rPr>
                <w:rFonts w:ascii="Segoe UI" w:hAnsi="Segoe UI" w:cs="Segoe UI"/>
                <w:sz w:val="18"/>
                <w:szCs w:val="18"/>
                <w:lang w:val="it-IT" w:eastAsia="en-US"/>
              </w:rPr>
            </w:pPr>
            <w:r w:rsidRPr="00981BD4">
              <w:rPr>
                <w:b/>
                <w:bCs/>
                <w:sz w:val="18"/>
                <w:szCs w:val="18"/>
                <w:lang w:val="it-IT" w:eastAsia="en-US"/>
              </w:rPr>
              <w:t>Tariful de dezechilibru provizoriu</w:t>
            </w:r>
            <w:r w:rsidRPr="00981BD4">
              <w:rPr>
                <w:sz w:val="18"/>
                <w:szCs w:val="18"/>
                <w:lang w:val="it-IT" w:eastAsia="en-US"/>
              </w:rPr>
              <w:t>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este necesară luarea măsurilor provizorii menționate la articolul 45, derivarea prețului poate fi calculată în conformitate cu raportul menționat la articolul 46 care înlocuiește metodologia de calculare a tarifului de dezechilibru zilnic.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(2)   În acest caz, derivarea prețului se poate baza pe un preț reglementat, un indicator al unui preț de piață sau pe un preț derivat din tranzacțiile de pe platformele de echilibrare. </w:t>
            </w:r>
          </w:p>
          <w:p w:rsidR="003D2ED5" w:rsidRPr="00981BD4" w:rsidRDefault="003D2ED5" w:rsidP="00DA725A">
            <w:pPr>
              <w:jc w:val="both"/>
              <w:textAlignment w:val="baseline"/>
              <w:rPr>
                <w:b/>
                <w:bCs/>
                <w:sz w:val="18"/>
                <w:szCs w:val="18"/>
                <w:lang w:val="it-IT" w:eastAsia="en-US"/>
              </w:rPr>
            </w:pPr>
            <w:r w:rsidRPr="00981BD4">
              <w:rPr>
                <w:sz w:val="18"/>
                <w:szCs w:val="18"/>
                <w:lang w:val="it-IT" w:eastAsia="en-US"/>
              </w:rPr>
              <w:t>(3)   Indicatorul unui preț de piață vizează să îndeplinească condițiile prevăzute la articolul 22 alineatul (6). Elaborarea indicatorului trebuie să țină seama de potențialul risc de manipulare a pieței. </w:t>
            </w:r>
          </w:p>
        </w:tc>
        <w:tc>
          <w:tcPr>
            <w:tcW w:w="4962" w:type="dxa"/>
            <w:shd w:val="clear" w:color="auto" w:fill="auto"/>
          </w:tcPr>
          <w:p w:rsidR="00145E54" w:rsidRPr="00145E54" w:rsidRDefault="00145E54" w:rsidP="00145E54">
            <w:pPr>
              <w:jc w:val="center"/>
              <w:textAlignment w:val="baseline"/>
              <w:rPr>
                <w:bCs/>
                <w:sz w:val="18"/>
                <w:szCs w:val="18"/>
                <w:lang w:val="ro-RO" w:eastAsia="en-US"/>
              </w:rPr>
            </w:pPr>
            <w:r w:rsidRPr="00145E54">
              <w:rPr>
                <w:b/>
                <w:bCs/>
                <w:sz w:val="18"/>
                <w:szCs w:val="18"/>
                <w:lang w:val="ro-RO" w:eastAsia="en-US"/>
              </w:rPr>
              <w:t>Secţiunea 4</w:t>
            </w:r>
          </w:p>
          <w:p w:rsidR="00145E54" w:rsidRPr="00145E54" w:rsidRDefault="00145E54" w:rsidP="00145E54">
            <w:pPr>
              <w:jc w:val="center"/>
              <w:textAlignment w:val="baseline"/>
              <w:rPr>
                <w:bCs/>
                <w:sz w:val="18"/>
                <w:szCs w:val="18"/>
                <w:lang w:val="ro-RO" w:eastAsia="en-US"/>
              </w:rPr>
            </w:pPr>
            <w:r w:rsidRPr="00145E54">
              <w:rPr>
                <w:b/>
                <w:bCs/>
                <w:sz w:val="18"/>
                <w:szCs w:val="18"/>
                <w:lang w:val="ro-RO" w:eastAsia="en-US"/>
              </w:rPr>
              <w:t>Plata provizorie pentru dezechilibru</w:t>
            </w:r>
          </w:p>
          <w:p w:rsidR="00145E54" w:rsidRPr="00145E54" w:rsidRDefault="00145E54" w:rsidP="00145E54">
            <w:pPr>
              <w:textAlignment w:val="baseline"/>
              <w:rPr>
                <w:bCs/>
                <w:sz w:val="18"/>
                <w:szCs w:val="18"/>
                <w:lang w:val="ro-RO" w:eastAsia="en-US"/>
              </w:rPr>
            </w:pPr>
            <w:r w:rsidRPr="00145E54">
              <w:rPr>
                <w:b/>
                <w:bCs/>
                <w:sz w:val="18"/>
                <w:szCs w:val="18"/>
                <w:lang w:val="ro-RO" w:eastAsia="en-US"/>
              </w:rPr>
              <w:t>612.</w:t>
            </w:r>
            <w:r w:rsidRPr="00145E54">
              <w:rPr>
                <w:bCs/>
                <w:sz w:val="18"/>
                <w:szCs w:val="18"/>
                <w:lang w:val="ro-RO" w:eastAsia="en-US"/>
              </w:rPr>
              <w:t xml:space="preserve"> În cazul în care este necesară luarea măsurilor provizorii menţionate în Secţiunea 1 din prezentul Capitol, calcularea preţului poate fi efectuată în conformitate cu raportul menţionat în Secţiunea 2 din prezentul Capitol care înlocuieşte metoda de calculare a plăţii pentru dezechilibru zilnic.</w:t>
            </w:r>
          </w:p>
          <w:p w:rsidR="00145E54" w:rsidRPr="00145E54" w:rsidRDefault="00145E54" w:rsidP="00145E54">
            <w:pPr>
              <w:textAlignment w:val="baseline"/>
              <w:rPr>
                <w:bCs/>
                <w:sz w:val="18"/>
                <w:szCs w:val="18"/>
                <w:lang w:val="ro-RO" w:eastAsia="en-US"/>
              </w:rPr>
            </w:pPr>
            <w:r w:rsidRPr="00145E54">
              <w:rPr>
                <w:b/>
                <w:bCs/>
                <w:sz w:val="18"/>
                <w:szCs w:val="18"/>
                <w:lang w:val="ro-RO" w:eastAsia="en-US"/>
              </w:rPr>
              <w:t>613.</w:t>
            </w:r>
            <w:r w:rsidRPr="00145E54">
              <w:rPr>
                <w:bCs/>
                <w:sz w:val="18"/>
                <w:szCs w:val="18"/>
                <w:lang w:val="ro-RO" w:eastAsia="en-US"/>
              </w:rPr>
              <w:t xml:space="preserve"> În acest caz, calcularea preţului se poate baza pe un preţ reglementat, un indicator al unui preţ de piaţă sau pe un preţ derivat din tranzacţiile de pe platformele de echilibrare.</w:t>
            </w:r>
          </w:p>
          <w:p w:rsidR="00145E54" w:rsidRPr="00145E54" w:rsidRDefault="00145E54" w:rsidP="00145E54">
            <w:pPr>
              <w:textAlignment w:val="baseline"/>
              <w:rPr>
                <w:bCs/>
                <w:sz w:val="18"/>
                <w:szCs w:val="18"/>
                <w:lang w:val="ro-RO" w:eastAsia="en-US"/>
              </w:rPr>
            </w:pPr>
            <w:r w:rsidRPr="00145E54">
              <w:rPr>
                <w:b/>
                <w:bCs/>
                <w:sz w:val="18"/>
                <w:szCs w:val="18"/>
                <w:lang w:val="ro-RO" w:eastAsia="en-US"/>
              </w:rPr>
              <w:t>614.</w:t>
            </w:r>
            <w:r w:rsidRPr="00145E54">
              <w:rPr>
                <w:bCs/>
                <w:sz w:val="18"/>
                <w:szCs w:val="18"/>
                <w:lang w:val="ro-RO" w:eastAsia="en-US"/>
              </w:rPr>
              <w:t xml:space="preserve"> Indicarea unui preţ de piaţă urmăreşte să îndeplinească condiţiile prevăzute la pct.522. Elaborarea indicatorului trebuie să ia în considerare potenţialul risc de manipulare a pieţei.</w:t>
            </w:r>
          </w:p>
          <w:p w:rsidR="003D2ED5" w:rsidRPr="00145E54" w:rsidRDefault="003D2ED5" w:rsidP="00145E54">
            <w:pPr>
              <w:textAlignment w:val="baseline"/>
              <w:rPr>
                <w:b/>
                <w:bCs/>
                <w:sz w:val="18"/>
                <w:szCs w:val="18"/>
                <w:lang w:val="ro-RO" w:eastAsia="en-US"/>
              </w:rPr>
            </w:pPr>
          </w:p>
        </w:tc>
        <w:tc>
          <w:tcPr>
            <w:tcW w:w="1275" w:type="dxa"/>
            <w:shd w:val="clear" w:color="auto" w:fill="auto"/>
          </w:tcPr>
          <w:p w:rsidR="003D2ED5" w:rsidRDefault="003D2ED5" w:rsidP="00DA725A">
            <w:pPr>
              <w:jc w:val="both"/>
              <w:rPr>
                <w:b/>
                <w:sz w:val="18"/>
                <w:szCs w:val="18"/>
                <w:lang w:val="it-IT"/>
              </w:rPr>
            </w:pPr>
          </w:p>
          <w:p w:rsidR="00C32950" w:rsidRDefault="00C32950" w:rsidP="00DA725A">
            <w:pPr>
              <w:jc w:val="both"/>
              <w:rPr>
                <w:b/>
                <w:sz w:val="18"/>
                <w:szCs w:val="18"/>
                <w:lang w:val="it-IT"/>
              </w:rPr>
            </w:pPr>
          </w:p>
          <w:p w:rsidR="00C32950" w:rsidRDefault="00C32950" w:rsidP="00DA725A">
            <w:pPr>
              <w:jc w:val="both"/>
              <w:rPr>
                <w:sz w:val="18"/>
                <w:szCs w:val="18"/>
              </w:rPr>
            </w:pPr>
            <w:r w:rsidRPr="00E55B82">
              <w:rPr>
                <w:sz w:val="18"/>
                <w:szCs w:val="18"/>
              </w:rPr>
              <w:t>Compatibil</w:t>
            </w:r>
          </w:p>
          <w:p w:rsidR="00C32950" w:rsidRDefault="00C32950" w:rsidP="00DA725A">
            <w:pPr>
              <w:jc w:val="both"/>
              <w:rPr>
                <w:sz w:val="18"/>
                <w:szCs w:val="18"/>
              </w:rPr>
            </w:pPr>
          </w:p>
          <w:p w:rsidR="00C32950" w:rsidRDefault="00C32950" w:rsidP="00DA725A">
            <w:pPr>
              <w:jc w:val="both"/>
              <w:rPr>
                <w:sz w:val="18"/>
                <w:szCs w:val="18"/>
              </w:rPr>
            </w:pPr>
          </w:p>
          <w:p w:rsidR="00A850FE" w:rsidRDefault="00A850FE" w:rsidP="00DA725A">
            <w:pPr>
              <w:jc w:val="both"/>
              <w:rPr>
                <w:sz w:val="18"/>
                <w:szCs w:val="18"/>
              </w:rPr>
            </w:pPr>
          </w:p>
          <w:p w:rsidR="00C32950" w:rsidRDefault="00C32950" w:rsidP="00DA725A">
            <w:pPr>
              <w:jc w:val="both"/>
              <w:rPr>
                <w:sz w:val="18"/>
                <w:szCs w:val="18"/>
              </w:rPr>
            </w:pPr>
          </w:p>
          <w:p w:rsidR="00C32950" w:rsidRDefault="00C32950" w:rsidP="00DA725A">
            <w:pPr>
              <w:jc w:val="both"/>
              <w:rPr>
                <w:sz w:val="18"/>
                <w:szCs w:val="18"/>
              </w:rPr>
            </w:pPr>
            <w:r w:rsidRPr="00E55B82">
              <w:rPr>
                <w:sz w:val="18"/>
                <w:szCs w:val="18"/>
              </w:rPr>
              <w:t>Compatibil</w:t>
            </w:r>
          </w:p>
          <w:p w:rsidR="00C32950" w:rsidRDefault="00C32950" w:rsidP="00DA725A">
            <w:pPr>
              <w:jc w:val="both"/>
              <w:rPr>
                <w:sz w:val="18"/>
                <w:szCs w:val="18"/>
              </w:rPr>
            </w:pPr>
          </w:p>
          <w:p w:rsidR="00C32950" w:rsidRDefault="00C32950" w:rsidP="00DA725A">
            <w:pPr>
              <w:jc w:val="both"/>
              <w:rPr>
                <w:sz w:val="18"/>
                <w:szCs w:val="18"/>
              </w:rPr>
            </w:pPr>
          </w:p>
          <w:p w:rsidR="00C32950" w:rsidRDefault="00C32950" w:rsidP="00DA725A">
            <w:pPr>
              <w:jc w:val="both"/>
              <w:rPr>
                <w:b/>
                <w:sz w:val="18"/>
                <w:szCs w:val="18"/>
                <w:lang w:val="it-IT"/>
              </w:rPr>
            </w:pPr>
            <w:r w:rsidRPr="00E55B82">
              <w:rPr>
                <w:sz w:val="18"/>
                <w:szCs w:val="18"/>
              </w:rPr>
              <w:t>Compatibil</w:t>
            </w:r>
          </w:p>
        </w:tc>
        <w:tc>
          <w:tcPr>
            <w:tcW w:w="4253" w:type="dxa"/>
            <w:shd w:val="clear" w:color="auto" w:fill="auto"/>
          </w:tcPr>
          <w:p w:rsidR="003D2ED5" w:rsidRPr="00E84D74" w:rsidRDefault="003D2ED5" w:rsidP="00DA725A">
            <w:pPr>
              <w:autoSpaceDE w:val="0"/>
              <w:autoSpaceDN w:val="0"/>
              <w:adjustRightInd w:val="0"/>
              <w:jc w:val="center"/>
              <w:rPr>
                <w:b/>
                <w:bCs/>
                <w:i/>
                <w:iCs/>
                <w:sz w:val="18"/>
                <w:szCs w:val="18"/>
              </w:rPr>
            </w:pPr>
            <w:r w:rsidRPr="00E84D74">
              <w:rPr>
                <w:b/>
                <w:bCs/>
                <w:i/>
                <w:iCs/>
                <w:sz w:val="18"/>
                <w:szCs w:val="18"/>
              </w:rPr>
              <w:t>Article 49</w:t>
            </w:r>
          </w:p>
          <w:p w:rsidR="003D2ED5" w:rsidRPr="00E84D74" w:rsidRDefault="003D2ED5" w:rsidP="00DA725A">
            <w:pPr>
              <w:autoSpaceDE w:val="0"/>
              <w:autoSpaceDN w:val="0"/>
              <w:adjustRightInd w:val="0"/>
              <w:jc w:val="center"/>
              <w:rPr>
                <w:b/>
                <w:bCs/>
                <w:sz w:val="18"/>
                <w:szCs w:val="18"/>
              </w:rPr>
            </w:pPr>
            <w:r w:rsidRPr="00E84D74">
              <w:rPr>
                <w:b/>
                <w:bCs/>
                <w:sz w:val="18"/>
                <w:szCs w:val="18"/>
              </w:rPr>
              <w:t>Interim imbalance charge</w:t>
            </w:r>
          </w:p>
          <w:p w:rsidR="003D2ED5" w:rsidRPr="00E84D74" w:rsidRDefault="003D2ED5" w:rsidP="00DA725A">
            <w:pPr>
              <w:autoSpaceDE w:val="0"/>
              <w:autoSpaceDN w:val="0"/>
              <w:adjustRightInd w:val="0"/>
              <w:rPr>
                <w:sz w:val="18"/>
                <w:szCs w:val="18"/>
              </w:rPr>
            </w:pPr>
            <w:r w:rsidRPr="00E84D74">
              <w:rPr>
                <w:sz w:val="18"/>
                <w:szCs w:val="18"/>
              </w:rPr>
              <w:t>1. Where interim measures referred to in Article 45 are necessary, the price derivation may be calculated in accordance with the report referred to in Article 46 which shall substitute the daily imbalance charge calculation methodology.</w:t>
            </w:r>
          </w:p>
          <w:p w:rsidR="003D2ED5" w:rsidRPr="00E84D74" w:rsidRDefault="003D2ED5" w:rsidP="00DA725A">
            <w:pPr>
              <w:autoSpaceDE w:val="0"/>
              <w:autoSpaceDN w:val="0"/>
              <w:adjustRightInd w:val="0"/>
              <w:rPr>
                <w:sz w:val="18"/>
                <w:szCs w:val="18"/>
              </w:rPr>
            </w:pPr>
            <w:r w:rsidRPr="00E84D74">
              <w:rPr>
                <w:sz w:val="18"/>
                <w:szCs w:val="18"/>
              </w:rPr>
              <w:t>2. In that case, the price derivation may be based upon an administered price, a proxy for a market price or a price derived from balancing platform trades.</w:t>
            </w:r>
          </w:p>
          <w:p w:rsidR="003D2ED5" w:rsidRPr="00E84D74" w:rsidRDefault="003D2ED5" w:rsidP="00DA725A">
            <w:pPr>
              <w:autoSpaceDE w:val="0"/>
              <w:autoSpaceDN w:val="0"/>
              <w:adjustRightInd w:val="0"/>
              <w:rPr>
                <w:b/>
                <w:bCs/>
                <w:i/>
                <w:iCs/>
                <w:sz w:val="18"/>
                <w:szCs w:val="18"/>
              </w:rPr>
            </w:pPr>
            <w:r w:rsidRPr="00E84D74">
              <w:rPr>
                <w:sz w:val="18"/>
                <w:szCs w:val="18"/>
              </w:rPr>
              <w:t>3. The proxy for a market price shall seek to satisfy the conditions provided for in Article 22(6). The design of this proxy shall consider the potential risk for market manipulation.</w:t>
            </w:r>
          </w:p>
        </w:tc>
      </w:tr>
      <w:tr w:rsidR="003D2ED5" w:rsidRPr="00043955" w:rsidTr="00FC3840">
        <w:trPr>
          <w:trHeight w:val="1240"/>
        </w:trPr>
        <w:tc>
          <w:tcPr>
            <w:tcW w:w="5245" w:type="dxa"/>
            <w:shd w:val="clear" w:color="auto" w:fill="auto"/>
          </w:tcPr>
          <w:p w:rsidR="003D2ED5" w:rsidRPr="00981BD4" w:rsidRDefault="003D2ED5"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50</w:t>
            </w:r>
          </w:p>
          <w:p w:rsidR="003D2ED5" w:rsidRPr="00981BD4" w:rsidRDefault="003D2ED5" w:rsidP="00DA725A">
            <w:pPr>
              <w:jc w:val="center"/>
              <w:textAlignment w:val="baseline"/>
              <w:rPr>
                <w:rFonts w:ascii="Segoe UI" w:hAnsi="Segoe UI" w:cs="Segoe UI"/>
                <w:sz w:val="18"/>
                <w:szCs w:val="18"/>
                <w:lang w:val="it-IT" w:eastAsia="en-US"/>
              </w:rPr>
            </w:pPr>
            <w:r w:rsidRPr="00981BD4">
              <w:rPr>
                <w:b/>
                <w:bCs/>
                <w:sz w:val="18"/>
                <w:szCs w:val="18"/>
                <w:lang w:val="it-IT" w:eastAsia="en-US"/>
              </w:rPr>
              <w:t>Toleranța</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(1)   Toleranțele pot fi aplicate numai în cazul în care utilizatorii rețelei nu au acces la: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 piață angro a gazului pe termen scurt care deține lichidități suficiente;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gazul necesar pentru a acoperi fluctuațiile pe termen scurt în ceea ce privește cererea sau oferta de gaz; sau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informații suficiente privind intrările și ieșirile acestora. </w:t>
            </w:r>
          </w:p>
          <w:p w:rsidR="001E5AF5" w:rsidRDefault="001E5AF5"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(2)   Toleranțele se aplică: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cu privire la cantitatea de dezechilibru zilnic a utilizatorilor rețelei;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pe bază transparentă și nediscriminatorie;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numai în măsura în care sunt necesare și pe durata minimă prevăzută. </w:t>
            </w:r>
          </w:p>
          <w:p w:rsidR="001E5AF5" w:rsidRDefault="001E5AF5"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(3)   Aplicarea de toleranțe poate reduce expunerea financiară a unui utilizator al rețelei la prețul de vânzare marginal sau la prețul de cumpărare marginal cu privire la o parte sau la întreaga cantitate de dezechilibru zilnic a acestuia pentru ziua gazieră.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(4)   Nivelul de toleranță reprezintă cantitatea minimă de gaz care urmează să fie cumpărată sau vândută de către fiecare utilizator al rețelei la un preț mediu ponderat. Dacă există o cantitate restantă de gaz ce face parte din cantitatea de dezechilibru zilnic a fiecărui utilizator al rețelei care depășește nivelul de toleranță, aceasta este vândută sau cumpărată la prețul marginal de vânzare sau la prețul marginal de cumpărare. </w:t>
            </w:r>
          </w:p>
          <w:p w:rsidR="00A85ED7" w:rsidRDefault="00A85ED7"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(5)   Configurația nivelului de toleranță: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reflectă flexibilitatea rețelei de transport și nevoile utilizatorului rețelei;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reflectă nivelul de risc pentru utilizatorul rețelei în gestionarea echilibrului dintre intrările și ieșirile sale;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(c)</w:t>
            </w:r>
            <w:r w:rsidRPr="00981BD4">
              <w:rPr>
                <w:rFonts w:ascii="Calibri" w:hAnsi="Calibri" w:cs="Calibri"/>
                <w:sz w:val="18"/>
                <w:szCs w:val="18"/>
                <w:lang w:val="it-IT" w:eastAsia="en-US"/>
              </w:rPr>
              <w:t xml:space="preserve"> </w:t>
            </w:r>
            <w:r w:rsidRPr="00981BD4">
              <w:rPr>
                <w:sz w:val="18"/>
                <w:szCs w:val="18"/>
                <w:lang w:val="it-IT" w:eastAsia="en-US"/>
              </w:rPr>
              <w:t>nu subminează dezvoltarea pieței angro a gazului pe termen scurt;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nu conduce la o creștere nejustificat de mare a costurilor acțiunilor de echilibrare ale operatorului de sistem de transport. </w:t>
            </w:r>
          </w:p>
          <w:p w:rsidR="00A85ED7" w:rsidRDefault="00A85ED7" w:rsidP="00DA725A">
            <w:pPr>
              <w:jc w:val="both"/>
              <w:textAlignment w:val="baseline"/>
              <w:rPr>
                <w:sz w:val="18"/>
                <w:szCs w:val="18"/>
                <w:lang w:val="it-IT" w:eastAsia="en-US"/>
              </w:rPr>
            </w:pPr>
          </w:p>
          <w:p w:rsidR="00833D71" w:rsidRDefault="00833D71" w:rsidP="00DA725A">
            <w:pPr>
              <w:jc w:val="both"/>
              <w:textAlignment w:val="baseline"/>
              <w:rPr>
                <w:sz w:val="18"/>
                <w:szCs w:val="18"/>
                <w:lang w:val="it-IT" w:eastAsia="en-US"/>
              </w:rPr>
            </w:pPr>
          </w:p>
          <w:p w:rsidR="0068469C" w:rsidRDefault="0068469C" w:rsidP="00DA725A">
            <w:pPr>
              <w:jc w:val="both"/>
              <w:textAlignment w:val="baseline"/>
              <w:rPr>
                <w:sz w:val="18"/>
                <w:szCs w:val="18"/>
                <w:lang w:val="it-IT" w:eastAsia="en-US"/>
              </w:rPr>
            </w:pPr>
          </w:p>
          <w:p w:rsidR="0068469C" w:rsidRDefault="0068469C"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(6)   Nivelul de toleranță se calculează pe baza intrărilor și ieșirilor fiecărui utilizator al rețelei, excluzând tranzacțiile în punctul de tranzacționare virtual, pentru fiecare zi gazieră. Subcategoriile se definesc în conformitate cu normele naționale aplicabile. </w:t>
            </w:r>
          </w:p>
          <w:p w:rsidR="00A85ED7" w:rsidRDefault="00A85ED7"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7)   Nivelul de toleranță aplicabil pentru o ieșire contorizată cu o frecvență care nu este zilnică, definit în temeiul normelor naționale aplicabile, se bazează pe diferența dintre prognoza relevantă privind ieșirile contorizate cu o frecvență care nu este zilnică ale unui utilizator al rețelei și alocarea pentru astfel de ieșiri.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(8)   Nivelul de toleranță poate include o componentă calculată luând în considerare aplicarea devierii prognozei privind ieșirile contorizate cu o frecvență care nu este zilnică ale unui utilizator al rețelei, care reprezintă suma prin care prognoza relevantă: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depășește alocarea pentru ieșirea contorizată cu o frecvență care nu este zilnică în cazul în care cantitatea de dezechilibru zilnic este pozitivă;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este mai mică decât alocarea pentru ieșirea contorizată cu o frecvență care nu este zilnică în cazul în care cantitatea de dezechilibru zilnic este negativă. </w:t>
            </w:r>
          </w:p>
          <w:p w:rsidR="003D2ED5" w:rsidRPr="00981BD4" w:rsidRDefault="003D2ED5" w:rsidP="00DA725A">
            <w:pPr>
              <w:jc w:val="center"/>
              <w:textAlignment w:val="baseline"/>
              <w:rPr>
                <w:b/>
                <w:bCs/>
                <w:sz w:val="18"/>
                <w:szCs w:val="18"/>
                <w:lang w:val="it-IT" w:eastAsia="en-US"/>
              </w:rPr>
            </w:pPr>
          </w:p>
        </w:tc>
        <w:tc>
          <w:tcPr>
            <w:tcW w:w="4962" w:type="dxa"/>
            <w:shd w:val="clear" w:color="auto" w:fill="auto"/>
          </w:tcPr>
          <w:p w:rsidR="00FC1196" w:rsidRPr="00FC1196" w:rsidRDefault="00FC1196" w:rsidP="001F6EB5">
            <w:pPr>
              <w:jc w:val="center"/>
              <w:textAlignment w:val="baseline"/>
              <w:rPr>
                <w:bCs/>
                <w:sz w:val="18"/>
                <w:szCs w:val="18"/>
                <w:lang w:val="ro-RO" w:eastAsia="en-US"/>
              </w:rPr>
            </w:pPr>
            <w:r w:rsidRPr="00FC1196">
              <w:rPr>
                <w:b/>
                <w:bCs/>
                <w:sz w:val="18"/>
                <w:szCs w:val="18"/>
                <w:lang w:val="ro-RO" w:eastAsia="en-US"/>
              </w:rPr>
              <w:lastRenderedPageBreak/>
              <w:t>Secţiunea 5</w:t>
            </w:r>
          </w:p>
          <w:p w:rsidR="00FC1196" w:rsidRPr="00FC1196" w:rsidRDefault="00FC1196" w:rsidP="001F6EB5">
            <w:pPr>
              <w:jc w:val="center"/>
              <w:textAlignment w:val="baseline"/>
              <w:rPr>
                <w:bCs/>
                <w:sz w:val="18"/>
                <w:szCs w:val="18"/>
                <w:lang w:val="ro-RO" w:eastAsia="en-US"/>
              </w:rPr>
            </w:pPr>
            <w:r w:rsidRPr="00FC1196">
              <w:rPr>
                <w:b/>
                <w:bCs/>
                <w:sz w:val="18"/>
                <w:szCs w:val="18"/>
                <w:lang w:val="ro-RO" w:eastAsia="en-US"/>
              </w:rPr>
              <w:t>Toleranţa</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615.</w:t>
            </w:r>
            <w:r w:rsidRPr="00FC1196">
              <w:rPr>
                <w:bCs/>
                <w:sz w:val="18"/>
                <w:szCs w:val="18"/>
                <w:lang w:val="ro-RO" w:eastAsia="en-US"/>
              </w:rPr>
              <w:t xml:space="preserve"> Toleranţele pot fi aplicate numai în cazul în care utilizatorii de sistem nu au acces la:</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o piaţă angro a gazelor naturale pe termen scurt cu suficientă lichiditate;</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2) gazele naturale necesare pentru a acoperi fluctuaţiile pe termen scurt în ceea ce priveşte cererea sau oferta de gaze naturale; sau</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3) informaţii suficiente privind intrările şi ieşirile acestora.</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616.</w:t>
            </w:r>
            <w:r w:rsidRPr="00FC1196">
              <w:rPr>
                <w:bCs/>
                <w:sz w:val="18"/>
                <w:szCs w:val="18"/>
                <w:lang w:val="ro-RO" w:eastAsia="en-US"/>
              </w:rPr>
              <w:t xml:space="preserve"> Toleranţele se aplică:</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cu privire la cantitatea de dezechilibru zilnic a utilizatorilor de sistem;</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2) pe bază transparentă şi nediscriminatorie;</w:t>
            </w:r>
          </w:p>
          <w:p w:rsidR="00FC1196" w:rsidRDefault="00FC1196" w:rsidP="00833D71">
            <w:pPr>
              <w:jc w:val="both"/>
              <w:textAlignment w:val="baseline"/>
              <w:rPr>
                <w:bCs/>
                <w:sz w:val="18"/>
                <w:szCs w:val="18"/>
                <w:lang w:val="ro-RO" w:eastAsia="en-US"/>
              </w:rPr>
            </w:pPr>
            <w:r w:rsidRPr="00FC1196">
              <w:rPr>
                <w:bCs/>
                <w:sz w:val="18"/>
                <w:szCs w:val="18"/>
                <w:lang w:val="ro-RO" w:eastAsia="en-US"/>
              </w:rPr>
              <w:t>3) numai în măsura în care sunt necesare şi pe durata minimă necesară.</w:t>
            </w:r>
          </w:p>
          <w:p w:rsidR="0068469C" w:rsidRPr="00FC1196" w:rsidRDefault="0068469C" w:rsidP="00833D71">
            <w:pPr>
              <w:jc w:val="both"/>
              <w:textAlignment w:val="baseline"/>
              <w:rPr>
                <w:bCs/>
                <w:sz w:val="18"/>
                <w:szCs w:val="18"/>
                <w:lang w:val="ro-RO" w:eastAsia="en-US"/>
              </w:rPr>
            </w:pP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617.</w:t>
            </w:r>
            <w:r w:rsidRPr="00FC1196">
              <w:rPr>
                <w:bCs/>
                <w:sz w:val="18"/>
                <w:szCs w:val="18"/>
                <w:lang w:val="ro-RO" w:eastAsia="en-US"/>
              </w:rPr>
              <w:t xml:space="preserve"> Aplicarea toleranţelor poate reduce expunerea financiară a unui utilizator de sistem la preţul de vânzare marginal sau la preţul de cumpărare marginal cu privire la o parte sau la întreaga cantitate de dezechilibru zilnic a acestuia pentru ziua gazieră.</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618.</w:t>
            </w:r>
            <w:r w:rsidRPr="00FC1196">
              <w:rPr>
                <w:bCs/>
                <w:sz w:val="18"/>
                <w:szCs w:val="18"/>
                <w:lang w:val="ro-RO" w:eastAsia="en-US"/>
              </w:rPr>
              <w:t xml:space="preserve"> Nivelul de toleranţă reprezintă cantitatea minimă de gaze naturale care urmează să fie cumpărată sau vândută de către fiecare utilizator de sistem la un preţ de referinţă (mediu ponderat). Dacă rămâne o cantitate de gaze naturale care depăşeşte nivelul de toleranţă, ce face parte din cantitatea de dezechilibru zilnic a fiecărui utilizator de sistem, aceasta este vândută sau cumpărată la preţul marginal de vânzare sau la preţul marginal de cumpărare.</w:t>
            </w:r>
          </w:p>
          <w:p w:rsidR="00A85ED7" w:rsidRDefault="00A85ED7" w:rsidP="00833D71">
            <w:pPr>
              <w:jc w:val="both"/>
              <w:textAlignment w:val="baseline"/>
              <w:rPr>
                <w:b/>
                <w:bCs/>
                <w:sz w:val="18"/>
                <w:szCs w:val="18"/>
                <w:lang w:val="ro-RO" w:eastAsia="en-US"/>
              </w:rPr>
            </w:pPr>
          </w:p>
          <w:p w:rsidR="0068469C" w:rsidRDefault="0068469C" w:rsidP="00833D71">
            <w:pPr>
              <w:jc w:val="both"/>
              <w:textAlignment w:val="baseline"/>
              <w:rPr>
                <w:b/>
                <w:bCs/>
                <w:sz w:val="18"/>
                <w:szCs w:val="18"/>
                <w:lang w:val="ro-RO" w:eastAsia="en-US"/>
              </w:rPr>
            </w:pP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619.</w:t>
            </w:r>
            <w:r w:rsidRPr="00FC1196">
              <w:rPr>
                <w:bCs/>
                <w:sz w:val="18"/>
                <w:szCs w:val="18"/>
                <w:lang w:val="ro-RO" w:eastAsia="en-US"/>
              </w:rPr>
              <w:t xml:space="preserve"> Configuraţia nivelului de toleranţă:</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reflectă flexibilitatea reţelei de transport al gazelor naturale şi nevoile utilizatorului de sistem;</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lastRenderedPageBreak/>
              <w:t>2) reflectă nivelul de risc la care este expus utilizatorul de sistem în gestionarea echilibrului dintre intrările şi ieşirile sale;</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3) nu subminează dezvoltarea pieţei angro a gazelor naturale pe termen scurt;</w:t>
            </w:r>
          </w:p>
          <w:p w:rsidR="00FC1196" w:rsidRDefault="00FC1196" w:rsidP="00833D71">
            <w:pPr>
              <w:jc w:val="both"/>
              <w:textAlignment w:val="baseline"/>
              <w:rPr>
                <w:bCs/>
                <w:sz w:val="18"/>
                <w:szCs w:val="18"/>
                <w:lang w:val="ro-RO" w:eastAsia="en-US"/>
              </w:rPr>
            </w:pPr>
            <w:r w:rsidRPr="00FC1196">
              <w:rPr>
                <w:bCs/>
                <w:sz w:val="18"/>
                <w:szCs w:val="18"/>
                <w:lang w:val="ro-RO" w:eastAsia="en-US"/>
              </w:rPr>
              <w:t>4) nu conduce la o creştere nejustificat de mare a costurilor acţiunilor de echilibrare ale OST.</w:t>
            </w:r>
          </w:p>
          <w:p w:rsidR="00833D71" w:rsidRPr="00FC1196" w:rsidRDefault="00833D71" w:rsidP="00833D71">
            <w:pPr>
              <w:jc w:val="both"/>
              <w:textAlignment w:val="baseline"/>
              <w:rPr>
                <w:bCs/>
                <w:sz w:val="18"/>
                <w:szCs w:val="18"/>
                <w:lang w:val="ro-RO" w:eastAsia="en-US"/>
              </w:rPr>
            </w:pP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620.</w:t>
            </w:r>
            <w:r w:rsidRPr="00FC1196">
              <w:rPr>
                <w:bCs/>
                <w:sz w:val="18"/>
                <w:szCs w:val="18"/>
                <w:lang w:val="ro-RO" w:eastAsia="en-US"/>
              </w:rPr>
              <w:t xml:space="preserve"> Nivelul de toleranţă se calculează pe baza intrărilor şi ieşirilor fiecărui utilizator de sistem, excluzând tranzacţiile în punctul virtual de tranzacţionare, pentru fiecare zi gazieră. Subcategoriile se definesc în conformitate cu Regulile pieţei gazelor naturale aprobate prin </w:t>
            </w:r>
            <w:hyperlink r:id="rId99" w:history="1">
              <w:r w:rsidRPr="00FC1196">
                <w:rPr>
                  <w:rStyle w:val="Hyperlink"/>
                  <w:bCs/>
                  <w:sz w:val="18"/>
                  <w:szCs w:val="18"/>
                  <w:lang w:val="ro-RO" w:eastAsia="en-US"/>
                </w:rPr>
                <w:t>Hotărârea ANRE nr.534/2019</w:t>
              </w:r>
            </w:hyperlink>
            <w:r w:rsidRPr="00FC1196">
              <w:rPr>
                <w:bCs/>
                <w:sz w:val="18"/>
                <w:szCs w:val="18"/>
                <w:lang w:val="ro-RO" w:eastAsia="en-US"/>
              </w:rPr>
              <w:t>.</w:t>
            </w:r>
          </w:p>
          <w:p w:rsidR="00FC1196" w:rsidRDefault="00FC1196" w:rsidP="00833D71">
            <w:pPr>
              <w:jc w:val="both"/>
              <w:textAlignment w:val="baseline"/>
              <w:rPr>
                <w:bCs/>
                <w:sz w:val="18"/>
                <w:szCs w:val="18"/>
                <w:lang w:val="ro-RO" w:eastAsia="en-US"/>
              </w:rPr>
            </w:pPr>
            <w:r w:rsidRPr="00FC1196">
              <w:rPr>
                <w:b/>
                <w:bCs/>
                <w:sz w:val="18"/>
                <w:szCs w:val="18"/>
                <w:lang w:val="ro-RO" w:eastAsia="en-US"/>
              </w:rPr>
              <w:t>621.</w:t>
            </w:r>
            <w:r w:rsidRPr="00FC1196">
              <w:rPr>
                <w:bCs/>
                <w:sz w:val="18"/>
                <w:szCs w:val="18"/>
                <w:lang w:val="ro-RO" w:eastAsia="en-US"/>
              </w:rPr>
              <w:t xml:space="preserve"> Nivelul de toleranţă aplicabil pentru o ieşire cu măsurare nonzilnică, definit în temeiul normelor naţionale aplicabile, se bazează pe diferenţa dintre prognoza privind ieşirile cu măsurare nonzilnică ale unui utilizator de sistem şi alocarea pentru astfel de ieşiri.</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622.</w:t>
            </w:r>
            <w:r w:rsidRPr="00FC1196">
              <w:rPr>
                <w:bCs/>
                <w:sz w:val="18"/>
                <w:szCs w:val="18"/>
                <w:lang w:val="ro-RO" w:eastAsia="en-US"/>
              </w:rPr>
              <w:t xml:space="preserve"> Nivelul de toleranţă poate include o componentă calculată pe baza aplicării devierii prognozei privind ieşirile cu măsurare nonzilnică ale unui utilizator de sistem, care reprezintă suma prin care prognoza relevantă:</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depăşeşte alocarea pentru ieşirea cu măsurare nonzilnică în cazul în care cantitatea de dezechilibru zilnic este pozitivă;</w:t>
            </w:r>
          </w:p>
          <w:p w:rsidR="003D2ED5" w:rsidRPr="00FC1196" w:rsidRDefault="00FC1196" w:rsidP="00833D71">
            <w:pPr>
              <w:jc w:val="both"/>
              <w:textAlignment w:val="baseline"/>
              <w:rPr>
                <w:bCs/>
                <w:sz w:val="18"/>
                <w:szCs w:val="18"/>
                <w:lang w:val="ro-RO" w:eastAsia="en-US"/>
              </w:rPr>
            </w:pPr>
            <w:r w:rsidRPr="00FC1196">
              <w:rPr>
                <w:bCs/>
                <w:sz w:val="18"/>
                <w:szCs w:val="18"/>
                <w:lang w:val="ro-RO" w:eastAsia="en-US"/>
              </w:rPr>
              <w:t>2) este mai mică decât alocarea pentru ieşirea cu măsurare nonzilnică în cazul în care cantitatea de dezechilibru zilnic este negativă.</w:t>
            </w:r>
          </w:p>
        </w:tc>
        <w:tc>
          <w:tcPr>
            <w:tcW w:w="1275" w:type="dxa"/>
            <w:shd w:val="clear" w:color="auto" w:fill="auto"/>
          </w:tcPr>
          <w:p w:rsidR="003D2ED5" w:rsidRDefault="003D2ED5" w:rsidP="00833D71">
            <w:pPr>
              <w:jc w:val="both"/>
              <w:rPr>
                <w:b/>
                <w:sz w:val="18"/>
                <w:szCs w:val="18"/>
                <w:lang w:val="it-IT"/>
              </w:rPr>
            </w:pPr>
          </w:p>
          <w:p w:rsidR="000650AB" w:rsidRDefault="000650AB" w:rsidP="00833D71">
            <w:pPr>
              <w:jc w:val="both"/>
              <w:rPr>
                <w:b/>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183FA7" w:rsidRDefault="00183FA7" w:rsidP="00833D71">
            <w:pPr>
              <w:jc w:val="both"/>
              <w:rPr>
                <w:sz w:val="18"/>
                <w:szCs w:val="18"/>
                <w:lang w:val="it-IT"/>
              </w:rPr>
            </w:pPr>
          </w:p>
          <w:p w:rsidR="00183FA7" w:rsidRDefault="00183FA7" w:rsidP="00833D71">
            <w:pPr>
              <w:jc w:val="both"/>
              <w:rPr>
                <w:sz w:val="18"/>
                <w:szCs w:val="18"/>
                <w:lang w:val="it-IT"/>
              </w:rPr>
            </w:pPr>
          </w:p>
          <w:p w:rsidR="00F133B7" w:rsidRPr="00981BD4" w:rsidRDefault="00F133B7"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183FA7" w:rsidRDefault="00183FA7" w:rsidP="00833D71">
            <w:pPr>
              <w:jc w:val="both"/>
              <w:rPr>
                <w:sz w:val="18"/>
                <w:szCs w:val="18"/>
                <w:lang w:val="it-IT"/>
              </w:rPr>
            </w:pPr>
          </w:p>
          <w:p w:rsidR="00183FA7" w:rsidRDefault="00183FA7" w:rsidP="00833D71">
            <w:pPr>
              <w:jc w:val="both"/>
              <w:rPr>
                <w:sz w:val="18"/>
                <w:szCs w:val="18"/>
                <w:lang w:val="it-IT"/>
              </w:rPr>
            </w:pPr>
          </w:p>
          <w:p w:rsidR="00F133B7" w:rsidRPr="00981BD4" w:rsidRDefault="00F133B7"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514BA3" w:rsidRPr="00981BD4" w:rsidRDefault="00514BA3"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833D71" w:rsidRDefault="00833D71" w:rsidP="00833D71">
            <w:pPr>
              <w:jc w:val="both"/>
              <w:rPr>
                <w:sz w:val="18"/>
                <w:szCs w:val="18"/>
                <w:lang w:val="it-IT"/>
              </w:rPr>
            </w:pPr>
          </w:p>
          <w:p w:rsidR="00833D71" w:rsidRDefault="00833D71" w:rsidP="00833D71">
            <w:pPr>
              <w:jc w:val="both"/>
              <w:rPr>
                <w:sz w:val="18"/>
                <w:szCs w:val="18"/>
                <w:lang w:val="it-IT"/>
              </w:rPr>
            </w:pPr>
          </w:p>
          <w:p w:rsidR="00833D71" w:rsidRPr="00981BD4" w:rsidRDefault="00833D71"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68469C" w:rsidRDefault="0068469C" w:rsidP="00833D71">
            <w:pPr>
              <w:jc w:val="both"/>
              <w:rPr>
                <w:sz w:val="18"/>
                <w:szCs w:val="18"/>
                <w:lang w:val="it-IT"/>
              </w:rPr>
            </w:pPr>
          </w:p>
          <w:p w:rsidR="00183FA7" w:rsidRDefault="00183FA7" w:rsidP="00833D71">
            <w:pPr>
              <w:jc w:val="both"/>
              <w:rPr>
                <w:sz w:val="18"/>
                <w:szCs w:val="18"/>
                <w:lang w:val="it-IT"/>
              </w:rPr>
            </w:pPr>
          </w:p>
          <w:p w:rsidR="00514BA3" w:rsidRPr="00981BD4" w:rsidRDefault="00514BA3"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A85ED7" w:rsidRDefault="00A85ED7" w:rsidP="00833D71">
            <w:pPr>
              <w:jc w:val="both"/>
              <w:rPr>
                <w:sz w:val="18"/>
                <w:szCs w:val="18"/>
                <w:lang w:val="it-IT"/>
              </w:rPr>
            </w:pPr>
          </w:p>
          <w:p w:rsidR="00A85ED7" w:rsidRDefault="00A85ED7" w:rsidP="00833D71">
            <w:pPr>
              <w:jc w:val="both"/>
              <w:rPr>
                <w:sz w:val="18"/>
                <w:szCs w:val="18"/>
                <w:lang w:val="it-IT"/>
              </w:rPr>
            </w:pPr>
          </w:p>
          <w:p w:rsidR="00A85ED7" w:rsidRPr="00981BD4" w:rsidRDefault="00A85ED7" w:rsidP="00833D71">
            <w:pPr>
              <w:jc w:val="both"/>
              <w:rPr>
                <w:sz w:val="18"/>
                <w:szCs w:val="18"/>
                <w:lang w:val="it-IT"/>
              </w:rPr>
            </w:pPr>
          </w:p>
          <w:p w:rsidR="000650AB" w:rsidRDefault="000650AB" w:rsidP="00833D71">
            <w:pPr>
              <w:jc w:val="both"/>
              <w:rPr>
                <w:sz w:val="18"/>
                <w:szCs w:val="18"/>
              </w:rPr>
            </w:pPr>
            <w:r w:rsidRPr="00E55B82">
              <w:rPr>
                <w:sz w:val="18"/>
                <w:szCs w:val="18"/>
              </w:rPr>
              <w:t>Compatibil</w:t>
            </w:r>
          </w:p>
          <w:p w:rsidR="000650AB" w:rsidRDefault="000650AB" w:rsidP="00833D71">
            <w:pPr>
              <w:jc w:val="both"/>
              <w:rPr>
                <w:sz w:val="18"/>
                <w:szCs w:val="18"/>
              </w:rPr>
            </w:pPr>
          </w:p>
          <w:p w:rsidR="000650AB" w:rsidRDefault="000650AB" w:rsidP="00833D71">
            <w:pPr>
              <w:jc w:val="both"/>
              <w:rPr>
                <w:sz w:val="18"/>
                <w:szCs w:val="18"/>
              </w:rPr>
            </w:pPr>
          </w:p>
          <w:p w:rsidR="000650AB" w:rsidRDefault="000650AB" w:rsidP="00833D71">
            <w:pPr>
              <w:jc w:val="both"/>
              <w:rPr>
                <w:sz w:val="18"/>
                <w:szCs w:val="18"/>
              </w:rPr>
            </w:pPr>
          </w:p>
          <w:p w:rsidR="00A85ED7" w:rsidRDefault="00A85ED7" w:rsidP="00833D71">
            <w:pPr>
              <w:jc w:val="both"/>
              <w:rPr>
                <w:sz w:val="18"/>
                <w:szCs w:val="18"/>
              </w:rPr>
            </w:pPr>
          </w:p>
          <w:p w:rsidR="00A85ED7" w:rsidRDefault="00A85ED7" w:rsidP="00833D71">
            <w:pPr>
              <w:jc w:val="both"/>
              <w:rPr>
                <w:sz w:val="18"/>
                <w:szCs w:val="18"/>
              </w:rPr>
            </w:pPr>
          </w:p>
          <w:p w:rsidR="000650AB" w:rsidRDefault="000650AB" w:rsidP="00833D71">
            <w:pPr>
              <w:jc w:val="both"/>
              <w:rPr>
                <w:b/>
                <w:sz w:val="18"/>
                <w:szCs w:val="18"/>
                <w:lang w:val="it-IT"/>
              </w:rPr>
            </w:pPr>
            <w:r w:rsidRPr="00E55B82">
              <w:rPr>
                <w:sz w:val="18"/>
                <w:szCs w:val="18"/>
              </w:rPr>
              <w:t>Compatibil</w:t>
            </w:r>
          </w:p>
        </w:tc>
        <w:tc>
          <w:tcPr>
            <w:tcW w:w="4253" w:type="dxa"/>
            <w:shd w:val="clear" w:color="auto" w:fill="auto"/>
          </w:tcPr>
          <w:p w:rsidR="003D2ED5" w:rsidRPr="00E84D74" w:rsidRDefault="003D2ED5" w:rsidP="001F6EB5">
            <w:pPr>
              <w:autoSpaceDE w:val="0"/>
              <w:autoSpaceDN w:val="0"/>
              <w:adjustRightInd w:val="0"/>
              <w:jc w:val="center"/>
              <w:rPr>
                <w:b/>
                <w:bCs/>
                <w:i/>
                <w:iCs/>
                <w:sz w:val="18"/>
                <w:szCs w:val="18"/>
              </w:rPr>
            </w:pPr>
            <w:r w:rsidRPr="00E84D74">
              <w:rPr>
                <w:b/>
                <w:bCs/>
                <w:i/>
                <w:iCs/>
                <w:sz w:val="18"/>
                <w:szCs w:val="18"/>
              </w:rPr>
              <w:lastRenderedPageBreak/>
              <w:t>Article 50</w:t>
            </w:r>
          </w:p>
          <w:p w:rsidR="003D2ED5" w:rsidRPr="00E84D74" w:rsidRDefault="003D2ED5" w:rsidP="001F6EB5">
            <w:pPr>
              <w:autoSpaceDE w:val="0"/>
              <w:autoSpaceDN w:val="0"/>
              <w:adjustRightInd w:val="0"/>
              <w:jc w:val="center"/>
              <w:rPr>
                <w:b/>
                <w:bCs/>
                <w:sz w:val="18"/>
                <w:szCs w:val="18"/>
              </w:rPr>
            </w:pPr>
            <w:r w:rsidRPr="00E84D74">
              <w:rPr>
                <w:b/>
                <w:bCs/>
                <w:sz w:val="18"/>
                <w:szCs w:val="18"/>
              </w:rPr>
              <w:t>Tolerance</w:t>
            </w:r>
          </w:p>
          <w:p w:rsidR="003D2ED5" w:rsidRPr="00E84D74" w:rsidRDefault="003D2ED5" w:rsidP="00833D71">
            <w:pPr>
              <w:autoSpaceDE w:val="0"/>
              <w:autoSpaceDN w:val="0"/>
              <w:adjustRightInd w:val="0"/>
              <w:jc w:val="both"/>
              <w:rPr>
                <w:sz w:val="18"/>
                <w:szCs w:val="18"/>
              </w:rPr>
            </w:pPr>
            <w:r w:rsidRPr="00E84D74">
              <w:rPr>
                <w:sz w:val="18"/>
                <w:szCs w:val="18"/>
              </w:rPr>
              <w:t>1. Tolerances may only be applied in case network users do not have access:</w:t>
            </w:r>
          </w:p>
          <w:p w:rsidR="003D2ED5" w:rsidRPr="00E84D74" w:rsidRDefault="003D2ED5" w:rsidP="00833D71">
            <w:pPr>
              <w:autoSpaceDE w:val="0"/>
              <w:autoSpaceDN w:val="0"/>
              <w:adjustRightInd w:val="0"/>
              <w:jc w:val="both"/>
              <w:rPr>
                <w:sz w:val="18"/>
                <w:szCs w:val="18"/>
              </w:rPr>
            </w:pPr>
            <w:r w:rsidRPr="00E84D74">
              <w:rPr>
                <w:sz w:val="18"/>
                <w:szCs w:val="18"/>
              </w:rPr>
              <w:t>(a) to a short term wholesale gas market that has sufficient liquidity;</w:t>
            </w:r>
          </w:p>
          <w:p w:rsidR="003D2ED5" w:rsidRPr="00E84D74" w:rsidRDefault="003D2ED5" w:rsidP="00833D71">
            <w:pPr>
              <w:autoSpaceDE w:val="0"/>
              <w:autoSpaceDN w:val="0"/>
              <w:adjustRightInd w:val="0"/>
              <w:jc w:val="both"/>
              <w:rPr>
                <w:sz w:val="18"/>
                <w:szCs w:val="18"/>
              </w:rPr>
            </w:pPr>
            <w:r w:rsidRPr="00E84D74">
              <w:rPr>
                <w:sz w:val="18"/>
                <w:szCs w:val="18"/>
              </w:rPr>
              <w:t>(b) to gas required to meet short term fluctuations in gas demand or supply; or (c) to sufficient information regarding their inputs and off-takes.</w:t>
            </w:r>
            <w:r w:rsidR="001A596C" w:rsidRPr="00E84D74">
              <w:rPr>
                <w:sz w:val="18"/>
                <w:szCs w:val="18"/>
              </w:rPr>
              <w:t xml:space="preserve"> </w:t>
            </w:r>
          </w:p>
          <w:p w:rsidR="00A85ED7" w:rsidRPr="00E84D74" w:rsidRDefault="00A85ED7" w:rsidP="00833D71">
            <w:pPr>
              <w:autoSpaceDE w:val="0"/>
              <w:autoSpaceDN w:val="0"/>
              <w:adjustRightInd w:val="0"/>
              <w:jc w:val="both"/>
              <w:rPr>
                <w:sz w:val="18"/>
                <w:szCs w:val="18"/>
              </w:rPr>
            </w:pPr>
          </w:p>
          <w:p w:rsidR="003D2ED5" w:rsidRPr="00E84D74" w:rsidRDefault="003D2ED5" w:rsidP="00833D71">
            <w:pPr>
              <w:autoSpaceDE w:val="0"/>
              <w:autoSpaceDN w:val="0"/>
              <w:adjustRightInd w:val="0"/>
              <w:jc w:val="both"/>
              <w:rPr>
                <w:sz w:val="18"/>
                <w:szCs w:val="18"/>
              </w:rPr>
            </w:pPr>
            <w:r w:rsidRPr="00E84D74">
              <w:rPr>
                <w:sz w:val="18"/>
                <w:szCs w:val="18"/>
              </w:rPr>
              <w:t>2. Tolerances shall be applied:</w:t>
            </w:r>
          </w:p>
          <w:p w:rsidR="003D2ED5" w:rsidRPr="00E84D74" w:rsidRDefault="003D2ED5" w:rsidP="00833D71">
            <w:pPr>
              <w:autoSpaceDE w:val="0"/>
              <w:autoSpaceDN w:val="0"/>
              <w:adjustRightInd w:val="0"/>
              <w:jc w:val="both"/>
              <w:rPr>
                <w:sz w:val="18"/>
                <w:szCs w:val="18"/>
              </w:rPr>
            </w:pPr>
            <w:r w:rsidRPr="00E84D74">
              <w:rPr>
                <w:sz w:val="18"/>
                <w:szCs w:val="18"/>
              </w:rPr>
              <w:t>(a) with regard to network users’ daily imbalance quantity;</w:t>
            </w:r>
          </w:p>
          <w:p w:rsidR="003D2ED5" w:rsidRPr="00E84D74" w:rsidRDefault="003D2ED5" w:rsidP="00833D71">
            <w:pPr>
              <w:autoSpaceDE w:val="0"/>
              <w:autoSpaceDN w:val="0"/>
              <w:adjustRightInd w:val="0"/>
              <w:jc w:val="both"/>
              <w:rPr>
                <w:sz w:val="18"/>
                <w:szCs w:val="18"/>
              </w:rPr>
            </w:pPr>
            <w:r w:rsidRPr="00E84D74">
              <w:rPr>
                <w:sz w:val="18"/>
                <w:szCs w:val="18"/>
              </w:rPr>
              <w:t>(b) on a transparent and non-discriminatory basis;</w:t>
            </w:r>
          </w:p>
          <w:p w:rsidR="003D2ED5" w:rsidRPr="00E84D74" w:rsidRDefault="003D2ED5" w:rsidP="00833D71">
            <w:pPr>
              <w:autoSpaceDE w:val="0"/>
              <w:autoSpaceDN w:val="0"/>
              <w:adjustRightInd w:val="0"/>
              <w:jc w:val="both"/>
              <w:rPr>
                <w:sz w:val="18"/>
                <w:szCs w:val="18"/>
              </w:rPr>
            </w:pPr>
            <w:r w:rsidRPr="00E84D74">
              <w:rPr>
                <w:sz w:val="18"/>
                <w:szCs w:val="18"/>
              </w:rPr>
              <w:t>(c) only to the extent necessary and for the minimum duration required.</w:t>
            </w:r>
          </w:p>
          <w:p w:rsidR="003D2ED5" w:rsidRPr="00E84D74" w:rsidRDefault="003D2ED5" w:rsidP="00833D71">
            <w:pPr>
              <w:autoSpaceDE w:val="0"/>
              <w:autoSpaceDN w:val="0"/>
              <w:adjustRightInd w:val="0"/>
              <w:jc w:val="both"/>
              <w:rPr>
                <w:sz w:val="18"/>
                <w:szCs w:val="18"/>
              </w:rPr>
            </w:pPr>
            <w:r w:rsidRPr="00E84D74">
              <w:rPr>
                <w:sz w:val="18"/>
                <w:szCs w:val="18"/>
              </w:rPr>
              <w:t>3. The application of tolerances may reduce a network user’s financial exposure to the marginal sell price or the marginal buy price in respect of a part of or the network user’s entire daily imbalance quantity for the gas day.</w:t>
            </w:r>
          </w:p>
          <w:p w:rsidR="003D2ED5" w:rsidRPr="00E84D74" w:rsidRDefault="003D2ED5" w:rsidP="00833D71">
            <w:pPr>
              <w:autoSpaceDE w:val="0"/>
              <w:autoSpaceDN w:val="0"/>
              <w:adjustRightInd w:val="0"/>
              <w:jc w:val="both"/>
              <w:rPr>
                <w:sz w:val="18"/>
                <w:szCs w:val="18"/>
              </w:rPr>
            </w:pPr>
            <w:r w:rsidRPr="00E84D74">
              <w:rPr>
                <w:sz w:val="18"/>
                <w:szCs w:val="18"/>
              </w:rPr>
              <w:t>4. The tolerance level shall be the maximum quantity of gas to be bought or sold by each network user at a weighted average price. If there is a remaining quantity of gas that constitutes each network</w:t>
            </w:r>
            <w:r w:rsidR="001A596C" w:rsidRPr="00E84D74">
              <w:rPr>
                <w:sz w:val="18"/>
                <w:szCs w:val="18"/>
              </w:rPr>
              <w:t xml:space="preserve"> </w:t>
            </w:r>
            <w:r w:rsidRPr="00E84D74">
              <w:rPr>
                <w:sz w:val="18"/>
                <w:szCs w:val="18"/>
              </w:rPr>
              <w:t>user’s daily imbalance quantity which exceeds the tolerance level, it shall be sold or bought at marginal sell price or marginal buy price.</w:t>
            </w:r>
          </w:p>
          <w:p w:rsidR="00833D71" w:rsidRDefault="00833D71" w:rsidP="00833D71">
            <w:pPr>
              <w:autoSpaceDE w:val="0"/>
              <w:autoSpaceDN w:val="0"/>
              <w:adjustRightInd w:val="0"/>
              <w:jc w:val="both"/>
              <w:rPr>
                <w:sz w:val="18"/>
                <w:szCs w:val="18"/>
              </w:rPr>
            </w:pPr>
          </w:p>
          <w:p w:rsidR="00833D71" w:rsidRDefault="00833D71" w:rsidP="00833D71">
            <w:pPr>
              <w:autoSpaceDE w:val="0"/>
              <w:autoSpaceDN w:val="0"/>
              <w:adjustRightInd w:val="0"/>
              <w:jc w:val="both"/>
              <w:rPr>
                <w:sz w:val="18"/>
                <w:szCs w:val="18"/>
              </w:rPr>
            </w:pPr>
          </w:p>
          <w:p w:rsidR="003D2ED5" w:rsidRPr="00E84D74" w:rsidRDefault="003D2ED5" w:rsidP="00833D71">
            <w:pPr>
              <w:autoSpaceDE w:val="0"/>
              <w:autoSpaceDN w:val="0"/>
              <w:adjustRightInd w:val="0"/>
              <w:jc w:val="both"/>
              <w:rPr>
                <w:sz w:val="18"/>
                <w:szCs w:val="18"/>
              </w:rPr>
            </w:pPr>
            <w:r w:rsidRPr="00E84D74">
              <w:rPr>
                <w:sz w:val="18"/>
                <w:szCs w:val="18"/>
              </w:rPr>
              <w:t>5. The design of the tolerance level shall:</w:t>
            </w:r>
          </w:p>
          <w:p w:rsidR="003D2ED5" w:rsidRPr="00E84D74" w:rsidRDefault="003D2ED5" w:rsidP="00833D71">
            <w:pPr>
              <w:autoSpaceDE w:val="0"/>
              <w:autoSpaceDN w:val="0"/>
              <w:adjustRightInd w:val="0"/>
              <w:jc w:val="both"/>
              <w:rPr>
                <w:sz w:val="18"/>
                <w:szCs w:val="18"/>
              </w:rPr>
            </w:pPr>
            <w:r w:rsidRPr="00E84D74">
              <w:rPr>
                <w:sz w:val="18"/>
                <w:szCs w:val="18"/>
              </w:rPr>
              <w:t>(a) reflect the transmission network’s flexibility and network user’s needs;</w:t>
            </w:r>
          </w:p>
          <w:p w:rsidR="003D2ED5" w:rsidRPr="00E84D74" w:rsidRDefault="003D2ED5" w:rsidP="00833D71">
            <w:pPr>
              <w:autoSpaceDE w:val="0"/>
              <w:autoSpaceDN w:val="0"/>
              <w:adjustRightInd w:val="0"/>
              <w:jc w:val="both"/>
              <w:rPr>
                <w:sz w:val="18"/>
                <w:szCs w:val="18"/>
              </w:rPr>
            </w:pPr>
            <w:r w:rsidRPr="00E84D74">
              <w:rPr>
                <w:sz w:val="18"/>
                <w:szCs w:val="18"/>
              </w:rPr>
              <w:lastRenderedPageBreak/>
              <w:t>(b) reflect the level of risk to the network user in managing the balance of its inputs and off-takes;</w:t>
            </w:r>
          </w:p>
          <w:p w:rsidR="003D2ED5" w:rsidRPr="00E84D74" w:rsidRDefault="003D2ED5" w:rsidP="00833D71">
            <w:pPr>
              <w:autoSpaceDE w:val="0"/>
              <w:autoSpaceDN w:val="0"/>
              <w:adjustRightInd w:val="0"/>
              <w:jc w:val="both"/>
              <w:rPr>
                <w:sz w:val="18"/>
                <w:szCs w:val="18"/>
              </w:rPr>
            </w:pPr>
            <w:r w:rsidRPr="00E84D74">
              <w:rPr>
                <w:sz w:val="18"/>
                <w:szCs w:val="18"/>
              </w:rPr>
              <w:t>(c) not undermine the development of the short term wholesale gas market;</w:t>
            </w:r>
          </w:p>
          <w:p w:rsidR="003D2ED5" w:rsidRPr="00E84D74" w:rsidRDefault="003D2ED5" w:rsidP="00833D71">
            <w:pPr>
              <w:autoSpaceDE w:val="0"/>
              <w:autoSpaceDN w:val="0"/>
              <w:adjustRightInd w:val="0"/>
              <w:jc w:val="both"/>
              <w:rPr>
                <w:sz w:val="18"/>
                <w:szCs w:val="18"/>
              </w:rPr>
            </w:pPr>
            <w:r w:rsidRPr="00E84D74">
              <w:rPr>
                <w:sz w:val="18"/>
                <w:szCs w:val="18"/>
              </w:rPr>
              <w:t>(d) not result in an unduly excessive increase of the transmission system operator’s balancing actions’</w:t>
            </w:r>
          </w:p>
          <w:p w:rsidR="003D2ED5" w:rsidRPr="00E84D74" w:rsidRDefault="003D2ED5" w:rsidP="00833D71">
            <w:pPr>
              <w:autoSpaceDE w:val="0"/>
              <w:autoSpaceDN w:val="0"/>
              <w:adjustRightInd w:val="0"/>
              <w:jc w:val="both"/>
              <w:rPr>
                <w:sz w:val="18"/>
                <w:szCs w:val="18"/>
              </w:rPr>
            </w:pPr>
            <w:r w:rsidRPr="00E84D74">
              <w:rPr>
                <w:sz w:val="18"/>
                <w:szCs w:val="18"/>
              </w:rPr>
              <w:t>costs.</w:t>
            </w:r>
          </w:p>
          <w:p w:rsidR="003D2ED5" w:rsidRPr="00E84D74" w:rsidRDefault="003D2ED5" w:rsidP="00833D71">
            <w:pPr>
              <w:autoSpaceDE w:val="0"/>
              <w:autoSpaceDN w:val="0"/>
              <w:adjustRightInd w:val="0"/>
              <w:jc w:val="both"/>
              <w:rPr>
                <w:sz w:val="18"/>
                <w:szCs w:val="18"/>
              </w:rPr>
            </w:pPr>
            <w:r w:rsidRPr="00E84D74">
              <w:rPr>
                <w:sz w:val="18"/>
                <w:szCs w:val="18"/>
              </w:rPr>
              <w:t>6. The tolerance level shall be calculated on the basis of each network user’s inputs and off-takes, excluding trades at the virtual trading point, for each gas day. The subcategories shall be defined under the applicable national rules.</w:t>
            </w:r>
          </w:p>
          <w:p w:rsidR="003D2ED5" w:rsidRPr="00E84D74" w:rsidRDefault="003D2ED5" w:rsidP="00833D71">
            <w:pPr>
              <w:autoSpaceDE w:val="0"/>
              <w:autoSpaceDN w:val="0"/>
              <w:adjustRightInd w:val="0"/>
              <w:jc w:val="both"/>
              <w:rPr>
                <w:sz w:val="18"/>
                <w:szCs w:val="18"/>
              </w:rPr>
            </w:pPr>
            <w:r w:rsidRPr="00E84D74">
              <w:rPr>
                <w:sz w:val="18"/>
                <w:szCs w:val="18"/>
              </w:rPr>
              <w:t xml:space="preserve">7. The tolerance level applicable for a non- daily metered off-take defined under the applicable national rules shall be based upon the difference between the relevant forecast of a network user’s non- daily metered off-takes and the allocation for non- daily metered off-take. </w:t>
            </w:r>
          </w:p>
          <w:p w:rsidR="003D2ED5" w:rsidRPr="00E84D74" w:rsidRDefault="003D2ED5" w:rsidP="00833D71">
            <w:pPr>
              <w:autoSpaceDE w:val="0"/>
              <w:autoSpaceDN w:val="0"/>
              <w:adjustRightInd w:val="0"/>
              <w:jc w:val="both"/>
              <w:rPr>
                <w:sz w:val="18"/>
                <w:szCs w:val="18"/>
              </w:rPr>
            </w:pPr>
            <w:r w:rsidRPr="00E84D74">
              <w:rPr>
                <w:sz w:val="18"/>
                <w:szCs w:val="18"/>
              </w:rPr>
              <w:t>8. The tolerance level may include a component  alculated taking into account the application of the deviation of the forecast of a network user’s non- daily metered off-takes which is the amount by which the relevant forecast:</w:t>
            </w:r>
          </w:p>
          <w:p w:rsidR="003D2ED5" w:rsidRPr="00E84D74" w:rsidRDefault="003D2ED5" w:rsidP="00833D71">
            <w:pPr>
              <w:autoSpaceDE w:val="0"/>
              <w:autoSpaceDN w:val="0"/>
              <w:adjustRightInd w:val="0"/>
              <w:jc w:val="both"/>
              <w:rPr>
                <w:sz w:val="18"/>
                <w:szCs w:val="18"/>
              </w:rPr>
            </w:pPr>
            <w:r w:rsidRPr="00E84D74">
              <w:rPr>
                <w:sz w:val="18"/>
                <w:szCs w:val="18"/>
              </w:rPr>
              <w:t>(a) exceeds the allocation for non- daily metered off-take in case the daily imbalance quantity is positive;</w:t>
            </w:r>
          </w:p>
          <w:p w:rsidR="003D2ED5" w:rsidRPr="00E84D74" w:rsidRDefault="003D2ED5" w:rsidP="00833D71">
            <w:pPr>
              <w:autoSpaceDE w:val="0"/>
              <w:autoSpaceDN w:val="0"/>
              <w:adjustRightInd w:val="0"/>
              <w:jc w:val="both"/>
              <w:rPr>
                <w:sz w:val="18"/>
                <w:szCs w:val="18"/>
              </w:rPr>
            </w:pPr>
            <w:r w:rsidRPr="00E84D74">
              <w:rPr>
                <w:sz w:val="18"/>
                <w:szCs w:val="18"/>
              </w:rPr>
              <w:t>(b) is less than the allocation for non- daily metered off-take in case the daily imbalance quantity is negative.</w:t>
            </w:r>
          </w:p>
          <w:p w:rsidR="003D2ED5" w:rsidRPr="00E84D74" w:rsidRDefault="003D2ED5" w:rsidP="00833D71">
            <w:pPr>
              <w:autoSpaceDE w:val="0"/>
              <w:autoSpaceDN w:val="0"/>
              <w:adjustRightInd w:val="0"/>
              <w:jc w:val="both"/>
              <w:rPr>
                <w:b/>
                <w:bCs/>
                <w:i/>
                <w:iCs/>
                <w:sz w:val="18"/>
                <w:szCs w:val="18"/>
              </w:rPr>
            </w:pPr>
          </w:p>
        </w:tc>
      </w:tr>
      <w:tr w:rsidR="0096281F" w:rsidRPr="00043955" w:rsidTr="00955A7E">
        <w:trPr>
          <w:trHeight w:val="1840"/>
        </w:trPr>
        <w:tc>
          <w:tcPr>
            <w:tcW w:w="5245" w:type="dxa"/>
            <w:shd w:val="clear" w:color="auto" w:fill="auto"/>
          </w:tcPr>
          <w:p w:rsidR="0096281F" w:rsidRPr="00981BD4" w:rsidRDefault="0096281F"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CAPITOLUL XI</w:t>
            </w:r>
          </w:p>
          <w:p w:rsidR="0096281F" w:rsidRPr="00981BD4" w:rsidRDefault="0096281F"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FINALE ȘI TRANZITORII</w:t>
            </w:r>
          </w:p>
          <w:p w:rsidR="0096281F" w:rsidRPr="00981BD4" w:rsidRDefault="0096281F"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51</w:t>
            </w:r>
          </w:p>
          <w:p w:rsidR="0096281F" w:rsidRPr="00981BD4" w:rsidRDefault="0096281F" w:rsidP="00DA725A">
            <w:pPr>
              <w:jc w:val="center"/>
              <w:textAlignment w:val="baseline"/>
              <w:rPr>
                <w:rFonts w:ascii="Segoe UI" w:hAnsi="Segoe UI" w:cs="Segoe UI"/>
                <w:sz w:val="18"/>
                <w:szCs w:val="18"/>
                <w:lang w:val="it-IT" w:eastAsia="en-US"/>
              </w:rPr>
            </w:pPr>
            <w:r w:rsidRPr="00981BD4">
              <w:rPr>
                <w:b/>
                <w:sz w:val="18"/>
                <w:szCs w:val="18"/>
                <w:lang w:val="it-IT" w:eastAsia="en-US"/>
              </w:rPr>
              <w:t>Eliberarea surplusului de flexibilitate al operatorului de sistem de transport</w:t>
            </w:r>
          </w:p>
          <w:p w:rsidR="0096281F" w:rsidRDefault="0096281F" w:rsidP="00DA725A">
            <w:pPr>
              <w:jc w:val="both"/>
              <w:textAlignment w:val="baseline"/>
              <w:rPr>
                <w:sz w:val="18"/>
                <w:szCs w:val="18"/>
                <w:lang w:val="it-IT" w:eastAsia="en-US"/>
              </w:rPr>
            </w:pPr>
            <w:r w:rsidRPr="00981BD4">
              <w:rPr>
                <w:sz w:val="18"/>
                <w:szCs w:val="18"/>
                <w:lang w:val="it-IT" w:eastAsia="en-US"/>
              </w:rPr>
              <w:t>(1)   Dacă, la data intrării în vigoare a prezentului regulament, sunt în vigoare contracte pe termen lung privind achiziționarea de flexibilitate care îi conferă operatorului de sistem de transport dreptul de a retrage sau de a introduce volume de gaz specificate, operatorul de sistem de transport vizează să reducă aceste cantități de flexibilitate. </w:t>
            </w:r>
          </w:p>
          <w:p w:rsidR="00D21F63" w:rsidRPr="00981BD4" w:rsidRDefault="00D21F63" w:rsidP="00DA725A">
            <w:pPr>
              <w:jc w:val="both"/>
              <w:textAlignment w:val="baseline"/>
              <w:rPr>
                <w:rFonts w:ascii="Segoe UI" w:hAnsi="Segoe UI" w:cs="Segoe UI"/>
                <w:sz w:val="18"/>
                <w:szCs w:val="18"/>
                <w:lang w:val="it-IT" w:eastAsia="en-US"/>
              </w:rPr>
            </w:pP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(2)   În timp ce stabilește cantitatea surplusului de flexibilitate disponibilă pentru intrare sau ieșire în temeiul unui contract pe termen lung aflat în vigoare, operatorul de sistem de transport ia în considerare utilizarea produselor standardizate pe termen scurt.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(3)   Surplusul de flexibilitate poate fi eliberat: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fie în temeiul termenilor și condițiilor contractului existent, dacă acesta conține dispoziții care permit reducerea cantității de gaz angajate și/sau terminarea contractului existent;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fie, în absența unor astfel de drepturi contractuale, după cum urmează: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contractul rămâne în vigoare până la terminarea acestuia în temeiul termenilor și condițiilor aplicabile; </w:t>
            </w:r>
          </w:p>
          <w:p w:rsidR="0096281F" w:rsidRDefault="0096281F" w:rsidP="00DA725A">
            <w:pPr>
              <w:jc w:val="both"/>
              <w:textAlignment w:val="baseline"/>
              <w:rPr>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părțile contractante iau în considerare măsuri suplimentare pentru a elibera înapoi pe piață orice surplus de gaz care nu este necesar în scopuri de echilibrare, pentru a permite accesul celorlalți utilizatori ai rețelei la cantități mai mari de flexibilitate. </w:t>
            </w:r>
          </w:p>
          <w:p w:rsidR="00D21F63" w:rsidRDefault="00D21F63" w:rsidP="00DA725A">
            <w:pPr>
              <w:jc w:val="both"/>
              <w:textAlignment w:val="baseline"/>
              <w:rPr>
                <w:rFonts w:ascii="Segoe UI" w:hAnsi="Segoe UI" w:cs="Segoe UI"/>
                <w:sz w:val="18"/>
                <w:szCs w:val="18"/>
                <w:lang w:val="it-IT" w:eastAsia="en-US"/>
              </w:rPr>
            </w:pP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6281F" w:rsidRDefault="0096281F" w:rsidP="00DA725A">
            <w:pPr>
              <w:jc w:val="both"/>
              <w:textAlignment w:val="baseline"/>
              <w:rPr>
                <w:sz w:val="18"/>
                <w:szCs w:val="18"/>
                <w:lang w:val="it-IT" w:eastAsia="en-US"/>
              </w:rPr>
            </w:pPr>
            <w:r w:rsidRPr="00981BD4">
              <w:rPr>
                <w:sz w:val="18"/>
                <w:szCs w:val="18"/>
                <w:lang w:val="it-IT" w:eastAsia="en-US"/>
              </w:rPr>
              <w:t>(4)   În cazul în care contractul aflat în vigoare prevede reducerea flexibilității cu cantități compatibile cu surplusul disponibil, operatorul de sistem de transport reduce flexibilitatea respectivă de îndată ce este posibil, în mod rezonabil, începând cu data intrării în vigoare a prezentului regulament sau de îndată ce poate fi stabilită existența surplusului. </w:t>
            </w:r>
          </w:p>
          <w:p w:rsidR="00EE25E9" w:rsidRPr="00981BD4" w:rsidRDefault="00EE25E9" w:rsidP="00DA725A">
            <w:pPr>
              <w:jc w:val="both"/>
              <w:textAlignment w:val="baseline"/>
              <w:rPr>
                <w:rFonts w:ascii="Segoe UI" w:hAnsi="Segoe UI" w:cs="Segoe UI"/>
                <w:sz w:val="18"/>
                <w:szCs w:val="18"/>
                <w:lang w:val="it-IT" w:eastAsia="en-US"/>
              </w:rPr>
            </w:pP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(5)   Operatorul de sistem de transport consultă părțile interesate cu privire la propunerile specifice care urmează să fie implementate ca măsuri provizorii pentru eliberarea oricărui surplus de flexibilitate în temeiul unui contract pe termen lung aflat în vigoare. </w:t>
            </w:r>
          </w:p>
          <w:p w:rsidR="0096281F" w:rsidRDefault="0096281F" w:rsidP="00DA725A">
            <w:pPr>
              <w:jc w:val="both"/>
              <w:textAlignment w:val="baseline"/>
              <w:rPr>
                <w:sz w:val="18"/>
                <w:szCs w:val="18"/>
                <w:lang w:val="it-IT" w:eastAsia="en-US"/>
              </w:rPr>
            </w:pPr>
            <w:r w:rsidRPr="00981BD4">
              <w:rPr>
                <w:sz w:val="18"/>
                <w:szCs w:val="18"/>
                <w:lang w:val="it-IT" w:eastAsia="en-US"/>
              </w:rPr>
              <w:t>(6)   Operatorul de sistem de transport publică informațiile privind acțiunile de echilibrare pe care le-a întreprins în temeiul contractului pe termen lung aflat în vigoare.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(7)   Autoritatea națională de reglementare poate stabili obiective privind proporția în care ar trebui reduse contractele pe termen lung pentru a spori lichiditatea pieței angro a gazului pe termen scurt.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6281F" w:rsidRPr="00981BD4" w:rsidRDefault="0096281F" w:rsidP="00DA725A">
            <w:pPr>
              <w:jc w:val="both"/>
              <w:textAlignment w:val="baseline"/>
              <w:rPr>
                <w:b/>
                <w:bCs/>
                <w:sz w:val="18"/>
                <w:szCs w:val="18"/>
                <w:lang w:val="it-IT" w:eastAsia="en-US"/>
              </w:rPr>
            </w:pPr>
          </w:p>
          <w:p w:rsidR="0096281F" w:rsidRPr="00981BD4" w:rsidRDefault="0096281F" w:rsidP="00DA725A">
            <w:pPr>
              <w:jc w:val="both"/>
              <w:textAlignment w:val="baseline"/>
              <w:rPr>
                <w:b/>
                <w:bCs/>
                <w:sz w:val="18"/>
                <w:szCs w:val="18"/>
                <w:lang w:val="it-IT" w:eastAsia="en-US"/>
              </w:rPr>
            </w:pPr>
          </w:p>
          <w:p w:rsidR="0096281F" w:rsidRPr="00981BD4" w:rsidRDefault="0096281F" w:rsidP="00DA725A">
            <w:pPr>
              <w:jc w:val="both"/>
              <w:textAlignment w:val="baseline"/>
              <w:rPr>
                <w:sz w:val="18"/>
                <w:szCs w:val="18"/>
                <w:lang w:val="it-IT"/>
              </w:rPr>
            </w:pPr>
          </w:p>
        </w:tc>
        <w:tc>
          <w:tcPr>
            <w:tcW w:w="4962" w:type="dxa"/>
            <w:shd w:val="clear" w:color="auto" w:fill="auto"/>
          </w:tcPr>
          <w:p w:rsidR="00D635CC" w:rsidRPr="00D635CC" w:rsidRDefault="00D635CC" w:rsidP="001F6EB5">
            <w:pPr>
              <w:jc w:val="center"/>
              <w:textAlignment w:val="baseline"/>
              <w:rPr>
                <w:bCs/>
                <w:sz w:val="18"/>
                <w:szCs w:val="18"/>
                <w:lang w:val="ro-RO" w:eastAsia="en-US"/>
              </w:rPr>
            </w:pPr>
            <w:r w:rsidRPr="00D635CC">
              <w:rPr>
                <w:b/>
                <w:bCs/>
                <w:sz w:val="18"/>
                <w:szCs w:val="18"/>
                <w:lang w:val="ro-RO" w:eastAsia="en-US"/>
              </w:rPr>
              <w:lastRenderedPageBreak/>
              <w:t>Capitolul XI</w:t>
            </w:r>
          </w:p>
          <w:p w:rsidR="00D635CC" w:rsidRPr="00D635CC" w:rsidRDefault="00D635CC" w:rsidP="001F6EB5">
            <w:pPr>
              <w:jc w:val="center"/>
              <w:textAlignment w:val="baseline"/>
              <w:rPr>
                <w:bCs/>
                <w:sz w:val="18"/>
                <w:szCs w:val="18"/>
                <w:lang w:val="ro-RO" w:eastAsia="en-US"/>
              </w:rPr>
            </w:pPr>
            <w:r w:rsidRPr="00D635CC">
              <w:rPr>
                <w:b/>
                <w:bCs/>
                <w:sz w:val="18"/>
                <w:szCs w:val="18"/>
                <w:lang w:val="ro-RO" w:eastAsia="en-US"/>
              </w:rPr>
              <w:t>Eliberarea surplusului de flexibilitate al OST</w:t>
            </w:r>
          </w:p>
          <w:p w:rsidR="00406BBD" w:rsidRDefault="00406BBD" w:rsidP="00D21F63">
            <w:pPr>
              <w:jc w:val="both"/>
              <w:textAlignment w:val="baseline"/>
              <w:rPr>
                <w:b/>
                <w:bCs/>
                <w:sz w:val="18"/>
                <w:szCs w:val="18"/>
                <w:lang w:val="ro-RO" w:eastAsia="en-US"/>
              </w:rPr>
            </w:pPr>
          </w:p>
          <w:p w:rsidR="00406BBD" w:rsidRDefault="00406BBD" w:rsidP="00D21F63">
            <w:pPr>
              <w:jc w:val="both"/>
              <w:textAlignment w:val="baseline"/>
              <w:rPr>
                <w:b/>
                <w:bCs/>
                <w:sz w:val="18"/>
                <w:szCs w:val="18"/>
                <w:lang w:val="ro-RO" w:eastAsia="en-US"/>
              </w:rPr>
            </w:pPr>
          </w:p>
          <w:p w:rsidR="00406BBD" w:rsidRDefault="00406BBD" w:rsidP="00D21F63">
            <w:pPr>
              <w:jc w:val="both"/>
              <w:textAlignment w:val="baseline"/>
              <w:rPr>
                <w:b/>
                <w:bCs/>
                <w:sz w:val="18"/>
                <w:szCs w:val="18"/>
                <w:lang w:val="ro-RO" w:eastAsia="en-US"/>
              </w:rPr>
            </w:pP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623.</w:t>
            </w:r>
            <w:r w:rsidRPr="00D635CC">
              <w:rPr>
                <w:bCs/>
                <w:sz w:val="18"/>
                <w:szCs w:val="18"/>
                <w:lang w:val="ro-RO" w:eastAsia="en-US"/>
              </w:rPr>
              <w:t xml:space="preserve"> Dacă, la data intrării în vigoare a prezentului Titlu, sunt în vigoare contracte pe termen lung privind achiziţionarea serviciilor de flexibilitate care îi conferă OST dreptul de a retrage sau de a introduce cantităţi de gaze naturale specificate, OST va reduce aceste cantităţi de flexibilitate.</w:t>
            </w:r>
          </w:p>
          <w:p w:rsidR="00406BBD" w:rsidRDefault="00406BBD" w:rsidP="00D21F63">
            <w:pPr>
              <w:jc w:val="both"/>
              <w:textAlignment w:val="baseline"/>
              <w:rPr>
                <w:b/>
                <w:bCs/>
                <w:sz w:val="18"/>
                <w:szCs w:val="18"/>
                <w:lang w:val="ro-RO" w:eastAsia="en-US"/>
              </w:rPr>
            </w:pP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624.</w:t>
            </w:r>
            <w:r w:rsidRPr="00D635CC">
              <w:rPr>
                <w:bCs/>
                <w:sz w:val="18"/>
                <w:szCs w:val="18"/>
                <w:lang w:val="ro-RO" w:eastAsia="en-US"/>
              </w:rPr>
              <w:t xml:space="preserve"> La stabilirea cantităţii surplusului de flexibilitate disponibile pentru intrări sau ieşiri în temeiul unui contract pe termen lung aflat în vigoare, OST trebuie să ia în considerare utilizarea PSTS.</w:t>
            </w:r>
          </w:p>
          <w:p w:rsidR="00406BBD" w:rsidRDefault="00406BBD" w:rsidP="00D21F63">
            <w:pPr>
              <w:jc w:val="both"/>
              <w:textAlignment w:val="baseline"/>
              <w:rPr>
                <w:b/>
                <w:bCs/>
                <w:sz w:val="18"/>
                <w:szCs w:val="18"/>
                <w:lang w:val="ro-RO" w:eastAsia="en-US"/>
              </w:rPr>
            </w:pP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625.</w:t>
            </w:r>
            <w:r w:rsidRPr="00D635CC">
              <w:rPr>
                <w:bCs/>
                <w:sz w:val="18"/>
                <w:szCs w:val="18"/>
                <w:lang w:val="ro-RO" w:eastAsia="en-US"/>
              </w:rPr>
              <w:t xml:space="preserve"> Surplusul de flexibilitate poate fi eliberat:</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t>1) în conformitate cu termenii şi condiţiile contractului existent, dacă acesta conţine dispoziţii care permit reducerea cantităţii de gaze naturale contractate şi/sau rezoluţiunea contractului existent;</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lastRenderedPageBreak/>
              <w:t>2) în absenţa unor astfel de drepturi contractuale, după cum urmează:</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t>a) contractul rămâne în vigoare până la rezoluţiunea acestuia în temeiul termenilor şi condiţiilor aplicabile;</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t>b) părţile contractante iau în considerare măsuri suplimentare pentru a elibera înapoi pe piaţă orice surplus de gaze naturale care nu este necesar în scopuri de echilibrare, pentru a permite accesul celorlalţi utilizatori de sistem la cantităţi mai mari de flexibilitate.</w:t>
            </w:r>
          </w:p>
          <w:p w:rsidR="00955A7E" w:rsidRDefault="00955A7E" w:rsidP="00D21F63">
            <w:pPr>
              <w:jc w:val="both"/>
              <w:textAlignment w:val="baseline"/>
              <w:rPr>
                <w:b/>
                <w:bCs/>
                <w:sz w:val="18"/>
                <w:szCs w:val="18"/>
                <w:lang w:val="ro-RO" w:eastAsia="en-US"/>
              </w:rPr>
            </w:pPr>
          </w:p>
          <w:p w:rsidR="00955A7E" w:rsidRDefault="00955A7E" w:rsidP="00D21F63">
            <w:pPr>
              <w:jc w:val="both"/>
              <w:textAlignment w:val="baseline"/>
              <w:rPr>
                <w:b/>
                <w:bCs/>
                <w:sz w:val="18"/>
                <w:szCs w:val="18"/>
                <w:lang w:val="ro-RO" w:eastAsia="en-US"/>
              </w:rPr>
            </w:pPr>
          </w:p>
          <w:p w:rsidR="00D635CC" w:rsidRDefault="00D635CC" w:rsidP="00D21F63">
            <w:pPr>
              <w:jc w:val="both"/>
              <w:textAlignment w:val="baseline"/>
              <w:rPr>
                <w:bCs/>
                <w:sz w:val="18"/>
                <w:szCs w:val="18"/>
                <w:lang w:val="ro-RO" w:eastAsia="en-US"/>
              </w:rPr>
            </w:pPr>
            <w:r w:rsidRPr="00D635CC">
              <w:rPr>
                <w:b/>
                <w:bCs/>
                <w:sz w:val="18"/>
                <w:szCs w:val="18"/>
                <w:lang w:val="ro-RO" w:eastAsia="en-US"/>
              </w:rPr>
              <w:t>626.</w:t>
            </w:r>
            <w:r w:rsidRPr="00D635CC">
              <w:rPr>
                <w:bCs/>
                <w:sz w:val="18"/>
                <w:szCs w:val="18"/>
                <w:lang w:val="ro-RO" w:eastAsia="en-US"/>
              </w:rPr>
              <w:t xml:space="preserve"> În cazul în care contractul aflat în vigoare prevede reducerea flexibilităţii cu cantităţi compatibile cu surplusul disponibil, OST reduce flexibilitatea respectivă de îndată ce este posibil, în mod rezonabil, începând cu data intrării în vigoare a prezentului Titlu sau imediat ce poate fi stabilită existenţa surplusului.</w:t>
            </w:r>
          </w:p>
          <w:p w:rsidR="00955A7E" w:rsidRDefault="00955A7E" w:rsidP="00D21F63">
            <w:pPr>
              <w:jc w:val="both"/>
              <w:textAlignment w:val="baseline"/>
              <w:rPr>
                <w:bCs/>
                <w:sz w:val="18"/>
                <w:szCs w:val="18"/>
                <w:lang w:val="ro-RO" w:eastAsia="en-US"/>
              </w:rPr>
            </w:pPr>
          </w:p>
          <w:p w:rsidR="00955A7E" w:rsidRDefault="00955A7E" w:rsidP="00D21F63">
            <w:pPr>
              <w:jc w:val="both"/>
              <w:textAlignment w:val="baseline"/>
              <w:rPr>
                <w:bCs/>
                <w:sz w:val="18"/>
                <w:szCs w:val="18"/>
                <w:lang w:val="ro-RO" w:eastAsia="en-US"/>
              </w:rPr>
            </w:pPr>
          </w:p>
          <w:p w:rsidR="00D635CC" w:rsidRDefault="00D635CC" w:rsidP="00D21F63">
            <w:pPr>
              <w:jc w:val="both"/>
              <w:textAlignment w:val="baseline"/>
              <w:rPr>
                <w:bCs/>
                <w:sz w:val="18"/>
                <w:szCs w:val="18"/>
                <w:lang w:val="ro-RO" w:eastAsia="en-US"/>
              </w:rPr>
            </w:pPr>
            <w:r w:rsidRPr="00D635CC">
              <w:rPr>
                <w:b/>
                <w:bCs/>
                <w:sz w:val="18"/>
                <w:szCs w:val="18"/>
                <w:lang w:val="ro-RO" w:eastAsia="en-US"/>
              </w:rPr>
              <w:t>627.</w:t>
            </w:r>
            <w:r w:rsidRPr="00D635CC">
              <w:rPr>
                <w:bCs/>
                <w:sz w:val="18"/>
                <w:szCs w:val="18"/>
                <w:lang w:val="ro-RO" w:eastAsia="en-US"/>
              </w:rPr>
              <w:t xml:space="preserve"> OST consultă părţile interesate cu privire la propunerile specifice care urmează să fie implementate ca măsuri provizorii pentru eliberarea oricărui surplus de flexibilitate în temeiul unui contract pe termen lung aflat în vigoare.</w:t>
            </w: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628.</w:t>
            </w:r>
            <w:r w:rsidRPr="00D635CC">
              <w:rPr>
                <w:bCs/>
                <w:sz w:val="18"/>
                <w:szCs w:val="18"/>
                <w:lang w:val="ro-RO" w:eastAsia="en-US"/>
              </w:rPr>
              <w:t xml:space="preserve"> OST publică informaţiile privind acţiunile de echilibrare pe care le-a întreprins în temeiul contractului pe termen lung aflat în vigoare.</w:t>
            </w: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629.</w:t>
            </w:r>
            <w:r w:rsidRPr="00D635CC">
              <w:rPr>
                <w:bCs/>
                <w:sz w:val="18"/>
                <w:szCs w:val="18"/>
                <w:lang w:val="ro-RO" w:eastAsia="en-US"/>
              </w:rPr>
              <w:t xml:space="preserve"> Agenţia poate stabili obiective privind proporţia în care ar trebui reduse contractele pe termen lung pentru a spori lichiditatea pieţei angro a gazelor naturale pe termen scurt.</w:t>
            </w:r>
          </w:p>
          <w:p w:rsidR="0096281F" w:rsidRPr="00981BD4" w:rsidRDefault="0096281F" w:rsidP="00D21F63">
            <w:pPr>
              <w:jc w:val="both"/>
              <w:textAlignment w:val="baseline"/>
              <w:rPr>
                <w:rFonts w:ascii="Segoe UI" w:hAnsi="Segoe UI" w:cs="Segoe UI"/>
                <w:sz w:val="18"/>
                <w:szCs w:val="18"/>
                <w:lang w:val="it-IT" w:eastAsia="en-US"/>
              </w:rPr>
            </w:pPr>
            <w:r w:rsidRPr="00981BD4">
              <w:rPr>
                <w:sz w:val="18"/>
                <w:szCs w:val="18"/>
                <w:lang w:val="it-IT" w:eastAsia="en-US"/>
              </w:rPr>
              <w:t> </w:t>
            </w:r>
          </w:p>
          <w:p w:rsidR="0096281F" w:rsidRPr="00981BD4" w:rsidRDefault="0096281F" w:rsidP="00D21F63">
            <w:pPr>
              <w:jc w:val="both"/>
              <w:rPr>
                <w:sz w:val="18"/>
                <w:szCs w:val="18"/>
                <w:lang w:val="it-IT"/>
              </w:rPr>
            </w:pPr>
          </w:p>
        </w:tc>
        <w:tc>
          <w:tcPr>
            <w:tcW w:w="1275" w:type="dxa"/>
            <w:shd w:val="clear" w:color="auto" w:fill="auto"/>
          </w:tcPr>
          <w:p w:rsidR="0096281F" w:rsidRPr="00981BD4" w:rsidRDefault="0096281F"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Default="000650AB" w:rsidP="00D21F63">
            <w:pPr>
              <w:jc w:val="both"/>
              <w:rPr>
                <w:sz w:val="18"/>
                <w:szCs w:val="18"/>
                <w:lang w:val="it-IT"/>
              </w:rPr>
            </w:pPr>
          </w:p>
          <w:p w:rsidR="00D21F63" w:rsidRPr="00981BD4" w:rsidRDefault="00D21F63"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354E44" w:rsidRDefault="00354E44" w:rsidP="00D21F63">
            <w:pPr>
              <w:jc w:val="both"/>
              <w:rPr>
                <w:sz w:val="18"/>
                <w:szCs w:val="18"/>
                <w:lang w:val="it-IT"/>
              </w:rPr>
            </w:pPr>
          </w:p>
          <w:p w:rsidR="00183FA7" w:rsidRPr="00981BD4" w:rsidRDefault="00183FA7" w:rsidP="00D21F63">
            <w:pPr>
              <w:jc w:val="both"/>
              <w:rPr>
                <w:sz w:val="18"/>
                <w:szCs w:val="18"/>
                <w:lang w:val="it-IT"/>
              </w:rPr>
            </w:pPr>
          </w:p>
          <w:p w:rsidR="00354E44" w:rsidRDefault="00354E44" w:rsidP="00D21F63">
            <w:pPr>
              <w:jc w:val="both"/>
              <w:rPr>
                <w:sz w:val="18"/>
                <w:szCs w:val="18"/>
                <w:lang w:val="it-IT"/>
              </w:rPr>
            </w:pPr>
          </w:p>
          <w:p w:rsidR="00D21F63" w:rsidRDefault="00D21F63"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Default="000650AB" w:rsidP="00D21F63">
            <w:pPr>
              <w:jc w:val="both"/>
              <w:rPr>
                <w:sz w:val="18"/>
                <w:szCs w:val="18"/>
                <w:lang w:val="it-IT"/>
              </w:rPr>
            </w:pPr>
          </w:p>
          <w:p w:rsidR="00183FA7" w:rsidRDefault="00183FA7" w:rsidP="00D21F63">
            <w:pPr>
              <w:jc w:val="both"/>
              <w:rPr>
                <w:sz w:val="18"/>
                <w:szCs w:val="18"/>
                <w:lang w:val="it-IT"/>
              </w:rPr>
            </w:pPr>
          </w:p>
          <w:p w:rsidR="00183FA7" w:rsidRPr="00981BD4" w:rsidRDefault="00183FA7"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Default="000650AB" w:rsidP="00D21F63">
            <w:pPr>
              <w:jc w:val="both"/>
              <w:rPr>
                <w:sz w:val="18"/>
                <w:szCs w:val="18"/>
                <w:lang w:val="it-IT"/>
              </w:rPr>
            </w:pPr>
          </w:p>
          <w:p w:rsidR="00D21F63" w:rsidRPr="00981BD4" w:rsidRDefault="00D21F63"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354E44" w:rsidRPr="00981BD4" w:rsidRDefault="00354E44" w:rsidP="00D21F63">
            <w:pPr>
              <w:jc w:val="both"/>
              <w:rPr>
                <w:sz w:val="18"/>
                <w:szCs w:val="18"/>
                <w:lang w:val="it-IT"/>
              </w:rPr>
            </w:pPr>
          </w:p>
          <w:p w:rsidR="00354E44" w:rsidRDefault="00354E44" w:rsidP="00D21F63">
            <w:pPr>
              <w:jc w:val="both"/>
              <w:rPr>
                <w:sz w:val="18"/>
                <w:szCs w:val="18"/>
                <w:lang w:val="it-IT"/>
              </w:rPr>
            </w:pPr>
          </w:p>
          <w:p w:rsidR="000650AB" w:rsidRDefault="000650AB" w:rsidP="00D21F63">
            <w:pPr>
              <w:jc w:val="both"/>
              <w:rPr>
                <w:sz w:val="18"/>
                <w:szCs w:val="18"/>
              </w:rPr>
            </w:pPr>
            <w:r w:rsidRPr="00E55B82">
              <w:rPr>
                <w:sz w:val="18"/>
                <w:szCs w:val="18"/>
              </w:rPr>
              <w:t>Compatibil</w:t>
            </w:r>
          </w:p>
          <w:p w:rsidR="000650AB" w:rsidRDefault="000650AB" w:rsidP="00D21F63">
            <w:pPr>
              <w:jc w:val="both"/>
              <w:rPr>
                <w:sz w:val="18"/>
                <w:szCs w:val="18"/>
              </w:rPr>
            </w:pPr>
          </w:p>
          <w:p w:rsidR="000650AB" w:rsidRPr="00BE464B" w:rsidRDefault="000650AB" w:rsidP="00D21F63">
            <w:pPr>
              <w:jc w:val="both"/>
              <w:rPr>
                <w:sz w:val="18"/>
                <w:szCs w:val="18"/>
              </w:rPr>
            </w:pPr>
          </w:p>
        </w:tc>
        <w:tc>
          <w:tcPr>
            <w:tcW w:w="4253" w:type="dxa"/>
            <w:shd w:val="clear" w:color="auto" w:fill="auto"/>
          </w:tcPr>
          <w:p w:rsidR="0096281F" w:rsidRPr="00E84D74" w:rsidRDefault="0096281F" w:rsidP="001F6EB5">
            <w:pPr>
              <w:autoSpaceDE w:val="0"/>
              <w:autoSpaceDN w:val="0"/>
              <w:adjustRightInd w:val="0"/>
              <w:jc w:val="center"/>
              <w:rPr>
                <w:b/>
                <w:bCs/>
                <w:sz w:val="18"/>
                <w:szCs w:val="18"/>
              </w:rPr>
            </w:pPr>
            <w:r w:rsidRPr="00E84D74">
              <w:rPr>
                <w:b/>
                <w:bCs/>
                <w:sz w:val="18"/>
                <w:szCs w:val="18"/>
              </w:rPr>
              <w:lastRenderedPageBreak/>
              <w:t>CHAPTER XI</w:t>
            </w:r>
          </w:p>
          <w:p w:rsidR="0096281F" w:rsidRPr="00E84D74" w:rsidRDefault="0096281F" w:rsidP="001F6EB5">
            <w:pPr>
              <w:autoSpaceDE w:val="0"/>
              <w:autoSpaceDN w:val="0"/>
              <w:adjustRightInd w:val="0"/>
              <w:jc w:val="center"/>
              <w:rPr>
                <w:b/>
                <w:bCs/>
                <w:sz w:val="18"/>
                <w:szCs w:val="18"/>
              </w:rPr>
            </w:pPr>
            <w:r w:rsidRPr="00E84D74">
              <w:rPr>
                <w:b/>
                <w:bCs/>
                <w:sz w:val="18"/>
                <w:szCs w:val="18"/>
              </w:rPr>
              <w:t>FINAL AND TRANSITIONAL PROVISIONS</w:t>
            </w:r>
          </w:p>
          <w:p w:rsidR="0096281F" w:rsidRPr="00E84D74" w:rsidRDefault="0096281F" w:rsidP="001F6EB5">
            <w:pPr>
              <w:autoSpaceDE w:val="0"/>
              <w:autoSpaceDN w:val="0"/>
              <w:adjustRightInd w:val="0"/>
              <w:jc w:val="center"/>
              <w:rPr>
                <w:b/>
                <w:bCs/>
                <w:i/>
                <w:iCs/>
                <w:sz w:val="18"/>
                <w:szCs w:val="18"/>
              </w:rPr>
            </w:pPr>
            <w:r w:rsidRPr="00E84D74">
              <w:rPr>
                <w:b/>
                <w:bCs/>
                <w:i/>
                <w:iCs/>
                <w:sz w:val="18"/>
                <w:szCs w:val="18"/>
              </w:rPr>
              <w:t>Article 51</w:t>
            </w:r>
          </w:p>
          <w:p w:rsidR="0096281F" w:rsidRPr="00E84D74" w:rsidRDefault="0096281F" w:rsidP="001F6EB5">
            <w:pPr>
              <w:autoSpaceDE w:val="0"/>
              <w:autoSpaceDN w:val="0"/>
              <w:adjustRightInd w:val="0"/>
              <w:jc w:val="center"/>
              <w:rPr>
                <w:b/>
                <w:bCs/>
                <w:sz w:val="18"/>
                <w:szCs w:val="18"/>
              </w:rPr>
            </w:pPr>
            <w:r w:rsidRPr="00E84D74">
              <w:rPr>
                <w:b/>
                <w:bCs/>
                <w:sz w:val="18"/>
                <w:szCs w:val="18"/>
              </w:rPr>
              <w:t>Release of surplus transmission system operator’s flexibility</w:t>
            </w:r>
          </w:p>
          <w:p w:rsidR="0096281F" w:rsidRPr="00E84D74" w:rsidRDefault="0096281F" w:rsidP="00D21F63">
            <w:pPr>
              <w:autoSpaceDE w:val="0"/>
              <w:autoSpaceDN w:val="0"/>
              <w:adjustRightInd w:val="0"/>
              <w:jc w:val="both"/>
              <w:rPr>
                <w:sz w:val="18"/>
                <w:szCs w:val="18"/>
              </w:rPr>
            </w:pPr>
            <w:r w:rsidRPr="00E84D74">
              <w:rPr>
                <w:sz w:val="18"/>
                <w:szCs w:val="18"/>
              </w:rPr>
              <w:t xml:space="preserve">1. Where long- term contracts for the procurement of flexibility in force at the date of </w:t>
            </w:r>
            <w:r w:rsidRPr="00E84D74">
              <w:rPr>
                <w:b/>
                <w:bCs/>
                <w:sz w:val="18"/>
                <w:szCs w:val="18"/>
              </w:rPr>
              <w:t xml:space="preserve">expiry of the deadline for transposition </w:t>
            </w:r>
            <w:r w:rsidRPr="00E84D74">
              <w:rPr>
                <w:sz w:val="18"/>
                <w:szCs w:val="18"/>
              </w:rPr>
              <w:t>of this Regulation provide the transmission system operator with a right to off-take or input specified volumes of gas, the transmission system operator shall aim to reduce these amounts of flexibility.</w:t>
            </w:r>
          </w:p>
          <w:p w:rsidR="0096281F" w:rsidRPr="00E84D74" w:rsidRDefault="0096281F" w:rsidP="00D21F63">
            <w:pPr>
              <w:autoSpaceDE w:val="0"/>
              <w:autoSpaceDN w:val="0"/>
              <w:adjustRightInd w:val="0"/>
              <w:jc w:val="both"/>
              <w:rPr>
                <w:sz w:val="18"/>
                <w:szCs w:val="18"/>
              </w:rPr>
            </w:pPr>
            <w:r w:rsidRPr="00E84D74">
              <w:rPr>
                <w:sz w:val="18"/>
                <w:szCs w:val="18"/>
              </w:rPr>
              <w:t>2. While determining the amount of surplus flexibility available for input or off-take under a long- term</w:t>
            </w:r>
          </w:p>
          <w:p w:rsidR="0096281F" w:rsidRPr="00E84D74" w:rsidRDefault="0096281F" w:rsidP="00D21F63">
            <w:pPr>
              <w:autoSpaceDE w:val="0"/>
              <w:autoSpaceDN w:val="0"/>
              <w:adjustRightInd w:val="0"/>
              <w:jc w:val="both"/>
              <w:rPr>
                <w:sz w:val="18"/>
                <w:szCs w:val="18"/>
              </w:rPr>
            </w:pPr>
            <w:r w:rsidRPr="00E84D74">
              <w:rPr>
                <w:sz w:val="18"/>
                <w:szCs w:val="18"/>
              </w:rPr>
              <w:t>contract in force, the transmission system operator shall take into account the use of the short- term standardised products.</w:t>
            </w:r>
          </w:p>
          <w:p w:rsidR="0096281F" w:rsidRPr="00E84D74" w:rsidRDefault="0096281F" w:rsidP="00D21F63">
            <w:pPr>
              <w:autoSpaceDE w:val="0"/>
              <w:autoSpaceDN w:val="0"/>
              <w:adjustRightInd w:val="0"/>
              <w:jc w:val="both"/>
              <w:rPr>
                <w:sz w:val="18"/>
                <w:szCs w:val="18"/>
              </w:rPr>
            </w:pPr>
            <w:r w:rsidRPr="00E84D74">
              <w:rPr>
                <w:sz w:val="18"/>
                <w:szCs w:val="18"/>
              </w:rPr>
              <w:t>3. The surplus flexibility may be released either:</w:t>
            </w:r>
          </w:p>
          <w:p w:rsidR="0096281F" w:rsidRPr="00E84D74" w:rsidRDefault="0096281F" w:rsidP="00D21F63">
            <w:pPr>
              <w:autoSpaceDE w:val="0"/>
              <w:autoSpaceDN w:val="0"/>
              <w:adjustRightInd w:val="0"/>
              <w:jc w:val="both"/>
              <w:rPr>
                <w:sz w:val="18"/>
                <w:szCs w:val="18"/>
              </w:rPr>
            </w:pPr>
            <w:r w:rsidRPr="00E84D74">
              <w:rPr>
                <w:sz w:val="18"/>
                <w:szCs w:val="18"/>
              </w:rPr>
              <w:t xml:space="preserve">(a) pursuant to the terms and conditions of the existing contract where it contains provisions permitting to </w:t>
            </w:r>
            <w:r w:rsidRPr="00E84D74">
              <w:rPr>
                <w:sz w:val="18"/>
                <w:szCs w:val="18"/>
              </w:rPr>
              <w:lastRenderedPageBreak/>
              <w:t>reduce the gas quantity committed and/or to terminate the  existing contract; or</w:t>
            </w:r>
          </w:p>
          <w:p w:rsidR="0096281F" w:rsidRPr="00E84D74" w:rsidRDefault="0096281F" w:rsidP="00D21F63">
            <w:pPr>
              <w:autoSpaceDE w:val="0"/>
              <w:autoSpaceDN w:val="0"/>
              <w:adjustRightInd w:val="0"/>
              <w:jc w:val="both"/>
              <w:rPr>
                <w:sz w:val="18"/>
                <w:szCs w:val="18"/>
              </w:rPr>
            </w:pPr>
            <w:r w:rsidRPr="00E84D74">
              <w:rPr>
                <w:sz w:val="18"/>
                <w:szCs w:val="18"/>
              </w:rPr>
              <w:t>(b) as follows in the absence of such contractual rights:</w:t>
            </w:r>
          </w:p>
          <w:p w:rsidR="0096281F" w:rsidRPr="00E84D74" w:rsidRDefault="0096281F" w:rsidP="00D21F63">
            <w:pPr>
              <w:autoSpaceDE w:val="0"/>
              <w:autoSpaceDN w:val="0"/>
              <w:adjustRightInd w:val="0"/>
              <w:jc w:val="both"/>
              <w:rPr>
                <w:sz w:val="18"/>
                <w:szCs w:val="18"/>
              </w:rPr>
            </w:pPr>
            <w:r w:rsidRPr="00E84D74">
              <w:rPr>
                <w:sz w:val="18"/>
                <w:szCs w:val="18"/>
              </w:rPr>
              <w:t>(i) the contract remains in force until its termination pursuant to the applicable terms and conditions;</w:t>
            </w:r>
          </w:p>
          <w:p w:rsidR="0096281F" w:rsidRDefault="0096281F" w:rsidP="00D21F63">
            <w:pPr>
              <w:autoSpaceDE w:val="0"/>
              <w:autoSpaceDN w:val="0"/>
              <w:adjustRightInd w:val="0"/>
              <w:jc w:val="both"/>
              <w:rPr>
                <w:sz w:val="18"/>
                <w:szCs w:val="18"/>
              </w:rPr>
            </w:pPr>
            <w:r w:rsidRPr="00E84D74">
              <w:rPr>
                <w:sz w:val="18"/>
                <w:szCs w:val="18"/>
              </w:rPr>
              <w:t>(ii) the contracting parties shall consider additional arrangements in order to release back to the market any surplus gas not required for balancing purposes to give access to the other network users to greater amounts of flexibility.</w:t>
            </w:r>
          </w:p>
          <w:p w:rsidR="0096281F" w:rsidRPr="00E84D74" w:rsidRDefault="0096281F" w:rsidP="00D21F63">
            <w:pPr>
              <w:autoSpaceDE w:val="0"/>
              <w:autoSpaceDN w:val="0"/>
              <w:adjustRightInd w:val="0"/>
              <w:jc w:val="both"/>
              <w:rPr>
                <w:sz w:val="18"/>
                <w:szCs w:val="18"/>
              </w:rPr>
            </w:pPr>
            <w:r w:rsidRPr="00E84D74">
              <w:rPr>
                <w:sz w:val="18"/>
                <w:szCs w:val="18"/>
              </w:rPr>
              <w:t xml:space="preserve">4. Where the contract in force provides for reducing the flexibility by amounts consistent with the surplus availability, the transmission system operator shall reduce such flexibility as soon as reasonably possible as from the </w:t>
            </w:r>
            <w:r w:rsidRPr="00E84D74">
              <w:rPr>
                <w:b/>
                <w:bCs/>
                <w:sz w:val="18"/>
                <w:szCs w:val="18"/>
              </w:rPr>
              <w:t xml:space="preserve">expiry of the deadline for transposition </w:t>
            </w:r>
            <w:r w:rsidRPr="00E84D74">
              <w:rPr>
                <w:sz w:val="18"/>
                <w:szCs w:val="18"/>
              </w:rPr>
              <w:t>of this Regulation or as soon as the existence of the surplus can be established.</w:t>
            </w:r>
          </w:p>
          <w:p w:rsidR="0096281F" w:rsidRPr="00E84D74" w:rsidRDefault="0096281F" w:rsidP="00D21F63">
            <w:pPr>
              <w:autoSpaceDE w:val="0"/>
              <w:autoSpaceDN w:val="0"/>
              <w:adjustRightInd w:val="0"/>
              <w:jc w:val="both"/>
              <w:rPr>
                <w:sz w:val="18"/>
                <w:szCs w:val="18"/>
              </w:rPr>
            </w:pPr>
            <w:r w:rsidRPr="00E84D74">
              <w:rPr>
                <w:sz w:val="18"/>
                <w:szCs w:val="18"/>
              </w:rPr>
              <w:t>5. The transmission system operator shall consult stakeholders on specific proposals to be implemented</w:t>
            </w:r>
          </w:p>
          <w:p w:rsidR="0096281F" w:rsidRPr="00E84D74" w:rsidRDefault="0096281F" w:rsidP="00D21F63">
            <w:pPr>
              <w:autoSpaceDE w:val="0"/>
              <w:autoSpaceDN w:val="0"/>
              <w:adjustRightInd w:val="0"/>
              <w:jc w:val="both"/>
              <w:rPr>
                <w:sz w:val="18"/>
                <w:szCs w:val="18"/>
              </w:rPr>
            </w:pPr>
            <w:r w:rsidRPr="00E84D74">
              <w:rPr>
                <w:sz w:val="18"/>
                <w:szCs w:val="18"/>
              </w:rPr>
              <w:t>as interim measures for release of any surplus flexibility under a long- term contract in force.</w:t>
            </w:r>
          </w:p>
          <w:p w:rsidR="0096281F" w:rsidRPr="00E84D74" w:rsidRDefault="0096281F" w:rsidP="00D21F63">
            <w:pPr>
              <w:autoSpaceDE w:val="0"/>
              <w:autoSpaceDN w:val="0"/>
              <w:adjustRightInd w:val="0"/>
              <w:jc w:val="both"/>
              <w:rPr>
                <w:sz w:val="18"/>
                <w:szCs w:val="18"/>
              </w:rPr>
            </w:pPr>
            <w:r w:rsidRPr="00E84D74">
              <w:rPr>
                <w:sz w:val="18"/>
                <w:szCs w:val="18"/>
              </w:rPr>
              <w:t>6. The transmission system operator shall publish information on its balancing actions undertaken pursuant to the long- term contract in force.</w:t>
            </w:r>
          </w:p>
          <w:p w:rsidR="0096281F" w:rsidRPr="00E84D74" w:rsidRDefault="0096281F" w:rsidP="00955A7E">
            <w:pPr>
              <w:autoSpaceDE w:val="0"/>
              <w:autoSpaceDN w:val="0"/>
              <w:adjustRightInd w:val="0"/>
              <w:jc w:val="both"/>
              <w:rPr>
                <w:sz w:val="18"/>
                <w:szCs w:val="18"/>
              </w:rPr>
            </w:pPr>
            <w:r w:rsidRPr="00E84D74">
              <w:rPr>
                <w:sz w:val="18"/>
                <w:szCs w:val="18"/>
              </w:rPr>
              <w:t xml:space="preserve">7. The national regulatory authority may set targets for the proportion by which the long- term contracts should be reduced in order to increase the liquidity of the short term wholesale gas market. </w:t>
            </w:r>
          </w:p>
        </w:tc>
      </w:tr>
      <w:tr w:rsidR="000650AB" w:rsidRPr="00043955" w:rsidTr="001F6EB5">
        <w:trPr>
          <w:trHeight w:val="1826"/>
        </w:trPr>
        <w:tc>
          <w:tcPr>
            <w:tcW w:w="5245" w:type="dxa"/>
            <w:shd w:val="clear" w:color="auto" w:fill="auto"/>
          </w:tcPr>
          <w:p w:rsidR="000650AB" w:rsidRPr="00981BD4" w:rsidRDefault="000650AB" w:rsidP="00DA725A">
            <w:pPr>
              <w:jc w:val="center"/>
              <w:textAlignment w:val="baseline"/>
              <w:rPr>
                <w:rFonts w:ascii="Segoe UI" w:hAnsi="Segoe UI" w:cs="Segoe UI"/>
                <w:sz w:val="18"/>
                <w:szCs w:val="18"/>
                <w:lang w:val="it-IT" w:eastAsia="en-US"/>
              </w:rPr>
            </w:pPr>
            <w:r w:rsidRPr="00981BD4">
              <w:rPr>
                <w:b/>
                <w:sz w:val="18"/>
                <w:szCs w:val="18"/>
                <w:lang w:val="it-IT" w:eastAsia="en-US"/>
              </w:rPr>
              <w:lastRenderedPageBreak/>
              <w:t>Articolul 52</w:t>
            </w:r>
          </w:p>
          <w:p w:rsidR="000650AB" w:rsidRPr="00981BD4" w:rsidRDefault="000650AB"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tranzitorii</w:t>
            </w:r>
          </w:p>
          <w:p w:rsidR="000650AB" w:rsidRDefault="000650AB" w:rsidP="00DA725A">
            <w:pPr>
              <w:jc w:val="both"/>
              <w:textAlignment w:val="baseline"/>
              <w:rPr>
                <w:sz w:val="18"/>
                <w:szCs w:val="18"/>
                <w:lang w:val="it-IT" w:eastAsia="en-US"/>
              </w:rPr>
            </w:pPr>
            <w:r w:rsidRPr="00981BD4">
              <w:rPr>
                <w:sz w:val="18"/>
                <w:szCs w:val="18"/>
                <w:lang w:val="it-IT" w:eastAsia="en-US"/>
              </w:rPr>
              <w:t> </w:t>
            </w:r>
          </w:p>
          <w:p w:rsidR="000650AB" w:rsidRPr="00981BD4" w:rsidRDefault="000650AB"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(1)   Autoritatea națională de reglementare poate permite operatorului de sistem de transport, în baza unei cereri justificate din partea acestuia, să se conformeze dispozițiilor prezentului regulament în termen de douăzeci și patru de luni de la 1 octombrie 2014, cu condiția ca nicio măsură provizorie menționată în capitolul X să nu fie pusă în aplicare de operatorul de sistem de transport. În cazul în care autoritatea națională de reglementare recurge la această posibilitate, prezentul regulament nu se aplică în zona de echilibrare aparținând respectivului operator de sistem de transport în măsura și pe durata </w:t>
            </w:r>
            <w:r w:rsidRPr="00981BD4">
              <w:rPr>
                <w:sz w:val="18"/>
                <w:szCs w:val="18"/>
                <w:lang w:val="it-IT" w:eastAsia="en-US"/>
              </w:rPr>
              <w:lastRenderedPageBreak/>
              <w:t>perioadei de tranziție stabilite în decizia autorității naționale de reglementare. </w:t>
            </w:r>
          </w:p>
          <w:p w:rsidR="000650AB" w:rsidRPr="00CD2C91" w:rsidRDefault="000650AB" w:rsidP="00DA725A">
            <w:pPr>
              <w:jc w:val="both"/>
              <w:textAlignment w:val="baseline"/>
              <w:rPr>
                <w:b/>
                <w:sz w:val="18"/>
                <w:szCs w:val="18"/>
                <w:lang w:val="en-GB" w:eastAsia="en-US"/>
              </w:rPr>
            </w:pPr>
            <w:r w:rsidRPr="00981BD4">
              <w:rPr>
                <w:sz w:val="18"/>
                <w:szCs w:val="18"/>
                <w:lang w:val="it-IT" w:eastAsia="en-US"/>
              </w:rPr>
              <w:t xml:space="preserve">(2)   Autoritatea națională de reglementare adoptă și publică o decizie motivată în conformitate cu alineatul (1) în termen de trei luni de la primirea unei astfel de cereri. </w:t>
            </w:r>
            <w:r w:rsidRPr="00BE464B">
              <w:rPr>
                <w:sz w:val="18"/>
                <w:szCs w:val="18"/>
                <w:lang w:val="en-GB" w:eastAsia="en-US"/>
              </w:rPr>
              <w:t>Această decizie se notifică fără întârziere agenției și Comisiei.</w:t>
            </w:r>
            <w:r w:rsidRPr="00BE464B">
              <w:rPr>
                <w:sz w:val="18"/>
                <w:szCs w:val="18"/>
                <w:lang w:eastAsia="en-US"/>
              </w:rPr>
              <w:t> </w:t>
            </w:r>
          </w:p>
        </w:tc>
        <w:tc>
          <w:tcPr>
            <w:tcW w:w="4962" w:type="dxa"/>
            <w:shd w:val="clear" w:color="auto" w:fill="auto"/>
          </w:tcPr>
          <w:p w:rsidR="004C0361" w:rsidRP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lastRenderedPageBreak/>
              <w:t>TITLUL VII</w:t>
            </w:r>
          </w:p>
          <w:p w:rsidR="004C0361" w:rsidRP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t>DISPOZIŢII FINALE</w:t>
            </w:r>
          </w:p>
          <w:p w:rsidR="004C0361" w:rsidRPr="004C0361" w:rsidRDefault="004C0361" w:rsidP="004C0361">
            <w:pPr>
              <w:jc w:val="both"/>
              <w:textAlignment w:val="baseline"/>
              <w:rPr>
                <w:color w:val="000000"/>
                <w:sz w:val="18"/>
                <w:szCs w:val="18"/>
                <w:lang w:val="ro-RO" w:eastAsia="en-US"/>
              </w:rPr>
            </w:pPr>
            <w:r w:rsidRPr="004C0361">
              <w:rPr>
                <w:color w:val="000000"/>
                <w:sz w:val="18"/>
                <w:szCs w:val="18"/>
                <w:lang w:val="ro-RO" w:eastAsia="en-US"/>
              </w:rPr>
              <w:t> </w:t>
            </w:r>
          </w:p>
          <w:p w:rsid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t>638.</w:t>
            </w:r>
            <w:r w:rsidRPr="004C0361">
              <w:rPr>
                <w:color w:val="000000"/>
                <w:sz w:val="18"/>
                <w:szCs w:val="18"/>
                <w:lang w:val="ro-RO" w:eastAsia="en-US"/>
              </w:rPr>
              <w:t xml:space="preserve"> Agenţia poate permite OST, în baza unei cereri justificate din partea acestuia, să se conformeze dispoziţiilor Titlului VI în termen de 24 de luni de la data de 12 decembrie 2020, cu condiţia că nici o măsură provizorie menţionată în Capitolul X Titlului V să nu fie pusă în aplicare de OST. În cazul în care Agenţia recurge la această posibilitate, Titlului VI nu se aplică în zona de echilibrare a respectivului OST în măsura şi pe durata perioadei de tranziţie stabilite în hotărârea Agenţiei.</w:t>
            </w:r>
          </w:p>
          <w:p w:rsidR="00FC3840" w:rsidRDefault="00FC3840" w:rsidP="004C0361">
            <w:pPr>
              <w:jc w:val="both"/>
              <w:textAlignment w:val="baseline"/>
              <w:rPr>
                <w:color w:val="000000"/>
                <w:sz w:val="18"/>
                <w:szCs w:val="18"/>
                <w:lang w:val="ro-RO" w:eastAsia="en-US"/>
              </w:rPr>
            </w:pPr>
          </w:p>
          <w:p w:rsidR="00FC3840" w:rsidRDefault="00FC3840" w:rsidP="004C0361">
            <w:pPr>
              <w:jc w:val="both"/>
              <w:textAlignment w:val="baseline"/>
              <w:rPr>
                <w:color w:val="000000"/>
                <w:sz w:val="18"/>
                <w:szCs w:val="18"/>
                <w:lang w:val="ro-RO" w:eastAsia="en-US"/>
              </w:rPr>
            </w:pPr>
          </w:p>
          <w:p w:rsidR="00FC3840" w:rsidRPr="004C0361" w:rsidRDefault="00FC3840" w:rsidP="004C0361">
            <w:pPr>
              <w:jc w:val="both"/>
              <w:textAlignment w:val="baseline"/>
              <w:rPr>
                <w:color w:val="000000"/>
                <w:sz w:val="18"/>
                <w:szCs w:val="18"/>
                <w:lang w:val="ro-RO" w:eastAsia="en-US"/>
              </w:rPr>
            </w:pPr>
          </w:p>
          <w:p w:rsidR="004C0361" w:rsidRP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t>639.</w:t>
            </w:r>
            <w:r w:rsidRPr="004C0361">
              <w:rPr>
                <w:color w:val="000000"/>
                <w:sz w:val="18"/>
                <w:szCs w:val="18"/>
                <w:lang w:val="ro-RO" w:eastAsia="en-US"/>
              </w:rPr>
              <w:t xml:space="preserve"> Agenţia adoptă şi publică o hotărâre motivată în conformitate cu pct.638 în termen de 3 luni de la primirea unei astfel de cereri. Această hotărîre se notifică fără întârziere Comitetului de reglementare al CE şi Secretariatului Comunităţii Energetice.</w:t>
            </w:r>
          </w:p>
          <w:p w:rsidR="008C12B0" w:rsidRPr="004C0361" w:rsidRDefault="008C12B0" w:rsidP="00DA725A">
            <w:pPr>
              <w:jc w:val="both"/>
              <w:textAlignment w:val="baseline"/>
              <w:rPr>
                <w:color w:val="000000"/>
                <w:sz w:val="18"/>
                <w:szCs w:val="18"/>
                <w:lang w:val="ro-RO" w:eastAsia="en-US"/>
              </w:rPr>
            </w:pPr>
          </w:p>
          <w:p w:rsidR="004C0361" w:rsidRDefault="004C0361" w:rsidP="00DA725A">
            <w:pPr>
              <w:jc w:val="both"/>
              <w:textAlignment w:val="baseline"/>
              <w:rPr>
                <w:color w:val="000000"/>
                <w:sz w:val="18"/>
                <w:szCs w:val="18"/>
                <w:lang w:val="ro-MD" w:eastAsia="en-US"/>
              </w:rPr>
            </w:pPr>
          </w:p>
          <w:p w:rsidR="004C0361" w:rsidRDefault="004C0361" w:rsidP="00DA725A">
            <w:pPr>
              <w:jc w:val="both"/>
              <w:textAlignment w:val="baseline"/>
              <w:rPr>
                <w:color w:val="000000"/>
                <w:sz w:val="18"/>
                <w:szCs w:val="18"/>
                <w:lang w:val="ro-MD" w:eastAsia="en-US"/>
              </w:rPr>
            </w:pPr>
          </w:p>
          <w:p w:rsidR="004C0361" w:rsidRDefault="004C0361" w:rsidP="00DA725A">
            <w:pPr>
              <w:jc w:val="both"/>
              <w:textAlignment w:val="baseline"/>
              <w:rPr>
                <w:color w:val="000000"/>
                <w:sz w:val="18"/>
                <w:szCs w:val="18"/>
                <w:lang w:val="ro-MD" w:eastAsia="en-US"/>
              </w:rPr>
            </w:pPr>
          </w:p>
          <w:p w:rsidR="000650AB" w:rsidRPr="00BE464B" w:rsidRDefault="000650AB" w:rsidP="00DA725A">
            <w:pPr>
              <w:jc w:val="both"/>
              <w:textAlignment w:val="baseline"/>
              <w:rPr>
                <w:b/>
                <w:bCs/>
                <w:sz w:val="18"/>
                <w:szCs w:val="18"/>
                <w:lang w:val="ro-MD" w:eastAsia="en-US"/>
              </w:rPr>
            </w:pPr>
          </w:p>
        </w:tc>
        <w:tc>
          <w:tcPr>
            <w:tcW w:w="1275" w:type="dxa"/>
            <w:shd w:val="clear" w:color="auto" w:fill="auto"/>
          </w:tcPr>
          <w:p w:rsidR="008C12B0" w:rsidRPr="00981BD4" w:rsidRDefault="008C12B0" w:rsidP="00DA725A">
            <w:pPr>
              <w:rPr>
                <w:sz w:val="18"/>
                <w:szCs w:val="18"/>
                <w:lang w:val="it-IT"/>
              </w:rPr>
            </w:pPr>
          </w:p>
          <w:p w:rsidR="008C12B0" w:rsidRPr="00981BD4" w:rsidRDefault="008C12B0" w:rsidP="00DA725A">
            <w:pPr>
              <w:rPr>
                <w:sz w:val="18"/>
                <w:szCs w:val="18"/>
                <w:lang w:val="it-IT"/>
              </w:rPr>
            </w:pPr>
          </w:p>
          <w:p w:rsidR="008C12B0" w:rsidRPr="00981BD4" w:rsidRDefault="008C12B0" w:rsidP="00DA725A">
            <w:pPr>
              <w:rPr>
                <w:sz w:val="18"/>
                <w:szCs w:val="18"/>
                <w:lang w:val="it-IT"/>
              </w:rPr>
            </w:pPr>
          </w:p>
          <w:p w:rsidR="000650AB" w:rsidRDefault="008C12B0" w:rsidP="00DA725A">
            <w:pPr>
              <w:rPr>
                <w:sz w:val="18"/>
                <w:szCs w:val="18"/>
              </w:rPr>
            </w:pPr>
            <w:r w:rsidRPr="00E55B82">
              <w:rPr>
                <w:sz w:val="18"/>
                <w:szCs w:val="18"/>
              </w:rPr>
              <w:t>Compatibil</w:t>
            </w: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FC3840" w:rsidRDefault="00FC3840" w:rsidP="00DA725A">
            <w:pPr>
              <w:rPr>
                <w:sz w:val="18"/>
                <w:szCs w:val="18"/>
              </w:rPr>
            </w:pPr>
          </w:p>
          <w:p w:rsidR="00FC3840" w:rsidRDefault="00FC3840" w:rsidP="00DA725A">
            <w:pPr>
              <w:rPr>
                <w:sz w:val="18"/>
                <w:szCs w:val="18"/>
              </w:rPr>
            </w:pPr>
          </w:p>
          <w:p w:rsidR="00FC3840" w:rsidRDefault="00FC3840" w:rsidP="00DA725A">
            <w:pPr>
              <w:rPr>
                <w:sz w:val="18"/>
                <w:szCs w:val="18"/>
              </w:rPr>
            </w:pPr>
          </w:p>
          <w:p w:rsidR="008C12B0" w:rsidRDefault="008C12B0" w:rsidP="00DA725A">
            <w:pPr>
              <w:rPr>
                <w:sz w:val="18"/>
                <w:szCs w:val="18"/>
              </w:rPr>
            </w:pPr>
          </w:p>
          <w:p w:rsidR="008C12B0" w:rsidRDefault="008C12B0" w:rsidP="00DA725A">
            <w:pPr>
              <w:rPr>
                <w:sz w:val="18"/>
                <w:szCs w:val="18"/>
              </w:rPr>
            </w:pPr>
            <w:r w:rsidRPr="00E55B82">
              <w:rPr>
                <w:sz w:val="18"/>
                <w:szCs w:val="18"/>
              </w:rPr>
              <w:t>Compatibil</w:t>
            </w:r>
          </w:p>
        </w:tc>
        <w:tc>
          <w:tcPr>
            <w:tcW w:w="4253" w:type="dxa"/>
            <w:shd w:val="clear" w:color="auto" w:fill="auto"/>
          </w:tcPr>
          <w:p w:rsidR="000650AB" w:rsidRPr="00E84D74" w:rsidRDefault="000650AB" w:rsidP="00DA725A">
            <w:pPr>
              <w:autoSpaceDE w:val="0"/>
              <w:autoSpaceDN w:val="0"/>
              <w:adjustRightInd w:val="0"/>
              <w:jc w:val="center"/>
              <w:rPr>
                <w:b/>
                <w:bCs/>
                <w:i/>
                <w:iCs/>
                <w:sz w:val="18"/>
                <w:szCs w:val="18"/>
              </w:rPr>
            </w:pPr>
            <w:r w:rsidRPr="00E84D74">
              <w:rPr>
                <w:b/>
                <w:bCs/>
                <w:i/>
                <w:iCs/>
                <w:sz w:val="18"/>
                <w:szCs w:val="18"/>
              </w:rPr>
              <w:lastRenderedPageBreak/>
              <w:t>Article 52</w:t>
            </w:r>
          </w:p>
          <w:p w:rsidR="000650AB" w:rsidRPr="00E84D74" w:rsidRDefault="000650AB" w:rsidP="00DA725A">
            <w:pPr>
              <w:autoSpaceDE w:val="0"/>
              <w:autoSpaceDN w:val="0"/>
              <w:adjustRightInd w:val="0"/>
              <w:jc w:val="center"/>
              <w:rPr>
                <w:b/>
                <w:bCs/>
                <w:sz w:val="18"/>
                <w:szCs w:val="18"/>
              </w:rPr>
            </w:pPr>
            <w:r w:rsidRPr="00E84D74">
              <w:rPr>
                <w:b/>
                <w:bCs/>
                <w:sz w:val="18"/>
                <w:szCs w:val="18"/>
              </w:rPr>
              <w:t>Transitional provisions</w:t>
            </w:r>
          </w:p>
          <w:p w:rsidR="003862E8" w:rsidRPr="00E84D74" w:rsidRDefault="003862E8" w:rsidP="003862E8">
            <w:pPr>
              <w:autoSpaceDE w:val="0"/>
              <w:autoSpaceDN w:val="0"/>
              <w:adjustRightInd w:val="0"/>
              <w:rPr>
                <w:sz w:val="18"/>
                <w:szCs w:val="18"/>
              </w:rPr>
            </w:pPr>
          </w:p>
          <w:p w:rsidR="000650AB" w:rsidRPr="00E84D74" w:rsidRDefault="000650AB" w:rsidP="00DA725A">
            <w:pPr>
              <w:autoSpaceDE w:val="0"/>
              <w:autoSpaceDN w:val="0"/>
              <w:adjustRightInd w:val="0"/>
              <w:rPr>
                <w:sz w:val="18"/>
                <w:szCs w:val="18"/>
              </w:rPr>
            </w:pPr>
            <w:r w:rsidRPr="00E84D74">
              <w:rPr>
                <w:sz w:val="18"/>
                <w:szCs w:val="18"/>
              </w:rPr>
              <w:t>1. The national regulatory authority may allow the transmission system operator, based on its justified</w:t>
            </w:r>
          </w:p>
          <w:p w:rsidR="000650AB" w:rsidRPr="00E84D74" w:rsidRDefault="000650AB" w:rsidP="00DA725A">
            <w:pPr>
              <w:autoSpaceDE w:val="0"/>
              <w:autoSpaceDN w:val="0"/>
              <w:adjustRightInd w:val="0"/>
              <w:rPr>
                <w:sz w:val="18"/>
                <w:szCs w:val="18"/>
              </w:rPr>
            </w:pPr>
            <w:r w:rsidRPr="00E84D74">
              <w:rPr>
                <w:sz w:val="18"/>
                <w:szCs w:val="18"/>
              </w:rPr>
              <w:t xml:space="preserve">request, to comply with the provisions of this Regulation within a twenty four-month period as from </w:t>
            </w:r>
            <w:r w:rsidRPr="00E84D74">
              <w:rPr>
                <w:b/>
                <w:bCs/>
                <w:sz w:val="18"/>
                <w:szCs w:val="18"/>
              </w:rPr>
              <w:t>12 December 2020</w:t>
            </w:r>
            <w:r w:rsidRPr="00E84D74">
              <w:rPr>
                <w:sz w:val="18"/>
                <w:szCs w:val="18"/>
              </w:rPr>
              <w:t xml:space="preserve">, provided no interim measure referred to in Chapter X is implemented by the transmission system operator. In case the national regulatory authority makes use of this possibility, this Regulation shall not apply in the  balancing zone of that </w:t>
            </w:r>
            <w:r w:rsidRPr="00E84D74">
              <w:rPr>
                <w:sz w:val="18"/>
                <w:szCs w:val="18"/>
              </w:rPr>
              <w:lastRenderedPageBreak/>
              <w:t>transmission system operator to</w:t>
            </w:r>
            <w:r w:rsidR="00442150" w:rsidRPr="00E84D74">
              <w:rPr>
                <w:sz w:val="18"/>
                <w:szCs w:val="18"/>
              </w:rPr>
              <w:t xml:space="preserve"> </w:t>
            </w:r>
            <w:r w:rsidRPr="00E84D74">
              <w:rPr>
                <w:sz w:val="18"/>
                <w:szCs w:val="18"/>
              </w:rPr>
              <w:t>the extent and for the duration of the transitional period laid down in the decision of the national regulatory authority.</w:t>
            </w:r>
          </w:p>
          <w:p w:rsidR="000650AB" w:rsidRPr="00E84D74" w:rsidRDefault="000650AB" w:rsidP="00DA725A">
            <w:pPr>
              <w:autoSpaceDE w:val="0"/>
              <w:autoSpaceDN w:val="0"/>
              <w:adjustRightInd w:val="0"/>
              <w:rPr>
                <w:b/>
                <w:bCs/>
                <w:sz w:val="18"/>
                <w:szCs w:val="18"/>
              </w:rPr>
            </w:pPr>
            <w:r w:rsidRPr="00E84D74">
              <w:rPr>
                <w:sz w:val="18"/>
                <w:szCs w:val="18"/>
              </w:rPr>
              <w:t xml:space="preserve">2. The national regulatory authority shall take and publish a motivated decision in accordance with paragraph 1 within three months following the receipt of such a request. Such a decision shall be notified, without delay, to the </w:t>
            </w:r>
            <w:r w:rsidRPr="00E84D74">
              <w:rPr>
                <w:b/>
                <w:bCs/>
                <w:sz w:val="18"/>
                <w:szCs w:val="18"/>
              </w:rPr>
              <w:t>Energy Community Regulatory Board and the Energy Community Secretariat</w:t>
            </w:r>
            <w:r w:rsidRPr="00E84D74">
              <w:rPr>
                <w:sz w:val="18"/>
                <w:szCs w:val="18"/>
              </w:rPr>
              <w:t>.</w:t>
            </w:r>
          </w:p>
        </w:tc>
      </w:tr>
      <w:tr w:rsidR="002A5B0D" w:rsidRPr="00043955" w:rsidTr="00FC3840">
        <w:trPr>
          <w:trHeight w:val="1240"/>
        </w:trPr>
        <w:tc>
          <w:tcPr>
            <w:tcW w:w="5245" w:type="dxa"/>
            <w:shd w:val="clear" w:color="auto" w:fill="auto"/>
          </w:tcPr>
          <w:p w:rsidR="00CC3123" w:rsidRPr="00981BD4" w:rsidRDefault="00CC3123"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53</w:t>
            </w:r>
          </w:p>
          <w:p w:rsidR="00CC3123" w:rsidRPr="00981BD4" w:rsidRDefault="00CC3123" w:rsidP="00DA725A">
            <w:pPr>
              <w:jc w:val="center"/>
              <w:textAlignment w:val="baseline"/>
              <w:rPr>
                <w:rFonts w:ascii="Segoe UI" w:hAnsi="Segoe UI" w:cs="Segoe UI"/>
                <w:sz w:val="18"/>
                <w:szCs w:val="18"/>
                <w:lang w:val="it-IT" w:eastAsia="en-US"/>
              </w:rPr>
            </w:pPr>
            <w:r w:rsidRPr="00981BD4">
              <w:rPr>
                <w:b/>
                <w:bCs/>
                <w:sz w:val="18"/>
                <w:szCs w:val="18"/>
                <w:lang w:val="it-IT" w:eastAsia="en-US"/>
              </w:rPr>
              <w:t>Intrarea în vigoare</w:t>
            </w:r>
          </w:p>
          <w:p w:rsidR="00CC3123" w:rsidRPr="00981BD4" w:rsidRDefault="00CC3123" w:rsidP="00DA725A">
            <w:pPr>
              <w:jc w:val="both"/>
              <w:textAlignment w:val="baseline"/>
              <w:rPr>
                <w:rFonts w:ascii="Segoe UI" w:hAnsi="Segoe UI" w:cs="Segoe UI"/>
                <w:sz w:val="18"/>
                <w:szCs w:val="18"/>
                <w:lang w:val="it-IT" w:eastAsia="en-US"/>
              </w:rPr>
            </w:pPr>
            <w:r w:rsidRPr="00981BD4">
              <w:rPr>
                <w:sz w:val="18"/>
                <w:szCs w:val="18"/>
                <w:lang w:val="it-IT" w:eastAsia="en-US"/>
              </w:rPr>
              <w:t>Prezentul regulament intră în vigoare în a douăzecea zi de la data publicării în Jurnalul Oficial al Uniunii Europene. </w:t>
            </w:r>
          </w:p>
          <w:p w:rsidR="00CC3123" w:rsidRPr="00981BD4" w:rsidRDefault="00CC3123" w:rsidP="00DA725A">
            <w:pPr>
              <w:jc w:val="both"/>
              <w:textAlignment w:val="baseline"/>
              <w:rPr>
                <w:rFonts w:ascii="Segoe UI" w:hAnsi="Segoe UI" w:cs="Segoe UI"/>
                <w:sz w:val="18"/>
                <w:szCs w:val="18"/>
                <w:lang w:val="it-IT" w:eastAsia="en-US"/>
              </w:rPr>
            </w:pPr>
            <w:r w:rsidRPr="00981BD4">
              <w:rPr>
                <w:sz w:val="18"/>
                <w:szCs w:val="18"/>
                <w:lang w:val="it-IT" w:eastAsia="en-US"/>
              </w:rPr>
              <w:t>Fără a aduce atingere dispozițiilor articolului 28, articolului 33 alineatul (5), articolului 38 alineatul (1), articolului 45 alineatul (4), articolului 46 alineatul (3), articolului 51 și articolului 52, prezentul regulament se aplică de la 1 octombrie 2015. </w:t>
            </w:r>
          </w:p>
          <w:p w:rsidR="002A5B0D" w:rsidRPr="00981BD4" w:rsidRDefault="002A5B0D" w:rsidP="00DA725A">
            <w:pPr>
              <w:jc w:val="both"/>
              <w:textAlignment w:val="baseline"/>
              <w:rPr>
                <w:sz w:val="18"/>
                <w:szCs w:val="18"/>
                <w:lang w:val="it-IT" w:eastAsia="en-US"/>
              </w:rPr>
            </w:pPr>
          </w:p>
        </w:tc>
        <w:tc>
          <w:tcPr>
            <w:tcW w:w="4962" w:type="dxa"/>
            <w:shd w:val="clear" w:color="auto" w:fill="auto"/>
          </w:tcPr>
          <w:p w:rsidR="002A5B0D" w:rsidRPr="00981BD4" w:rsidRDefault="002A5B0D" w:rsidP="00DA725A">
            <w:pPr>
              <w:jc w:val="both"/>
              <w:textAlignment w:val="baseline"/>
              <w:rPr>
                <w:sz w:val="18"/>
                <w:szCs w:val="18"/>
                <w:lang w:val="it-IT" w:eastAsia="en-US"/>
              </w:rPr>
            </w:pPr>
          </w:p>
        </w:tc>
        <w:tc>
          <w:tcPr>
            <w:tcW w:w="1275" w:type="dxa"/>
            <w:shd w:val="clear" w:color="auto" w:fill="auto"/>
          </w:tcPr>
          <w:p w:rsidR="002A5B0D" w:rsidRPr="00981BD4" w:rsidRDefault="002A5B0D" w:rsidP="00DA725A">
            <w:pPr>
              <w:rPr>
                <w:sz w:val="18"/>
                <w:szCs w:val="18"/>
                <w:lang w:val="it-IT"/>
              </w:rPr>
            </w:pPr>
          </w:p>
        </w:tc>
        <w:tc>
          <w:tcPr>
            <w:tcW w:w="4253" w:type="dxa"/>
            <w:shd w:val="clear" w:color="auto" w:fill="auto"/>
          </w:tcPr>
          <w:p w:rsidR="00CC3123" w:rsidRPr="00E84D74" w:rsidRDefault="00CC3123" w:rsidP="00DA725A">
            <w:pPr>
              <w:autoSpaceDE w:val="0"/>
              <w:autoSpaceDN w:val="0"/>
              <w:adjustRightInd w:val="0"/>
              <w:jc w:val="center"/>
              <w:rPr>
                <w:b/>
                <w:bCs/>
                <w:i/>
                <w:iCs/>
                <w:sz w:val="18"/>
                <w:szCs w:val="18"/>
                <w:lang w:val="it-IT"/>
              </w:rPr>
            </w:pPr>
          </w:p>
          <w:p w:rsidR="00CC3123" w:rsidRPr="00E84D74" w:rsidRDefault="00CC3123" w:rsidP="00DA725A">
            <w:pPr>
              <w:autoSpaceDE w:val="0"/>
              <w:autoSpaceDN w:val="0"/>
              <w:adjustRightInd w:val="0"/>
              <w:jc w:val="center"/>
              <w:rPr>
                <w:b/>
                <w:bCs/>
                <w:i/>
                <w:iCs/>
                <w:sz w:val="18"/>
                <w:szCs w:val="18"/>
              </w:rPr>
            </w:pPr>
            <w:r w:rsidRPr="00E84D74">
              <w:rPr>
                <w:b/>
                <w:bCs/>
                <w:i/>
                <w:iCs/>
                <w:sz w:val="18"/>
                <w:szCs w:val="18"/>
              </w:rPr>
              <w:t>Article 53</w:t>
            </w:r>
          </w:p>
          <w:p w:rsidR="00CC3123" w:rsidRPr="00E84D74" w:rsidRDefault="00CC3123" w:rsidP="00DA725A">
            <w:pPr>
              <w:autoSpaceDE w:val="0"/>
              <w:autoSpaceDN w:val="0"/>
              <w:adjustRightInd w:val="0"/>
              <w:jc w:val="center"/>
              <w:rPr>
                <w:rFonts w:ascii="FrutigerLT-Light" w:hAnsi="FrutigerLT-Light" w:cs="FrutigerLT-Light"/>
                <w:sz w:val="18"/>
                <w:szCs w:val="18"/>
              </w:rPr>
            </w:pPr>
            <w:r w:rsidRPr="00E84D74">
              <w:rPr>
                <w:b/>
                <w:bCs/>
                <w:sz w:val="18"/>
                <w:szCs w:val="18"/>
              </w:rPr>
              <w:t>Entry into force</w:t>
            </w:r>
          </w:p>
          <w:p w:rsidR="002A5B0D" w:rsidRPr="00E84D74" w:rsidRDefault="002A5B0D" w:rsidP="00DA725A">
            <w:pPr>
              <w:autoSpaceDE w:val="0"/>
              <w:autoSpaceDN w:val="0"/>
              <w:adjustRightInd w:val="0"/>
              <w:rPr>
                <w:sz w:val="18"/>
                <w:szCs w:val="18"/>
              </w:rPr>
            </w:pPr>
          </w:p>
        </w:tc>
      </w:tr>
    </w:tbl>
    <w:p w:rsidR="00CB357A" w:rsidRPr="00043955" w:rsidRDefault="00CB357A" w:rsidP="00DA725A">
      <w:pPr>
        <w:jc w:val="both"/>
        <w:rPr>
          <w:sz w:val="18"/>
          <w:szCs w:val="18"/>
        </w:rPr>
      </w:pPr>
    </w:p>
    <w:sectPr w:rsidR="00CB357A" w:rsidRPr="00043955" w:rsidSect="00CD08E3">
      <w:pgSz w:w="16838" w:h="11906" w:orient="landscape"/>
      <w:pgMar w:top="720" w:right="720" w:bottom="1418" w:left="720" w:header="0" w:footer="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NextPro-Ligh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utigerNextPro-Bold">
    <w:panose1 w:val="00000000000000000000"/>
    <w:charset w:val="00"/>
    <w:family w:val="auto"/>
    <w:notTrueType/>
    <w:pitch w:val="default"/>
    <w:sig w:usb0="00000003" w:usb1="00000000" w:usb2="00000000" w:usb3="00000000" w:csb0="00000001" w:csb1="00000000"/>
  </w:font>
  <w:font w:name="FrutigerLT-Bold">
    <w:panose1 w:val="00000000000000000000"/>
    <w:charset w:val="00"/>
    <w:family w:val="swiss"/>
    <w:notTrueType/>
    <w:pitch w:val="default"/>
    <w:sig w:usb0="00000003" w:usb1="00000000" w:usb2="00000000" w:usb3="00000000" w:csb0="00000001" w:csb1="00000000"/>
  </w:font>
  <w:font w:name="FrutigerLT-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E76"/>
    <w:multiLevelType w:val="hybridMultilevel"/>
    <w:tmpl w:val="A8C4D6C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15:restartNumberingAfterBreak="0">
    <w:nsid w:val="00D7631F"/>
    <w:multiLevelType w:val="hybridMultilevel"/>
    <w:tmpl w:val="C2CA3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76BFD"/>
    <w:multiLevelType w:val="hybridMultilevel"/>
    <w:tmpl w:val="3174BE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5FE14F5"/>
    <w:multiLevelType w:val="hybridMultilevel"/>
    <w:tmpl w:val="4DE6DE5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70E6536"/>
    <w:multiLevelType w:val="hybridMultilevel"/>
    <w:tmpl w:val="A462DE4C"/>
    <w:lvl w:ilvl="0" w:tplc="A9A0D3B6">
      <w:start w:val="1"/>
      <w:numFmt w:val="decimal"/>
      <w:lvlText w:val="%1."/>
      <w:lvlJc w:val="left"/>
      <w:pPr>
        <w:ind w:left="644" w:hanging="360"/>
      </w:pPr>
      <w:rPr>
        <w:b w:val="0"/>
        <w:color w:val="auto"/>
      </w:rPr>
    </w:lvl>
    <w:lvl w:ilvl="1" w:tplc="F5882AC6">
      <w:start w:val="1"/>
      <w:numFmt w:val="lowerLetter"/>
      <w:lvlText w:val="%2)"/>
      <w:lvlJc w:val="left"/>
      <w:pPr>
        <w:ind w:left="5635" w:hanging="360"/>
      </w:pPr>
      <w:rPr>
        <w:rFonts w:hint="default"/>
      </w:rPr>
    </w:lvl>
    <w:lvl w:ilvl="2" w:tplc="0419001B" w:tentative="1">
      <w:start w:val="1"/>
      <w:numFmt w:val="lowerRoman"/>
      <w:lvlText w:val="%3."/>
      <w:lvlJc w:val="right"/>
      <w:pPr>
        <w:ind w:left="6355" w:hanging="180"/>
      </w:pPr>
    </w:lvl>
    <w:lvl w:ilvl="3" w:tplc="0419000F">
      <w:start w:val="1"/>
      <w:numFmt w:val="decimal"/>
      <w:lvlText w:val="%4."/>
      <w:lvlJc w:val="left"/>
      <w:pPr>
        <w:ind w:left="7075" w:hanging="360"/>
      </w:pPr>
    </w:lvl>
    <w:lvl w:ilvl="4" w:tplc="04190019" w:tentative="1">
      <w:start w:val="1"/>
      <w:numFmt w:val="lowerLetter"/>
      <w:lvlText w:val="%5."/>
      <w:lvlJc w:val="left"/>
      <w:pPr>
        <w:ind w:left="7795" w:hanging="360"/>
      </w:pPr>
    </w:lvl>
    <w:lvl w:ilvl="5" w:tplc="0419001B" w:tentative="1">
      <w:start w:val="1"/>
      <w:numFmt w:val="lowerRoman"/>
      <w:lvlText w:val="%6."/>
      <w:lvlJc w:val="right"/>
      <w:pPr>
        <w:ind w:left="8515" w:hanging="180"/>
      </w:pPr>
    </w:lvl>
    <w:lvl w:ilvl="6" w:tplc="0419000F" w:tentative="1">
      <w:start w:val="1"/>
      <w:numFmt w:val="decimal"/>
      <w:lvlText w:val="%7."/>
      <w:lvlJc w:val="left"/>
      <w:pPr>
        <w:ind w:left="9235" w:hanging="360"/>
      </w:pPr>
    </w:lvl>
    <w:lvl w:ilvl="7" w:tplc="04190019" w:tentative="1">
      <w:start w:val="1"/>
      <w:numFmt w:val="lowerLetter"/>
      <w:lvlText w:val="%8."/>
      <w:lvlJc w:val="left"/>
      <w:pPr>
        <w:ind w:left="9955" w:hanging="360"/>
      </w:pPr>
    </w:lvl>
    <w:lvl w:ilvl="8" w:tplc="0419001B" w:tentative="1">
      <w:start w:val="1"/>
      <w:numFmt w:val="lowerRoman"/>
      <w:lvlText w:val="%9."/>
      <w:lvlJc w:val="right"/>
      <w:pPr>
        <w:ind w:left="10675" w:hanging="180"/>
      </w:pPr>
    </w:lvl>
  </w:abstractNum>
  <w:abstractNum w:abstractNumId="5" w15:restartNumberingAfterBreak="0">
    <w:nsid w:val="095C2CFC"/>
    <w:multiLevelType w:val="hybridMultilevel"/>
    <w:tmpl w:val="06485DBE"/>
    <w:lvl w:ilvl="0" w:tplc="04190017">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0BBF420C"/>
    <w:multiLevelType w:val="hybridMultilevel"/>
    <w:tmpl w:val="F36030AC"/>
    <w:lvl w:ilvl="0" w:tplc="0FC8B398">
      <w:start w:val="1"/>
      <w:numFmt w:val="decimal"/>
      <w:lvlText w:val="(%1)"/>
      <w:lvlJc w:val="left"/>
      <w:pPr>
        <w:ind w:left="927" w:hanging="360"/>
      </w:pPr>
      <w:rPr>
        <w:rFonts w:hint="default"/>
        <w:b w:val="0"/>
      </w:rPr>
    </w:lvl>
    <w:lvl w:ilvl="1" w:tplc="04190011">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85494C"/>
    <w:multiLevelType w:val="hybridMultilevel"/>
    <w:tmpl w:val="7DD4C31A"/>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0FFA13E4"/>
    <w:multiLevelType w:val="hybridMultilevel"/>
    <w:tmpl w:val="BC12A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13B7A"/>
    <w:multiLevelType w:val="hybridMultilevel"/>
    <w:tmpl w:val="E2603FA8"/>
    <w:lvl w:ilvl="0" w:tplc="04190011">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10" w15:restartNumberingAfterBreak="0">
    <w:nsid w:val="125D2B49"/>
    <w:multiLevelType w:val="hybridMultilevel"/>
    <w:tmpl w:val="926EFA8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15:restartNumberingAfterBreak="0">
    <w:nsid w:val="129B6512"/>
    <w:multiLevelType w:val="hybridMultilevel"/>
    <w:tmpl w:val="BD4E01A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13332CAB"/>
    <w:multiLevelType w:val="hybridMultilevel"/>
    <w:tmpl w:val="8FA2BF86"/>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17B12361"/>
    <w:multiLevelType w:val="hybridMultilevel"/>
    <w:tmpl w:val="CD6652B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81C1CD7"/>
    <w:multiLevelType w:val="hybridMultilevel"/>
    <w:tmpl w:val="1DBAB4CC"/>
    <w:lvl w:ilvl="0" w:tplc="04190011">
      <w:start w:val="1"/>
      <w:numFmt w:val="decimal"/>
      <w:lvlText w:val="%1)"/>
      <w:lvlJc w:val="left"/>
      <w:pPr>
        <w:ind w:left="2007" w:hanging="360"/>
      </w:p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5" w15:restartNumberingAfterBreak="0">
    <w:nsid w:val="194A59DE"/>
    <w:multiLevelType w:val="hybridMultilevel"/>
    <w:tmpl w:val="DC403C30"/>
    <w:lvl w:ilvl="0" w:tplc="04190011">
      <w:start w:val="1"/>
      <w:numFmt w:val="decimal"/>
      <w:lvlText w:val="%1)"/>
      <w:lvlJc w:val="left"/>
      <w:pPr>
        <w:ind w:left="720" w:hanging="360"/>
      </w:pPr>
    </w:lvl>
    <w:lvl w:ilvl="1" w:tplc="38B603FE">
      <w:start w:val="1"/>
      <w:numFmt w:val="decimal"/>
      <w:lvlText w:val="(%2)"/>
      <w:lvlJc w:val="left"/>
      <w:pPr>
        <w:ind w:left="1545" w:hanging="465"/>
      </w:pPr>
      <w:rPr>
        <w:rFonts w:hint="default"/>
      </w:rPr>
    </w:lvl>
    <w:lvl w:ilvl="2" w:tplc="6954542E">
      <w:start w:val="337"/>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8864E920">
      <w:start w:val="1"/>
      <w:numFmt w:val="decimal"/>
      <w:lvlText w:val="%7)"/>
      <w:lvlJc w:val="left"/>
      <w:pPr>
        <w:ind w:left="5040" w:hanging="360"/>
      </w:pPr>
      <w:rPr>
        <w:rFonts w:ascii="Times New Roman" w:eastAsiaTheme="minorHAnsi" w:hAnsi="Times New Roman" w:cs="Times New Roman"/>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67211F"/>
    <w:multiLevelType w:val="hybridMultilevel"/>
    <w:tmpl w:val="D2B4C85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1DF20892"/>
    <w:multiLevelType w:val="multilevel"/>
    <w:tmpl w:val="ED92AD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8800FB"/>
    <w:multiLevelType w:val="hybridMultilevel"/>
    <w:tmpl w:val="87D45582"/>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15:restartNumberingAfterBreak="0">
    <w:nsid w:val="1FAD65CA"/>
    <w:multiLevelType w:val="hybridMultilevel"/>
    <w:tmpl w:val="88242FE4"/>
    <w:lvl w:ilvl="0" w:tplc="04190017">
      <w:start w:val="1"/>
      <w:numFmt w:val="lowerLetter"/>
      <w:lvlText w:val="%1)"/>
      <w:lvlJc w:val="left"/>
      <w:pPr>
        <w:ind w:left="1790" w:hanging="72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0" w15:restartNumberingAfterBreak="0">
    <w:nsid w:val="210C709E"/>
    <w:multiLevelType w:val="hybridMultilevel"/>
    <w:tmpl w:val="A63837EE"/>
    <w:lvl w:ilvl="0" w:tplc="36D6351C">
      <w:start w:val="1"/>
      <w:numFmt w:val="decimal"/>
      <w:lvlText w:val="%1)"/>
      <w:lvlJc w:val="left"/>
      <w:pPr>
        <w:ind w:left="2007" w:hanging="360"/>
      </w:pPr>
      <w:rPr>
        <w:b w:val="0"/>
        <w:sz w:val="18"/>
        <w:szCs w:val="18"/>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1" w15:restartNumberingAfterBreak="0">
    <w:nsid w:val="26E6028E"/>
    <w:multiLevelType w:val="hybridMultilevel"/>
    <w:tmpl w:val="14E4AC20"/>
    <w:lvl w:ilvl="0" w:tplc="C1709E0A">
      <w:start w:val="1"/>
      <w:numFmt w:val="decimal"/>
      <w:lvlText w:val="%1)"/>
      <w:lvlJc w:val="left"/>
      <w:pPr>
        <w:ind w:left="2007" w:hanging="360"/>
      </w:pPr>
      <w:rPr>
        <w:b w:val="0"/>
        <w:color w:val="auto"/>
        <w:sz w:val="18"/>
        <w:szCs w:val="18"/>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2" w15:restartNumberingAfterBreak="0">
    <w:nsid w:val="27A05673"/>
    <w:multiLevelType w:val="hybridMultilevel"/>
    <w:tmpl w:val="8E32BB7A"/>
    <w:lvl w:ilvl="0" w:tplc="04190011">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3" w15:restartNumberingAfterBreak="0">
    <w:nsid w:val="29D746E5"/>
    <w:multiLevelType w:val="multilevel"/>
    <w:tmpl w:val="EBD272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C557AF0"/>
    <w:multiLevelType w:val="hybridMultilevel"/>
    <w:tmpl w:val="5C5CCB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485965"/>
    <w:multiLevelType w:val="multilevel"/>
    <w:tmpl w:val="783AED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4321584"/>
    <w:multiLevelType w:val="hybridMultilevel"/>
    <w:tmpl w:val="48A2CAB4"/>
    <w:lvl w:ilvl="0" w:tplc="1452D032">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CA4E270">
      <w:start w:val="1"/>
      <w:numFmt w:val="lowerRoman"/>
      <w:lvlText w:val="(%2)"/>
      <w:lvlJc w:val="left"/>
      <w:pPr>
        <w:ind w:left="23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BE4296C">
      <w:start w:val="1"/>
      <w:numFmt w:val="lowerRoman"/>
      <w:lvlText w:val="%3"/>
      <w:lvlJc w:val="left"/>
      <w:pPr>
        <w:ind w:left="130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666DF4">
      <w:start w:val="1"/>
      <w:numFmt w:val="decimal"/>
      <w:lvlText w:val="%4"/>
      <w:lvlJc w:val="left"/>
      <w:pPr>
        <w:ind w:left="20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1A0A26A">
      <w:start w:val="1"/>
      <w:numFmt w:val="lowerLetter"/>
      <w:lvlText w:val="%5"/>
      <w:lvlJc w:val="left"/>
      <w:pPr>
        <w:ind w:left="27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865ADE">
      <w:start w:val="1"/>
      <w:numFmt w:val="lowerRoman"/>
      <w:lvlText w:val="%6"/>
      <w:lvlJc w:val="left"/>
      <w:pPr>
        <w:ind w:left="346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21AEEF6">
      <w:start w:val="1"/>
      <w:numFmt w:val="decimal"/>
      <w:lvlText w:val="%7"/>
      <w:lvlJc w:val="left"/>
      <w:pPr>
        <w:ind w:left="418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CEDA50">
      <w:start w:val="1"/>
      <w:numFmt w:val="lowerLetter"/>
      <w:lvlText w:val="%8"/>
      <w:lvlJc w:val="left"/>
      <w:pPr>
        <w:ind w:left="490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554D200">
      <w:start w:val="1"/>
      <w:numFmt w:val="lowerRoman"/>
      <w:lvlText w:val="%9"/>
      <w:lvlJc w:val="left"/>
      <w:pPr>
        <w:ind w:left="56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369B265B"/>
    <w:multiLevelType w:val="hybridMultilevel"/>
    <w:tmpl w:val="3FA644BC"/>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28" w15:restartNumberingAfterBreak="0">
    <w:nsid w:val="36E10A21"/>
    <w:multiLevelType w:val="hybridMultilevel"/>
    <w:tmpl w:val="8EE67B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6A7683"/>
    <w:multiLevelType w:val="hybridMultilevel"/>
    <w:tmpl w:val="816C90A6"/>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40E85253"/>
    <w:multiLevelType w:val="hybridMultilevel"/>
    <w:tmpl w:val="08040370"/>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41B57FEE"/>
    <w:multiLevelType w:val="multilevel"/>
    <w:tmpl w:val="1F0203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1E103A5"/>
    <w:multiLevelType w:val="hybridMultilevel"/>
    <w:tmpl w:val="A9FEF718"/>
    <w:lvl w:ilvl="0" w:tplc="04190011">
      <w:start w:val="1"/>
      <w:numFmt w:val="decimal"/>
      <w:lvlText w:val="%1)"/>
      <w:lvlJc w:val="left"/>
      <w:pPr>
        <w:ind w:left="1068" w:hanging="360"/>
      </w:pPr>
      <w:rPr>
        <w:rFonts w:hint="default"/>
      </w:rPr>
    </w:lvl>
    <w:lvl w:ilvl="1" w:tplc="923ECCD6">
      <w:start w:val="11"/>
      <w:numFmt w:val="bullet"/>
      <w:lvlText w:val=""/>
      <w:lvlJc w:val="left"/>
      <w:pPr>
        <w:ind w:left="1788" w:hanging="360"/>
      </w:pPr>
      <w:rPr>
        <w:rFonts w:ascii="Symbol" w:eastAsiaTheme="minorHAnsi" w:hAnsi="Symbol"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2B729D2"/>
    <w:multiLevelType w:val="multilevel"/>
    <w:tmpl w:val="1F8455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78915D3"/>
    <w:multiLevelType w:val="hybridMultilevel"/>
    <w:tmpl w:val="C5A4DD70"/>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35" w15:restartNumberingAfterBreak="0">
    <w:nsid w:val="482A434F"/>
    <w:multiLevelType w:val="multilevel"/>
    <w:tmpl w:val="EAF682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B11146F"/>
    <w:multiLevelType w:val="multilevel"/>
    <w:tmpl w:val="320A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B2B03ED"/>
    <w:multiLevelType w:val="hybridMultilevel"/>
    <w:tmpl w:val="868A028A"/>
    <w:lvl w:ilvl="0" w:tplc="041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38" w15:restartNumberingAfterBreak="0">
    <w:nsid w:val="4C59474A"/>
    <w:multiLevelType w:val="multilevel"/>
    <w:tmpl w:val="51F6CB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FA5401C"/>
    <w:multiLevelType w:val="hybridMultilevel"/>
    <w:tmpl w:val="D02478F6"/>
    <w:lvl w:ilvl="0" w:tplc="3D823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BE7646"/>
    <w:multiLevelType w:val="hybridMultilevel"/>
    <w:tmpl w:val="16586E26"/>
    <w:lvl w:ilvl="0" w:tplc="7D3016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4FC0309A"/>
    <w:multiLevelType w:val="hybridMultilevel"/>
    <w:tmpl w:val="BA5CCDEC"/>
    <w:lvl w:ilvl="0" w:tplc="7B9473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503B3CBB"/>
    <w:multiLevelType w:val="hybridMultilevel"/>
    <w:tmpl w:val="36666782"/>
    <w:lvl w:ilvl="0" w:tplc="7E54D1F4">
      <w:start w:val="1"/>
      <w:numFmt w:val="decimal"/>
      <w:lvlText w:val="%1)"/>
      <w:lvlJc w:val="left"/>
      <w:pPr>
        <w:ind w:left="2007" w:hanging="360"/>
      </w:pPr>
      <w:rPr>
        <w:b w:val="0"/>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3" w15:restartNumberingAfterBreak="0">
    <w:nsid w:val="57CA1AF1"/>
    <w:multiLevelType w:val="hybridMultilevel"/>
    <w:tmpl w:val="931E52FE"/>
    <w:lvl w:ilvl="0" w:tplc="04190001">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9BB1BE3"/>
    <w:multiLevelType w:val="hybridMultilevel"/>
    <w:tmpl w:val="31281F04"/>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5" w15:restartNumberingAfterBreak="0">
    <w:nsid w:val="61844534"/>
    <w:multiLevelType w:val="hybridMultilevel"/>
    <w:tmpl w:val="02445D6C"/>
    <w:lvl w:ilvl="0" w:tplc="5080ABF4">
      <w:start w:val="1"/>
      <w:numFmt w:val="decimal"/>
      <w:lvlText w:val="%1)"/>
      <w:lvlJc w:val="left"/>
      <w:pPr>
        <w:ind w:left="2007" w:hanging="360"/>
      </w:pPr>
      <w:rPr>
        <w:b w:val="0"/>
        <w:color w:val="auto"/>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6" w15:restartNumberingAfterBreak="0">
    <w:nsid w:val="6216415E"/>
    <w:multiLevelType w:val="hybridMultilevel"/>
    <w:tmpl w:val="D846A284"/>
    <w:lvl w:ilvl="0" w:tplc="04190017">
      <w:start w:val="1"/>
      <w:numFmt w:val="lowerLetter"/>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7" w15:restartNumberingAfterBreak="0">
    <w:nsid w:val="62650004"/>
    <w:multiLevelType w:val="hybridMultilevel"/>
    <w:tmpl w:val="994EDC72"/>
    <w:lvl w:ilvl="0" w:tplc="04190011">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8" w15:restartNumberingAfterBreak="0">
    <w:nsid w:val="6578664A"/>
    <w:multiLevelType w:val="hybridMultilevel"/>
    <w:tmpl w:val="E84E814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64F3356"/>
    <w:multiLevelType w:val="hybridMultilevel"/>
    <w:tmpl w:val="FCEA40EA"/>
    <w:lvl w:ilvl="0" w:tplc="071AC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431BA5"/>
    <w:multiLevelType w:val="multilevel"/>
    <w:tmpl w:val="932A1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865EBB"/>
    <w:multiLevelType w:val="hybridMultilevel"/>
    <w:tmpl w:val="CC78C9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C4C5BBB"/>
    <w:multiLevelType w:val="hybridMultilevel"/>
    <w:tmpl w:val="773CA150"/>
    <w:lvl w:ilvl="0" w:tplc="04190011">
      <w:start w:val="1"/>
      <w:numFmt w:val="decimal"/>
      <w:lvlText w:val="%1)"/>
      <w:lvlJc w:val="left"/>
      <w:pPr>
        <w:ind w:left="2007" w:hanging="360"/>
      </w:pPr>
      <w:rPr>
        <w:rFont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3" w15:restartNumberingAfterBreak="0">
    <w:nsid w:val="6F207D72"/>
    <w:multiLevelType w:val="hybridMultilevel"/>
    <w:tmpl w:val="35DE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EB54E7"/>
    <w:multiLevelType w:val="hybridMultilevel"/>
    <w:tmpl w:val="C110F58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0762BB2"/>
    <w:multiLevelType w:val="hybridMultilevel"/>
    <w:tmpl w:val="96BEA6D0"/>
    <w:lvl w:ilvl="0" w:tplc="FCC46FF6">
      <w:start w:val="1"/>
      <w:numFmt w:val="decimal"/>
      <w:lvlText w:val="%1."/>
      <w:lvlJc w:val="left"/>
      <w:pPr>
        <w:ind w:left="10"/>
      </w:pPr>
      <w:rPr>
        <w:rFonts w:asciiTheme="majorBidi" w:eastAsia="Calibri" w:hAnsiTheme="majorBidi" w:cstheme="majorBidi" w:hint="default"/>
        <w:b w:val="0"/>
        <w:i w:val="0"/>
        <w:strike w:val="0"/>
        <w:dstrike w:val="0"/>
        <w:color w:val="000000"/>
        <w:sz w:val="18"/>
        <w:szCs w:val="18"/>
        <w:u w:val="none" w:color="000000"/>
        <w:bdr w:val="none" w:sz="0" w:space="0" w:color="auto"/>
        <w:shd w:val="clear" w:color="auto" w:fill="auto"/>
        <w:vertAlign w:val="baseline"/>
      </w:rPr>
    </w:lvl>
    <w:lvl w:ilvl="1" w:tplc="A532F0D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644AEA2">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39CEB7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AC662B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FD072C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258ECC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C564CD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5A0748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6" w15:restartNumberingAfterBreak="0">
    <w:nsid w:val="7241091B"/>
    <w:multiLevelType w:val="hybridMultilevel"/>
    <w:tmpl w:val="0B16B782"/>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7" w15:restartNumberingAfterBreak="0">
    <w:nsid w:val="79E46890"/>
    <w:multiLevelType w:val="hybridMultilevel"/>
    <w:tmpl w:val="3552D4D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56"/>
  </w:num>
  <w:num w:numId="3">
    <w:abstractNumId w:val="0"/>
  </w:num>
  <w:num w:numId="4">
    <w:abstractNumId w:val="42"/>
  </w:num>
  <w:num w:numId="5">
    <w:abstractNumId w:val="45"/>
  </w:num>
  <w:num w:numId="6">
    <w:abstractNumId w:val="21"/>
  </w:num>
  <w:num w:numId="7">
    <w:abstractNumId w:val="14"/>
  </w:num>
  <w:num w:numId="8">
    <w:abstractNumId w:val="3"/>
  </w:num>
  <w:num w:numId="9">
    <w:abstractNumId w:val="20"/>
  </w:num>
  <w:num w:numId="10">
    <w:abstractNumId w:val="15"/>
  </w:num>
  <w:num w:numId="11">
    <w:abstractNumId w:val="32"/>
  </w:num>
  <w:num w:numId="12">
    <w:abstractNumId w:val="30"/>
  </w:num>
  <w:num w:numId="13">
    <w:abstractNumId w:val="11"/>
  </w:num>
  <w:num w:numId="14">
    <w:abstractNumId w:val="12"/>
  </w:num>
  <w:num w:numId="15">
    <w:abstractNumId w:val="18"/>
  </w:num>
  <w:num w:numId="16">
    <w:abstractNumId w:val="29"/>
  </w:num>
  <w:num w:numId="17">
    <w:abstractNumId w:val="44"/>
  </w:num>
  <w:num w:numId="18">
    <w:abstractNumId w:val="5"/>
  </w:num>
  <w:num w:numId="19">
    <w:abstractNumId w:val="37"/>
  </w:num>
  <w:num w:numId="20">
    <w:abstractNumId w:val="9"/>
  </w:num>
  <w:num w:numId="21">
    <w:abstractNumId w:val="48"/>
  </w:num>
  <w:num w:numId="22">
    <w:abstractNumId w:val="47"/>
  </w:num>
  <w:num w:numId="23">
    <w:abstractNumId w:val="7"/>
  </w:num>
  <w:num w:numId="24">
    <w:abstractNumId w:val="16"/>
  </w:num>
  <w:num w:numId="25">
    <w:abstractNumId w:val="54"/>
  </w:num>
  <w:num w:numId="26">
    <w:abstractNumId w:val="6"/>
  </w:num>
  <w:num w:numId="27">
    <w:abstractNumId w:val="57"/>
  </w:num>
  <w:num w:numId="28">
    <w:abstractNumId w:val="28"/>
  </w:num>
  <w:num w:numId="29">
    <w:abstractNumId w:val="2"/>
  </w:num>
  <w:num w:numId="30">
    <w:abstractNumId w:val="13"/>
  </w:num>
  <w:num w:numId="31">
    <w:abstractNumId w:val="24"/>
  </w:num>
  <w:num w:numId="32">
    <w:abstractNumId w:val="19"/>
  </w:num>
  <w:num w:numId="33">
    <w:abstractNumId w:val="46"/>
  </w:num>
  <w:num w:numId="34">
    <w:abstractNumId w:val="43"/>
  </w:num>
  <w:num w:numId="35">
    <w:abstractNumId w:val="22"/>
  </w:num>
  <w:num w:numId="36">
    <w:abstractNumId w:val="34"/>
  </w:num>
  <w:num w:numId="37">
    <w:abstractNumId w:val="27"/>
  </w:num>
  <w:num w:numId="38">
    <w:abstractNumId w:val="52"/>
  </w:num>
  <w:num w:numId="39">
    <w:abstractNumId w:val="35"/>
  </w:num>
  <w:num w:numId="40">
    <w:abstractNumId w:val="31"/>
  </w:num>
  <w:num w:numId="41">
    <w:abstractNumId w:val="38"/>
  </w:num>
  <w:num w:numId="42">
    <w:abstractNumId w:val="23"/>
  </w:num>
  <w:num w:numId="43">
    <w:abstractNumId w:val="17"/>
  </w:num>
  <w:num w:numId="44">
    <w:abstractNumId w:val="36"/>
  </w:num>
  <w:num w:numId="45">
    <w:abstractNumId w:val="33"/>
  </w:num>
  <w:num w:numId="46">
    <w:abstractNumId w:val="25"/>
  </w:num>
  <w:num w:numId="47">
    <w:abstractNumId w:val="50"/>
  </w:num>
  <w:num w:numId="48">
    <w:abstractNumId w:val="26"/>
  </w:num>
  <w:num w:numId="49">
    <w:abstractNumId w:val="55"/>
  </w:num>
  <w:num w:numId="50">
    <w:abstractNumId w:val="4"/>
  </w:num>
  <w:num w:numId="51">
    <w:abstractNumId w:val="1"/>
  </w:num>
  <w:num w:numId="52">
    <w:abstractNumId w:val="8"/>
  </w:num>
  <w:num w:numId="53">
    <w:abstractNumId w:val="39"/>
  </w:num>
  <w:num w:numId="54">
    <w:abstractNumId w:val="49"/>
  </w:num>
  <w:num w:numId="55">
    <w:abstractNumId w:val="51"/>
  </w:num>
  <w:num w:numId="56">
    <w:abstractNumId w:val="41"/>
  </w:num>
  <w:num w:numId="57">
    <w:abstractNumId w:val="40"/>
  </w:num>
  <w:num w:numId="58">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7A"/>
    <w:rsid w:val="0000194F"/>
    <w:rsid w:val="00010611"/>
    <w:rsid w:val="00014AAB"/>
    <w:rsid w:val="00022693"/>
    <w:rsid w:val="00032C72"/>
    <w:rsid w:val="00034FE3"/>
    <w:rsid w:val="000370FD"/>
    <w:rsid w:val="0003727F"/>
    <w:rsid w:val="000408EB"/>
    <w:rsid w:val="00040AF7"/>
    <w:rsid w:val="00043955"/>
    <w:rsid w:val="00043B60"/>
    <w:rsid w:val="00043DC5"/>
    <w:rsid w:val="000470D0"/>
    <w:rsid w:val="00047649"/>
    <w:rsid w:val="00047F4F"/>
    <w:rsid w:val="0005132A"/>
    <w:rsid w:val="000519C5"/>
    <w:rsid w:val="0005293D"/>
    <w:rsid w:val="00052D01"/>
    <w:rsid w:val="0005638B"/>
    <w:rsid w:val="000563D8"/>
    <w:rsid w:val="0005797C"/>
    <w:rsid w:val="000603D8"/>
    <w:rsid w:val="000606E4"/>
    <w:rsid w:val="00061B5B"/>
    <w:rsid w:val="000637F9"/>
    <w:rsid w:val="00064865"/>
    <w:rsid w:val="000650AB"/>
    <w:rsid w:val="000673E0"/>
    <w:rsid w:val="00067F29"/>
    <w:rsid w:val="00071B57"/>
    <w:rsid w:val="0007358E"/>
    <w:rsid w:val="00075EC6"/>
    <w:rsid w:val="00075EEE"/>
    <w:rsid w:val="00076604"/>
    <w:rsid w:val="000812EB"/>
    <w:rsid w:val="0008169B"/>
    <w:rsid w:val="00083BCC"/>
    <w:rsid w:val="00094347"/>
    <w:rsid w:val="00095343"/>
    <w:rsid w:val="000A12CB"/>
    <w:rsid w:val="000A2FDC"/>
    <w:rsid w:val="000A30BB"/>
    <w:rsid w:val="000A32BF"/>
    <w:rsid w:val="000A6C29"/>
    <w:rsid w:val="000A7FA4"/>
    <w:rsid w:val="000B25FB"/>
    <w:rsid w:val="000B30B1"/>
    <w:rsid w:val="000B33E4"/>
    <w:rsid w:val="000B5876"/>
    <w:rsid w:val="000B7DCA"/>
    <w:rsid w:val="000C2B62"/>
    <w:rsid w:val="000C34C8"/>
    <w:rsid w:val="000C69F5"/>
    <w:rsid w:val="000C6F7D"/>
    <w:rsid w:val="000C7670"/>
    <w:rsid w:val="000D130F"/>
    <w:rsid w:val="000D31D5"/>
    <w:rsid w:val="000D4091"/>
    <w:rsid w:val="000D6416"/>
    <w:rsid w:val="000D781B"/>
    <w:rsid w:val="000E1F19"/>
    <w:rsid w:val="000E3196"/>
    <w:rsid w:val="000E33E8"/>
    <w:rsid w:val="000E739D"/>
    <w:rsid w:val="000F1074"/>
    <w:rsid w:val="000F13FE"/>
    <w:rsid w:val="000F2AEB"/>
    <w:rsid w:val="000F36F8"/>
    <w:rsid w:val="000F7962"/>
    <w:rsid w:val="00102E1C"/>
    <w:rsid w:val="001030AE"/>
    <w:rsid w:val="00104A95"/>
    <w:rsid w:val="00105C1A"/>
    <w:rsid w:val="00106C7B"/>
    <w:rsid w:val="001111E9"/>
    <w:rsid w:val="00112886"/>
    <w:rsid w:val="00114103"/>
    <w:rsid w:val="0011519B"/>
    <w:rsid w:val="00116691"/>
    <w:rsid w:val="001177C4"/>
    <w:rsid w:val="00122BCD"/>
    <w:rsid w:val="00124DA9"/>
    <w:rsid w:val="001252CD"/>
    <w:rsid w:val="00125F7C"/>
    <w:rsid w:val="00130055"/>
    <w:rsid w:val="0013190A"/>
    <w:rsid w:val="00136844"/>
    <w:rsid w:val="00141A40"/>
    <w:rsid w:val="001433DC"/>
    <w:rsid w:val="00145E54"/>
    <w:rsid w:val="00153673"/>
    <w:rsid w:val="00153687"/>
    <w:rsid w:val="00154FB4"/>
    <w:rsid w:val="00155E87"/>
    <w:rsid w:val="00156F0B"/>
    <w:rsid w:val="00157A30"/>
    <w:rsid w:val="001613B9"/>
    <w:rsid w:val="00161E2A"/>
    <w:rsid w:val="00163D4A"/>
    <w:rsid w:val="00165BD4"/>
    <w:rsid w:val="00166241"/>
    <w:rsid w:val="001675B2"/>
    <w:rsid w:val="001715F4"/>
    <w:rsid w:val="00171748"/>
    <w:rsid w:val="001756A3"/>
    <w:rsid w:val="001771E8"/>
    <w:rsid w:val="001772A4"/>
    <w:rsid w:val="00177A93"/>
    <w:rsid w:val="00183FA7"/>
    <w:rsid w:val="001A0BF1"/>
    <w:rsid w:val="001A336E"/>
    <w:rsid w:val="001A422B"/>
    <w:rsid w:val="001A4AB6"/>
    <w:rsid w:val="001A4C4F"/>
    <w:rsid w:val="001A596C"/>
    <w:rsid w:val="001A5BFF"/>
    <w:rsid w:val="001A61A5"/>
    <w:rsid w:val="001B1AB4"/>
    <w:rsid w:val="001B40A2"/>
    <w:rsid w:val="001B438F"/>
    <w:rsid w:val="001B67E4"/>
    <w:rsid w:val="001C3381"/>
    <w:rsid w:val="001C3CF9"/>
    <w:rsid w:val="001C45EE"/>
    <w:rsid w:val="001C50BB"/>
    <w:rsid w:val="001D0F11"/>
    <w:rsid w:val="001D1D87"/>
    <w:rsid w:val="001D23C5"/>
    <w:rsid w:val="001D2CC3"/>
    <w:rsid w:val="001D3FCE"/>
    <w:rsid w:val="001D77F4"/>
    <w:rsid w:val="001E0B21"/>
    <w:rsid w:val="001E1B88"/>
    <w:rsid w:val="001E4203"/>
    <w:rsid w:val="001E53DB"/>
    <w:rsid w:val="001E5AF5"/>
    <w:rsid w:val="001E7E9A"/>
    <w:rsid w:val="001E7F06"/>
    <w:rsid w:val="001F01C1"/>
    <w:rsid w:val="001F14F2"/>
    <w:rsid w:val="001F23EB"/>
    <w:rsid w:val="001F69BE"/>
    <w:rsid w:val="001F6EB5"/>
    <w:rsid w:val="002014B0"/>
    <w:rsid w:val="0020237E"/>
    <w:rsid w:val="0020472A"/>
    <w:rsid w:val="00204D8F"/>
    <w:rsid w:val="00205D69"/>
    <w:rsid w:val="00205EE2"/>
    <w:rsid w:val="00207150"/>
    <w:rsid w:val="00212DDA"/>
    <w:rsid w:val="00214505"/>
    <w:rsid w:val="002200B7"/>
    <w:rsid w:val="00220298"/>
    <w:rsid w:val="002244E7"/>
    <w:rsid w:val="002302F5"/>
    <w:rsid w:val="002316E8"/>
    <w:rsid w:val="00232E06"/>
    <w:rsid w:val="00235ACE"/>
    <w:rsid w:val="00237CF8"/>
    <w:rsid w:val="00237D1C"/>
    <w:rsid w:val="002401CA"/>
    <w:rsid w:val="00243A1C"/>
    <w:rsid w:val="00245F66"/>
    <w:rsid w:val="00246032"/>
    <w:rsid w:val="0024791A"/>
    <w:rsid w:val="00252CC8"/>
    <w:rsid w:val="00252EFD"/>
    <w:rsid w:val="00265BBD"/>
    <w:rsid w:val="002660D0"/>
    <w:rsid w:val="002741A7"/>
    <w:rsid w:val="00277484"/>
    <w:rsid w:val="002842CB"/>
    <w:rsid w:val="0028477D"/>
    <w:rsid w:val="00286DDA"/>
    <w:rsid w:val="00286F2C"/>
    <w:rsid w:val="00287D02"/>
    <w:rsid w:val="0029114F"/>
    <w:rsid w:val="0029184E"/>
    <w:rsid w:val="002918F9"/>
    <w:rsid w:val="00293855"/>
    <w:rsid w:val="002939EB"/>
    <w:rsid w:val="00293F74"/>
    <w:rsid w:val="002971D2"/>
    <w:rsid w:val="002A05E3"/>
    <w:rsid w:val="002A1CC5"/>
    <w:rsid w:val="002A2EC0"/>
    <w:rsid w:val="002A5B0D"/>
    <w:rsid w:val="002A5F8B"/>
    <w:rsid w:val="002A6029"/>
    <w:rsid w:val="002A78A0"/>
    <w:rsid w:val="002B0F36"/>
    <w:rsid w:val="002B23BC"/>
    <w:rsid w:val="002B29EB"/>
    <w:rsid w:val="002B3DE6"/>
    <w:rsid w:val="002B425C"/>
    <w:rsid w:val="002C0A2D"/>
    <w:rsid w:val="002C2A1D"/>
    <w:rsid w:val="002C3067"/>
    <w:rsid w:val="002C437E"/>
    <w:rsid w:val="002C475A"/>
    <w:rsid w:val="002C4B4E"/>
    <w:rsid w:val="002D26F7"/>
    <w:rsid w:val="002D2707"/>
    <w:rsid w:val="002D49A7"/>
    <w:rsid w:val="002D580E"/>
    <w:rsid w:val="002D601F"/>
    <w:rsid w:val="002E26CB"/>
    <w:rsid w:val="002E2889"/>
    <w:rsid w:val="002E43AF"/>
    <w:rsid w:val="002E610C"/>
    <w:rsid w:val="002E7D65"/>
    <w:rsid w:val="002F09E4"/>
    <w:rsid w:val="002F3406"/>
    <w:rsid w:val="002F4E96"/>
    <w:rsid w:val="002F7855"/>
    <w:rsid w:val="002F7FD1"/>
    <w:rsid w:val="00302CEB"/>
    <w:rsid w:val="003036EC"/>
    <w:rsid w:val="00303C1B"/>
    <w:rsid w:val="00305A83"/>
    <w:rsid w:val="003124A0"/>
    <w:rsid w:val="0031265B"/>
    <w:rsid w:val="003134A9"/>
    <w:rsid w:val="003147EF"/>
    <w:rsid w:val="00322059"/>
    <w:rsid w:val="00323341"/>
    <w:rsid w:val="00324C70"/>
    <w:rsid w:val="00326598"/>
    <w:rsid w:val="00326D37"/>
    <w:rsid w:val="0033270F"/>
    <w:rsid w:val="0033358D"/>
    <w:rsid w:val="00340156"/>
    <w:rsid w:val="00344FC2"/>
    <w:rsid w:val="003467AA"/>
    <w:rsid w:val="003472B0"/>
    <w:rsid w:val="0035024D"/>
    <w:rsid w:val="00354269"/>
    <w:rsid w:val="00354E44"/>
    <w:rsid w:val="00355EC9"/>
    <w:rsid w:val="00355F1A"/>
    <w:rsid w:val="003562AD"/>
    <w:rsid w:val="003622AA"/>
    <w:rsid w:val="00363B8F"/>
    <w:rsid w:val="00363E5E"/>
    <w:rsid w:val="00364781"/>
    <w:rsid w:val="00364AB1"/>
    <w:rsid w:val="00375622"/>
    <w:rsid w:val="00376DD1"/>
    <w:rsid w:val="00377A09"/>
    <w:rsid w:val="00380C00"/>
    <w:rsid w:val="00381031"/>
    <w:rsid w:val="0038351E"/>
    <w:rsid w:val="003856F5"/>
    <w:rsid w:val="00385702"/>
    <w:rsid w:val="00385F44"/>
    <w:rsid w:val="003862E8"/>
    <w:rsid w:val="003868E8"/>
    <w:rsid w:val="003879B5"/>
    <w:rsid w:val="003917E1"/>
    <w:rsid w:val="0039303B"/>
    <w:rsid w:val="003942C7"/>
    <w:rsid w:val="00395347"/>
    <w:rsid w:val="003974AA"/>
    <w:rsid w:val="003A0A96"/>
    <w:rsid w:val="003A0C2B"/>
    <w:rsid w:val="003A1493"/>
    <w:rsid w:val="003A185B"/>
    <w:rsid w:val="003A2F44"/>
    <w:rsid w:val="003A47F8"/>
    <w:rsid w:val="003A54FD"/>
    <w:rsid w:val="003A6032"/>
    <w:rsid w:val="003A64CA"/>
    <w:rsid w:val="003A756E"/>
    <w:rsid w:val="003B021D"/>
    <w:rsid w:val="003B05F5"/>
    <w:rsid w:val="003B0A30"/>
    <w:rsid w:val="003B0BF5"/>
    <w:rsid w:val="003B0EF3"/>
    <w:rsid w:val="003B1C6A"/>
    <w:rsid w:val="003B29C4"/>
    <w:rsid w:val="003B5644"/>
    <w:rsid w:val="003B7970"/>
    <w:rsid w:val="003C1259"/>
    <w:rsid w:val="003C1438"/>
    <w:rsid w:val="003C3CA2"/>
    <w:rsid w:val="003C44FC"/>
    <w:rsid w:val="003C4BE9"/>
    <w:rsid w:val="003C65C7"/>
    <w:rsid w:val="003C7F18"/>
    <w:rsid w:val="003D0933"/>
    <w:rsid w:val="003D2ED5"/>
    <w:rsid w:val="003D56C7"/>
    <w:rsid w:val="003D5761"/>
    <w:rsid w:val="003D7AFE"/>
    <w:rsid w:val="003E17FB"/>
    <w:rsid w:val="003E6889"/>
    <w:rsid w:val="003E77CD"/>
    <w:rsid w:val="003F1674"/>
    <w:rsid w:val="003F54D6"/>
    <w:rsid w:val="003F5889"/>
    <w:rsid w:val="003F5A98"/>
    <w:rsid w:val="004000F6"/>
    <w:rsid w:val="0040113C"/>
    <w:rsid w:val="00401742"/>
    <w:rsid w:val="0040263B"/>
    <w:rsid w:val="004034DD"/>
    <w:rsid w:val="00403BA8"/>
    <w:rsid w:val="00406BBD"/>
    <w:rsid w:val="00411DA1"/>
    <w:rsid w:val="0041300E"/>
    <w:rsid w:val="004153FE"/>
    <w:rsid w:val="004170F3"/>
    <w:rsid w:val="004201A5"/>
    <w:rsid w:val="00421463"/>
    <w:rsid w:val="00422637"/>
    <w:rsid w:val="00423AB7"/>
    <w:rsid w:val="00424459"/>
    <w:rsid w:val="00424FEF"/>
    <w:rsid w:val="00425554"/>
    <w:rsid w:val="004261E0"/>
    <w:rsid w:val="00432122"/>
    <w:rsid w:val="00437279"/>
    <w:rsid w:val="00442150"/>
    <w:rsid w:val="004445B0"/>
    <w:rsid w:val="0044678C"/>
    <w:rsid w:val="00451274"/>
    <w:rsid w:val="00455EE2"/>
    <w:rsid w:val="0045740A"/>
    <w:rsid w:val="00457838"/>
    <w:rsid w:val="00460658"/>
    <w:rsid w:val="004610A3"/>
    <w:rsid w:val="00461BE9"/>
    <w:rsid w:val="00461DF4"/>
    <w:rsid w:val="00462B99"/>
    <w:rsid w:val="00464A59"/>
    <w:rsid w:val="00466FCC"/>
    <w:rsid w:val="004678E7"/>
    <w:rsid w:val="00467D81"/>
    <w:rsid w:val="00471C83"/>
    <w:rsid w:val="00473387"/>
    <w:rsid w:val="004739CB"/>
    <w:rsid w:val="00477A1B"/>
    <w:rsid w:val="00483237"/>
    <w:rsid w:val="004832F1"/>
    <w:rsid w:val="00485F66"/>
    <w:rsid w:val="0048636E"/>
    <w:rsid w:val="00486B54"/>
    <w:rsid w:val="00486F55"/>
    <w:rsid w:val="00490C31"/>
    <w:rsid w:val="00491325"/>
    <w:rsid w:val="00493A82"/>
    <w:rsid w:val="00495CCB"/>
    <w:rsid w:val="00496B13"/>
    <w:rsid w:val="00497043"/>
    <w:rsid w:val="004974FC"/>
    <w:rsid w:val="00497BAB"/>
    <w:rsid w:val="004A0C73"/>
    <w:rsid w:val="004B018E"/>
    <w:rsid w:val="004B0B98"/>
    <w:rsid w:val="004B0E96"/>
    <w:rsid w:val="004B480A"/>
    <w:rsid w:val="004C0361"/>
    <w:rsid w:val="004C0BB3"/>
    <w:rsid w:val="004C1A36"/>
    <w:rsid w:val="004C3779"/>
    <w:rsid w:val="004C3A82"/>
    <w:rsid w:val="004C5227"/>
    <w:rsid w:val="004C5412"/>
    <w:rsid w:val="004C720B"/>
    <w:rsid w:val="004C78E7"/>
    <w:rsid w:val="004D0045"/>
    <w:rsid w:val="004D04C6"/>
    <w:rsid w:val="004D50AC"/>
    <w:rsid w:val="004D6FA0"/>
    <w:rsid w:val="004E0BBE"/>
    <w:rsid w:val="004E1AA2"/>
    <w:rsid w:val="004E5CD1"/>
    <w:rsid w:val="004F00AC"/>
    <w:rsid w:val="004F02C2"/>
    <w:rsid w:val="004F077A"/>
    <w:rsid w:val="004F44FB"/>
    <w:rsid w:val="004F721F"/>
    <w:rsid w:val="004F737F"/>
    <w:rsid w:val="004F7539"/>
    <w:rsid w:val="005004DA"/>
    <w:rsid w:val="005019FF"/>
    <w:rsid w:val="00502BC4"/>
    <w:rsid w:val="00503FE4"/>
    <w:rsid w:val="00512208"/>
    <w:rsid w:val="00512DF1"/>
    <w:rsid w:val="00513C72"/>
    <w:rsid w:val="00513F02"/>
    <w:rsid w:val="00514BA3"/>
    <w:rsid w:val="00517203"/>
    <w:rsid w:val="00520486"/>
    <w:rsid w:val="00521C6E"/>
    <w:rsid w:val="00521E96"/>
    <w:rsid w:val="0052266B"/>
    <w:rsid w:val="00525978"/>
    <w:rsid w:val="0052621F"/>
    <w:rsid w:val="005266E1"/>
    <w:rsid w:val="00526CB3"/>
    <w:rsid w:val="00527522"/>
    <w:rsid w:val="005305E7"/>
    <w:rsid w:val="00532A01"/>
    <w:rsid w:val="00534BBB"/>
    <w:rsid w:val="005354FB"/>
    <w:rsid w:val="00536611"/>
    <w:rsid w:val="00537885"/>
    <w:rsid w:val="00543DEC"/>
    <w:rsid w:val="00546C9E"/>
    <w:rsid w:val="005503F6"/>
    <w:rsid w:val="005508F1"/>
    <w:rsid w:val="0055150B"/>
    <w:rsid w:val="0055152A"/>
    <w:rsid w:val="0055298B"/>
    <w:rsid w:val="00553A3D"/>
    <w:rsid w:val="00556994"/>
    <w:rsid w:val="005570B7"/>
    <w:rsid w:val="00560E26"/>
    <w:rsid w:val="00561B53"/>
    <w:rsid w:val="005623B2"/>
    <w:rsid w:val="005635D3"/>
    <w:rsid w:val="0056404D"/>
    <w:rsid w:val="00564CBA"/>
    <w:rsid w:val="00566159"/>
    <w:rsid w:val="0056696F"/>
    <w:rsid w:val="0057015E"/>
    <w:rsid w:val="00571AC8"/>
    <w:rsid w:val="005739C4"/>
    <w:rsid w:val="00574124"/>
    <w:rsid w:val="005749A4"/>
    <w:rsid w:val="00582A35"/>
    <w:rsid w:val="00582B72"/>
    <w:rsid w:val="005845F8"/>
    <w:rsid w:val="00584A84"/>
    <w:rsid w:val="005878AD"/>
    <w:rsid w:val="00591776"/>
    <w:rsid w:val="005925C0"/>
    <w:rsid w:val="00592D75"/>
    <w:rsid w:val="00593097"/>
    <w:rsid w:val="005956D3"/>
    <w:rsid w:val="00596ED8"/>
    <w:rsid w:val="005A3ED4"/>
    <w:rsid w:val="005B0B4D"/>
    <w:rsid w:val="005B4309"/>
    <w:rsid w:val="005B4683"/>
    <w:rsid w:val="005B64F0"/>
    <w:rsid w:val="005C0A4E"/>
    <w:rsid w:val="005C23FF"/>
    <w:rsid w:val="005C2EA6"/>
    <w:rsid w:val="005C4545"/>
    <w:rsid w:val="005C6CD2"/>
    <w:rsid w:val="005D044A"/>
    <w:rsid w:val="005D0B6F"/>
    <w:rsid w:val="005D2471"/>
    <w:rsid w:val="005D3010"/>
    <w:rsid w:val="005D372B"/>
    <w:rsid w:val="005D449E"/>
    <w:rsid w:val="005D46C6"/>
    <w:rsid w:val="005D4B4F"/>
    <w:rsid w:val="005D5301"/>
    <w:rsid w:val="005D6C2B"/>
    <w:rsid w:val="005D715C"/>
    <w:rsid w:val="005D7ED5"/>
    <w:rsid w:val="005E011D"/>
    <w:rsid w:val="005E1E1C"/>
    <w:rsid w:val="005E2BD6"/>
    <w:rsid w:val="005E3238"/>
    <w:rsid w:val="005E42FE"/>
    <w:rsid w:val="005F1B17"/>
    <w:rsid w:val="005F3E1E"/>
    <w:rsid w:val="005F4F5C"/>
    <w:rsid w:val="005F58BB"/>
    <w:rsid w:val="006056B5"/>
    <w:rsid w:val="00605DF1"/>
    <w:rsid w:val="006121A0"/>
    <w:rsid w:val="00612663"/>
    <w:rsid w:val="00614A83"/>
    <w:rsid w:val="00620E3A"/>
    <w:rsid w:val="006262EB"/>
    <w:rsid w:val="0062723F"/>
    <w:rsid w:val="0063015F"/>
    <w:rsid w:val="00630228"/>
    <w:rsid w:val="00630C9E"/>
    <w:rsid w:val="00632DAB"/>
    <w:rsid w:val="006333AC"/>
    <w:rsid w:val="0063588F"/>
    <w:rsid w:val="00637D2C"/>
    <w:rsid w:val="00641823"/>
    <w:rsid w:val="00641A7E"/>
    <w:rsid w:val="00641B5C"/>
    <w:rsid w:val="00643407"/>
    <w:rsid w:val="00644729"/>
    <w:rsid w:val="006447DE"/>
    <w:rsid w:val="00645258"/>
    <w:rsid w:val="00650D08"/>
    <w:rsid w:val="0065109C"/>
    <w:rsid w:val="006514E1"/>
    <w:rsid w:val="00651B36"/>
    <w:rsid w:val="00652384"/>
    <w:rsid w:val="00654881"/>
    <w:rsid w:val="00663362"/>
    <w:rsid w:val="00663458"/>
    <w:rsid w:val="006638E6"/>
    <w:rsid w:val="0066475F"/>
    <w:rsid w:val="00664A5D"/>
    <w:rsid w:val="00664A5F"/>
    <w:rsid w:val="00665A94"/>
    <w:rsid w:val="00666E43"/>
    <w:rsid w:val="00667B4D"/>
    <w:rsid w:val="00670674"/>
    <w:rsid w:val="006767D6"/>
    <w:rsid w:val="00682F9D"/>
    <w:rsid w:val="0068469C"/>
    <w:rsid w:val="00690087"/>
    <w:rsid w:val="00690839"/>
    <w:rsid w:val="00691356"/>
    <w:rsid w:val="00693D9C"/>
    <w:rsid w:val="00694A28"/>
    <w:rsid w:val="00697A6A"/>
    <w:rsid w:val="00697DDA"/>
    <w:rsid w:val="006A154F"/>
    <w:rsid w:val="006A1AC2"/>
    <w:rsid w:val="006A3B10"/>
    <w:rsid w:val="006A46C7"/>
    <w:rsid w:val="006B09D4"/>
    <w:rsid w:val="006B2EF9"/>
    <w:rsid w:val="006B4D54"/>
    <w:rsid w:val="006B50A5"/>
    <w:rsid w:val="006B66DA"/>
    <w:rsid w:val="006B7625"/>
    <w:rsid w:val="006C0022"/>
    <w:rsid w:val="006C030D"/>
    <w:rsid w:val="006C4B0E"/>
    <w:rsid w:val="006C7F0C"/>
    <w:rsid w:val="006C7F53"/>
    <w:rsid w:val="006D13A8"/>
    <w:rsid w:val="006D4C88"/>
    <w:rsid w:val="006E10C6"/>
    <w:rsid w:val="006E1AE6"/>
    <w:rsid w:val="006E233D"/>
    <w:rsid w:val="006E5522"/>
    <w:rsid w:val="006F11A4"/>
    <w:rsid w:val="006F322A"/>
    <w:rsid w:val="006F4A05"/>
    <w:rsid w:val="006F61EB"/>
    <w:rsid w:val="0070015D"/>
    <w:rsid w:val="00706276"/>
    <w:rsid w:val="00715AE7"/>
    <w:rsid w:val="00720C8C"/>
    <w:rsid w:val="00726299"/>
    <w:rsid w:val="00727005"/>
    <w:rsid w:val="00727BD0"/>
    <w:rsid w:val="0073175E"/>
    <w:rsid w:val="007327B4"/>
    <w:rsid w:val="0074181B"/>
    <w:rsid w:val="007461A6"/>
    <w:rsid w:val="00751872"/>
    <w:rsid w:val="00752F3A"/>
    <w:rsid w:val="007633EE"/>
    <w:rsid w:val="00764338"/>
    <w:rsid w:val="00765D5E"/>
    <w:rsid w:val="00766CFE"/>
    <w:rsid w:val="00767C01"/>
    <w:rsid w:val="00770753"/>
    <w:rsid w:val="00770837"/>
    <w:rsid w:val="00770AF1"/>
    <w:rsid w:val="00773A5E"/>
    <w:rsid w:val="00775419"/>
    <w:rsid w:val="00775DAD"/>
    <w:rsid w:val="00777172"/>
    <w:rsid w:val="007775CF"/>
    <w:rsid w:val="00777696"/>
    <w:rsid w:val="00782595"/>
    <w:rsid w:val="00782AA7"/>
    <w:rsid w:val="00784E45"/>
    <w:rsid w:val="00785E2E"/>
    <w:rsid w:val="0078681F"/>
    <w:rsid w:val="00786C7E"/>
    <w:rsid w:val="00792677"/>
    <w:rsid w:val="00793898"/>
    <w:rsid w:val="00796A10"/>
    <w:rsid w:val="007A1612"/>
    <w:rsid w:val="007A2DC8"/>
    <w:rsid w:val="007A512E"/>
    <w:rsid w:val="007B0242"/>
    <w:rsid w:val="007B20CE"/>
    <w:rsid w:val="007B4D4F"/>
    <w:rsid w:val="007B547F"/>
    <w:rsid w:val="007B7D2E"/>
    <w:rsid w:val="007B7D5D"/>
    <w:rsid w:val="007C0101"/>
    <w:rsid w:val="007C0239"/>
    <w:rsid w:val="007C04A2"/>
    <w:rsid w:val="007C4D96"/>
    <w:rsid w:val="007C5C6E"/>
    <w:rsid w:val="007C5F08"/>
    <w:rsid w:val="007C6170"/>
    <w:rsid w:val="007D035A"/>
    <w:rsid w:val="007D084C"/>
    <w:rsid w:val="007D3942"/>
    <w:rsid w:val="007D3AB1"/>
    <w:rsid w:val="007D59C5"/>
    <w:rsid w:val="007D690F"/>
    <w:rsid w:val="007D7058"/>
    <w:rsid w:val="007D72AF"/>
    <w:rsid w:val="007E16BD"/>
    <w:rsid w:val="007E1A8E"/>
    <w:rsid w:val="007E33DD"/>
    <w:rsid w:val="007E4725"/>
    <w:rsid w:val="007E6421"/>
    <w:rsid w:val="007E72D5"/>
    <w:rsid w:val="007E7C8C"/>
    <w:rsid w:val="007F1E9F"/>
    <w:rsid w:val="007F248A"/>
    <w:rsid w:val="007F4605"/>
    <w:rsid w:val="007F46D0"/>
    <w:rsid w:val="007F7A5A"/>
    <w:rsid w:val="008008FB"/>
    <w:rsid w:val="00801C9A"/>
    <w:rsid w:val="00802B16"/>
    <w:rsid w:val="008036AD"/>
    <w:rsid w:val="008043C2"/>
    <w:rsid w:val="008049FA"/>
    <w:rsid w:val="00810CF1"/>
    <w:rsid w:val="0081159F"/>
    <w:rsid w:val="00812FD0"/>
    <w:rsid w:val="00814BEA"/>
    <w:rsid w:val="00822DFB"/>
    <w:rsid w:val="00824C91"/>
    <w:rsid w:val="00825BE7"/>
    <w:rsid w:val="00825EA0"/>
    <w:rsid w:val="00826EF3"/>
    <w:rsid w:val="00830352"/>
    <w:rsid w:val="0083397B"/>
    <w:rsid w:val="00833BF7"/>
    <w:rsid w:val="00833D71"/>
    <w:rsid w:val="00835550"/>
    <w:rsid w:val="008364EA"/>
    <w:rsid w:val="008366DF"/>
    <w:rsid w:val="00837196"/>
    <w:rsid w:val="00841857"/>
    <w:rsid w:val="0084298F"/>
    <w:rsid w:val="00844E9E"/>
    <w:rsid w:val="00846DAD"/>
    <w:rsid w:val="00850478"/>
    <w:rsid w:val="008518A2"/>
    <w:rsid w:val="008542C1"/>
    <w:rsid w:val="00854A0A"/>
    <w:rsid w:val="00855178"/>
    <w:rsid w:val="008558D1"/>
    <w:rsid w:val="00856A80"/>
    <w:rsid w:val="00861153"/>
    <w:rsid w:val="00862555"/>
    <w:rsid w:val="008628DF"/>
    <w:rsid w:val="00863D46"/>
    <w:rsid w:val="0086528E"/>
    <w:rsid w:val="00870D8B"/>
    <w:rsid w:val="00871FBB"/>
    <w:rsid w:val="008725FA"/>
    <w:rsid w:val="00874F65"/>
    <w:rsid w:val="0087632E"/>
    <w:rsid w:val="00876FDF"/>
    <w:rsid w:val="008825A1"/>
    <w:rsid w:val="00882CAA"/>
    <w:rsid w:val="008850FA"/>
    <w:rsid w:val="008914AB"/>
    <w:rsid w:val="00891666"/>
    <w:rsid w:val="00893CFB"/>
    <w:rsid w:val="00895EC3"/>
    <w:rsid w:val="00896911"/>
    <w:rsid w:val="00896AF0"/>
    <w:rsid w:val="00896FCB"/>
    <w:rsid w:val="00897CA0"/>
    <w:rsid w:val="008A2DA4"/>
    <w:rsid w:val="008A453A"/>
    <w:rsid w:val="008A7772"/>
    <w:rsid w:val="008A7CE1"/>
    <w:rsid w:val="008B1F16"/>
    <w:rsid w:val="008B395A"/>
    <w:rsid w:val="008B4DB5"/>
    <w:rsid w:val="008B5B34"/>
    <w:rsid w:val="008B5D6F"/>
    <w:rsid w:val="008B5F5E"/>
    <w:rsid w:val="008C0A0D"/>
    <w:rsid w:val="008C12B0"/>
    <w:rsid w:val="008C4952"/>
    <w:rsid w:val="008C5AFB"/>
    <w:rsid w:val="008C73B5"/>
    <w:rsid w:val="008D259A"/>
    <w:rsid w:val="008D2AA6"/>
    <w:rsid w:val="008D37A3"/>
    <w:rsid w:val="008D67DE"/>
    <w:rsid w:val="008D6A42"/>
    <w:rsid w:val="008E0144"/>
    <w:rsid w:val="008E19BA"/>
    <w:rsid w:val="008F23A0"/>
    <w:rsid w:val="008F737B"/>
    <w:rsid w:val="009015E7"/>
    <w:rsid w:val="00905C1F"/>
    <w:rsid w:val="00906DC7"/>
    <w:rsid w:val="009102B9"/>
    <w:rsid w:val="00911150"/>
    <w:rsid w:val="0091489B"/>
    <w:rsid w:val="00916EF6"/>
    <w:rsid w:val="00920A17"/>
    <w:rsid w:val="00920BE4"/>
    <w:rsid w:val="00920F42"/>
    <w:rsid w:val="009217D5"/>
    <w:rsid w:val="00924455"/>
    <w:rsid w:val="009254C7"/>
    <w:rsid w:val="009262D6"/>
    <w:rsid w:val="00926BFF"/>
    <w:rsid w:val="00930133"/>
    <w:rsid w:val="00930FB1"/>
    <w:rsid w:val="0093218F"/>
    <w:rsid w:val="00933778"/>
    <w:rsid w:val="009343D5"/>
    <w:rsid w:val="00940676"/>
    <w:rsid w:val="00940A67"/>
    <w:rsid w:val="00942977"/>
    <w:rsid w:val="0095050D"/>
    <w:rsid w:val="00950DE6"/>
    <w:rsid w:val="00951B51"/>
    <w:rsid w:val="00951C81"/>
    <w:rsid w:val="00953051"/>
    <w:rsid w:val="0095413C"/>
    <w:rsid w:val="00955A4D"/>
    <w:rsid w:val="00955A7E"/>
    <w:rsid w:val="00956865"/>
    <w:rsid w:val="00960EAD"/>
    <w:rsid w:val="0096281F"/>
    <w:rsid w:val="009671F8"/>
    <w:rsid w:val="0097170C"/>
    <w:rsid w:val="00973150"/>
    <w:rsid w:val="0097365C"/>
    <w:rsid w:val="009747E5"/>
    <w:rsid w:val="00976DC4"/>
    <w:rsid w:val="0097704B"/>
    <w:rsid w:val="009772DD"/>
    <w:rsid w:val="009806A9"/>
    <w:rsid w:val="0098070E"/>
    <w:rsid w:val="00981BD4"/>
    <w:rsid w:val="00983016"/>
    <w:rsid w:val="00983629"/>
    <w:rsid w:val="00991499"/>
    <w:rsid w:val="00991E0F"/>
    <w:rsid w:val="00992E7C"/>
    <w:rsid w:val="009932A6"/>
    <w:rsid w:val="00993C95"/>
    <w:rsid w:val="00995724"/>
    <w:rsid w:val="00996079"/>
    <w:rsid w:val="0099701D"/>
    <w:rsid w:val="00997596"/>
    <w:rsid w:val="009A01D3"/>
    <w:rsid w:val="009A27A2"/>
    <w:rsid w:val="009A2A9F"/>
    <w:rsid w:val="009A3C19"/>
    <w:rsid w:val="009A3CF9"/>
    <w:rsid w:val="009A44CB"/>
    <w:rsid w:val="009A4E3E"/>
    <w:rsid w:val="009A5A9C"/>
    <w:rsid w:val="009A6762"/>
    <w:rsid w:val="009A6E5D"/>
    <w:rsid w:val="009B066B"/>
    <w:rsid w:val="009B133C"/>
    <w:rsid w:val="009B2D2C"/>
    <w:rsid w:val="009B5A07"/>
    <w:rsid w:val="009B61D3"/>
    <w:rsid w:val="009B69D8"/>
    <w:rsid w:val="009C5254"/>
    <w:rsid w:val="009C5A26"/>
    <w:rsid w:val="009C6726"/>
    <w:rsid w:val="009D0BD4"/>
    <w:rsid w:val="009D2048"/>
    <w:rsid w:val="009D3245"/>
    <w:rsid w:val="009D4C0C"/>
    <w:rsid w:val="009D6029"/>
    <w:rsid w:val="009D7543"/>
    <w:rsid w:val="009E1854"/>
    <w:rsid w:val="009E1D22"/>
    <w:rsid w:val="009E2FDE"/>
    <w:rsid w:val="009E4840"/>
    <w:rsid w:val="009F021B"/>
    <w:rsid w:val="009F06C9"/>
    <w:rsid w:val="009F1FEB"/>
    <w:rsid w:val="009F2FF8"/>
    <w:rsid w:val="009F5280"/>
    <w:rsid w:val="009F574D"/>
    <w:rsid w:val="009F6963"/>
    <w:rsid w:val="00A0582F"/>
    <w:rsid w:val="00A070F8"/>
    <w:rsid w:val="00A11625"/>
    <w:rsid w:val="00A129DF"/>
    <w:rsid w:val="00A15DD5"/>
    <w:rsid w:val="00A15DDD"/>
    <w:rsid w:val="00A16F6F"/>
    <w:rsid w:val="00A241BC"/>
    <w:rsid w:val="00A24503"/>
    <w:rsid w:val="00A25070"/>
    <w:rsid w:val="00A25831"/>
    <w:rsid w:val="00A25DCC"/>
    <w:rsid w:val="00A3101C"/>
    <w:rsid w:val="00A342BA"/>
    <w:rsid w:val="00A373DF"/>
    <w:rsid w:val="00A4109F"/>
    <w:rsid w:val="00A42716"/>
    <w:rsid w:val="00A50361"/>
    <w:rsid w:val="00A505FF"/>
    <w:rsid w:val="00A539E5"/>
    <w:rsid w:val="00A5406A"/>
    <w:rsid w:val="00A55989"/>
    <w:rsid w:val="00A560BB"/>
    <w:rsid w:val="00A56966"/>
    <w:rsid w:val="00A6023C"/>
    <w:rsid w:val="00A60DF9"/>
    <w:rsid w:val="00A64EA3"/>
    <w:rsid w:val="00A6777D"/>
    <w:rsid w:val="00A71337"/>
    <w:rsid w:val="00A746A2"/>
    <w:rsid w:val="00A762D9"/>
    <w:rsid w:val="00A818ED"/>
    <w:rsid w:val="00A81A82"/>
    <w:rsid w:val="00A81FCB"/>
    <w:rsid w:val="00A8241F"/>
    <w:rsid w:val="00A83CA0"/>
    <w:rsid w:val="00A850FE"/>
    <w:rsid w:val="00A85ED7"/>
    <w:rsid w:val="00A86B6B"/>
    <w:rsid w:val="00A90EB5"/>
    <w:rsid w:val="00A94619"/>
    <w:rsid w:val="00A956EE"/>
    <w:rsid w:val="00A96EF8"/>
    <w:rsid w:val="00AA09DC"/>
    <w:rsid w:val="00AA24C5"/>
    <w:rsid w:val="00AA36F1"/>
    <w:rsid w:val="00AA3F46"/>
    <w:rsid w:val="00AA5C04"/>
    <w:rsid w:val="00AB00C7"/>
    <w:rsid w:val="00AB12CA"/>
    <w:rsid w:val="00AB15FB"/>
    <w:rsid w:val="00AB5F6A"/>
    <w:rsid w:val="00AC11C2"/>
    <w:rsid w:val="00AC1618"/>
    <w:rsid w:val="00AC248A"/>
    <w:rsid w:val="00AC425B"/>
    <w:rsid w:val="00AC5C9B"/>
    <w:rsid w:val="00AD2C83"/>
    <w:rsid w:val="00AD7C86"/>
    <w:rsid w:val="00AE039F"/>
    <w:rsid w:val="00AE1142"/>
    <w:rsid w:val="00AE3B51"/>
    <w:rsid w:val="00AE4B3A"/>
    <w:rsid w:val="00AE7C98"/>
    <w:rsid w:val="00AF0E15"/>
    <w:rsid w:val="00AF1974"/>
    <w:rsid w:val="00AF2505"/>
    <w:rsid w:val="00AF42AA"/>
    <w:rsid w:val="00AF5BEB"/>
    <w:rsid w:val="00AF758A"/>
    <w:rsid w:val="00B0004F"/>
    <w:rsid w:val="00B01770"/>
    <w:rsid w:val="00B01FFE"/>
    <w:rsid w:val="00B035B3"/>
    <w:rsid w:val="00B0591C"/>
    <w:rsid w:val="00B0636D"/>
    <w:rsid w:val="00B06A7D"/>
    <w:rsid w:val="00B10ED2"/>
    <w:rsid w:val="00B11667"/>
    <w:rsid w:val="00B1174C"/>
    <w:rsid w:val="00B15C42"/>
    <w:rsid w:val="00B167DB"/>
    <w:rsid w:val="00B21E30"/>
    <w:rsid w:val="00B25A42"/>
    <w:rsid w:val="00B323AA"/>
    <w:rsid w:val="00B3313F"/>
    <w:rsid w:val="00B3316A"/>
    <w:rsid w:val="00B40784"/>
    <w:rsid w:val="00B414DE"/>
    <w:rsid w:val="00B435D6"/>
    <w:rsid w:val="00B44F8B"/>
    <w:rsid w:val="00B4622F"/>
    <w:rsid w:val="00B50DA1"/>
    <w:rsid w:val="00B56BE6"/>
    <w:rsid w:val="00B60404"/>
    <w:rsid w:val="00B64D27"/>
    <w:rsid w:val="00B6531F"/>
    <w:rsid w:val="00B740A0"/>
    <w:rsid w:val="00B763E9"/>
    <w:rsid w:val="00B807DC"/>
    <w:rsid w:val="00B810DF"/>
    <w:rsid w:val="00B84289"/>
    <w:rsid w:val="00B85895"/>
    <w:rsid w:val="00B92852"/>
    <w:rsid w:val="00B92C4E"/>
    <w:rsid w:val="00B92DDC"/>
    <w:rsid w:val="00B9430E"/>
    <w:rsid w:val="00BA0D81"/>
    <w:rsid w:val="00BA10FA"/>
    <w:rsid w:val="00BA1B76"/>
    <w:rsid w:val="00BA1EB2"/>
    <w:rsid w:val="00BA1EB7"/>
    <w:rsid w:val="00BB2477"/>
    <w:rsid w:val="00BB347C"/>
    <w:rsid w:val="00BB39A6"/>
    <w:rsid w:val="00BB41BB"/>
    <w:rsid w:val="00BC0933"/>
    <w:rsid w:val="00BC2950"/>
    <w:rsid w:val="00BC2F14"/>
    <w:rsid w:val="00BC4260"/>
    <w:rsid w:val="00BC5E15"/>
    <w:rsid w:val="00BC754D"/>
    <w:rsid w:val="00BC7810"/>
    <w:rsid w:val="00BD08B8"/>
    <w:rsid w:val="00BD0D82"/>
    <w:rsid w:val="00BD3D44"/>
    <w:rsid w:val="00BE1C1C"/>
    <w:rsid w:val="00BE32BE"/>
    <w:rsid w:val="00BE338D"/>
    <w:rsid w:val="00BE42E2"/>
    <w:rsid w:val="00BE464B"/>
    <w:rsid w:val="00BE4FBC"/>
    <w:rsid w:val="00BE5153"/>
    <w:rsid w:val="00BE6DB2"/>
    <w:rsid w:val="00BE7747"/>
    <w:rsid w:val="00BF2849"/>
    <w:rsid w:val="00BF4078"/>
    <w:rsid w:val="00BF5BD3"/>
    <w:rsid w:val="00BF5D07"/>
    <w:rsid w:val="00BF682E"/>
    <w:rsid w:val="00C005DC"/>
    <w:rsid w:val="00C00FC2"/>
    <w:rsid w:val="00C0326E"/>
    <w:rsid w:val="00C0528F"/>
    <w:rsid w:val="00C0765C"/>
    <w:rsid w:val="00C11CC7"/>
    <w:rsid w:val="00C13833"/>
    <w:rsid w:val="00C1762D"/>
    <w:rsid w:val="00C20939"/>
    <w:rsid w:val="00C22E45"/>
    <w:rsid w:val="00C24806"/>
    <w:rsid w:val="00C25BD8"/>
    <w:rsid w:val="00C26DB0"/>
    <w:rsid w:val="00C27D66"/>
    <w:rsid w:val="00C302B1"/>
    <w:rsid w:val="00C32950"/>
    <w:rsid w:val="00C36098"/>
    <w:rsid w:val="00C36217"/>
    <w:rsid w:val="00C37113"/>
    <w:rsid w:val="00C374B0"/>
    <w:rsid w:val="00C37921"/>
    <w:rsid w:val="00C42B80"/>
    <w:rsid w:val="00C44FCD"/>
    <w:rsid w:val="00C46BD2"/>
    <w:rsid w:val="00C5315C"/>
    <w:rsid w:val="00C53AF1"/>
    <w:rsid w:val="00C5487B"/>
    <w:rsid w:val="00C54A61"/>
    <w:rsid w:val="00C54C34"/>
    <w:rsid w:val="00C5525B"/>
    <w:rsid w:val="00C61D7D"/>
    <w:rsid w:val="00C63CB9"/>
    <w:rsid w:val="00C662A2"/>
    <w:rsid w:val="00C70F8B"/>
    <w:rsid w:val="00C711A2"/>
    <w:rsid w:val="00C7753F"/>
    <w:rsid w:val="00C826E1"/>
    <w:rsid w:val="00C96878"/>
    <w:rsid w:val="00C96E61"/>
    <w:rsid w:val="00C971D4"/>
    <w:rsid w:val="00C9754B"/>
    <w:rsid w:val="00CA0CFD"/>
    <w:rsid w:val="00CA38F5"/>
    <w:rsid w:val="00CA6D15"/>
    <w:rsid w:val="00CB2000"/>
    <w:rsid w:val="00CB2290"/>
    <w:rsid w:val="00CB2EB9"/>
    <w:rsid w:val="00CB357A"/>
    <w:rsid w:val="00CB38FA"/>
    <w:rsid w:val="00CB424E"/>
    <w:rsid w:val="00CB4F1E"/>
    <w:rsid w:val="00CB5667"/>
    <w:rsid w:val="00CB6327"/>
    <w:rsid w:val="00CC0302"/>
    <w:rsid w:val="00CC191A"/>
    <w:rsid w:val="00CC1F78"/>
    <w:rsid w:val="00CC3123"/>
    <w:rsid w:val="00CD08E3"/>
    <w:rsid w:val="00CD2C91"/>
    <w:rsid w:val="00CD432C"/>
    <w:rsid w:val="00CD7732"/>
    <w:rsid w:val="00CD7886"/>
    <w:rsid w:val="00CE2385"/>
    <w:rsid w:val="00CE32E7"/>
    <w:rsid w:val="00CE3ABE"/>
    <w:rsid w:val="00CE6605"/>
    <w:rsid w:val="00CE76D5"/>
    <w:rsid w:val="00CF1223"/>
    <w:rsid w:val="00CF1A1F"/>
    <w:rsid w:val="00CF1D74"/>
    <w:rsid w:val="00CF1EB5"/>
    <w:rsid w:val="00CF2C3E"/>
    <w:rsid w:val="00CF44F3"/>
    <w:rsid w:val="00CF455C"/>
    <w:rsid w:val="00CF5C12"/>
    <w:rsid w:val="00D00AB9"/>
    <w:rsid w:val="00D02688"/>
    <w:rsid w:val="00D042BD"/>
    <w:rsid w:val="00D06AF7"/>
    <w:rsid w:val="00D1199F"/>
    <w:rsid w:val="00D12A1D"/>
    <w:rsid w:val="00D146AC"/>
    <w:rsid w:val="00D1562A"/>
    <w:rsid w:val="00D210EB"/>
    <w:rsid w:val="00D21C14"/>
    <w:rsid w:val="00D21F35"/>
    <w:rsid w:val="00D21F63"/>
    <w:rsid w:val="00D21FCC"/>
    <w:rsid w:val="00D22600"/>
    <w:rsid w:val="00D243F9"/>
    <w:rsid w:val="00D249AF"/>
    <w:rsid w:val="00D27EE2"/>
    <w:rsid w:val="00D31118"/>
    <w:rsid w:val="00D3356A"/>
    <w:rsid w:val="00D40B14"/>
    <w:rsid w:val="00D44918"/>
    <w:rsid w:val="00D51DCE"/>
    <w:rsid w:val="00D51E7D"/>
    <w:rsid w:val="00D5351B"/>
    <w:rsid w:val="00D53E4F"/>
    <w:rsid w:val="00D54EEB"/>
    <w:rsid w:val="00D5663D"/>
    <w:rsid w:val="00D6067C"/>
    <w:rsid w:val="00D6274E"/>
    <w:rsid w:val="00D635CC"/>
    <w:rsid w:val="00D7118D"/>
    <w:rsid w:val="00D711BF"/>
    <w:rsid w:val="00D71F5D"/>
    <w:rsid w:val="00D73136"/>
    <w:rsid w:val="00D75606"/>
    <w:rsid w:val="00D82EE4"/>
    <w:rsid w:val="00D846C9"/>
    <w:rsid w:val="00D84A71"/>
    <w:rsid w:val="00D86679"/>
    <w:rsid w:val="00D9247B"/>
    <w:rsid w:val="00D92F0C"/>
    <w:rsid w:val="00D93BB6"/>
    <w:rsid w:val="00DA401E"/>
    <w:rsid w:val="00DA55CF"/>
    <w:rsid w:val="00DA7161"/>
    <w:rsid w:val="00DA725A"/>
    <w:rsid w:val="00DB0AA5"/>
    <w:rsid w:val="00DB0D41"/>
    <w:rsid w:val="00DB2161"/>
    <w:rsid w:val="00DB3CD6"/>
    <w:rsid w:val="00DB54CE"/>
    <w:rsid w:val="00DB554B"/>
    <w:rsid w:val="00DB703A"/>
    <w:rsid w:val="00DB783A"/>
    <w:rsid w:val="00DB795A"/>
    <w:rsid w:val="00DC6E17"/>
    <w:rsid w:val="00DD0EE4"/>
    <w:rsid w:val="00DD17A3"/>
    <w:rsid w:val="00DD28AA"/>
    <w:rsid w:val="00DD3C35"/>
    <w:rsid w:val="00DE15C6"/>
    <w:rsid w:val="00DE1E8D"/>
    <w:rsid w:val="00DE2104"/>
    <w:rsid w:val="00DE3AAB"/>
    <w:rsid w:val="00DE3C3E"/>
    <w:rsid w:val="00DE6401"/>
    <w:rsid w:val="00DF16A0"/>
    <w:rsid w:val="00DF1819"/>
    <w:rsid w:val="00DF2106"/>
    <w:rsid w:val="00DF2837"/>
    <w:rsid w:val="00DF33C3"/>
    <w:rsid w:val="00DF45C9"/>
    <w:rsid w:val="00DF6CD2"/>
    <w:rsid w:val="00DF74CA"/>
    <w:rsid w:val="00E01102"/>
    <w:rsid w:val="00E060ED"/>
    <w:rsid w:val="00E07A71"/>
    <w:rsid w:val="00E103CE"/>
    <w:rsid w:val="00E161C1"/>
    <w:rsid w:val="00E205F4"/>
    <w:rsid w:val="00E216C7"/>
    <w:rsid w:val="00E24C06"/>
    <w:rsid w:val="00E2672B"/>
    <w:rsid w:val="00E27A90"/>
    <w:rsid w:val="00E30A31"/>
    <w:rsid w:val="00E30C09"/>
    <w:rsid w:val="00E31717"/>
    <w:rsid w:val="00E334FE"/>
    <w:rsid w:val="00E33CD4"/>
    <w:rsid w:val="00E34496"/>
    <w:rsid w:val="00E40628"/>
    <w:rsid w:val="00E41B95"/>
    <w:rsid w:val="00E41FDB"/>
    <w:rsid w:val="00E46EDA"/>
    <w:rsid w:val="00E52A7B"/>
    <w:rsid w:val="00E53B90"/>
    <w:rsid w:val="00E55B82"/>
    <w:rsid w:val="00E55D5C"/>
    <w:rsid w:val="00E56BBC"/>
    <w:rsid w:val="00E62CB4"/>
    <w:rsid w:val="00E643D1"/>
    <w:rsid w:val="00E660DF"/>
    <w:rsid w:val="00E6615E"/>
    <w:rsid w:val="00E672A5"/>
    <w:rsid w:val="00E725CB"/>
    <w:rsid w:val="00E727D0"/>
    <w:rsid w:val="00E74DCA"/>
    <w:rsid w:val="00E81753"/>
    <w:rsid w:val="00E837C9"/>
    <w:rsid w:val="00E84D74"/>
    <w:rsid w:val="00E85F4B"/>
    <w:rsid w:val="00E86803"/>
    <w:rsid w:val="00E87034"/>
    <w:rsid w:val="00E91391"/>
    <w:rsid w:val="00E92086"/>
    <w:rsid w:val="00E9239C"/>
    <w:rsid w:val="00E92C9B"/>
    <w:rsid w:val="00E940F5"/>
    <w:rsid w:val="00EA76DB"/>
    <w:rsid w:val="00EA788E"/>
    <w:rsid w:val="00EB14B3"/>
    <w:rsid w:val="00EB2BD0"/>
    <w:rsid w:val="00EB5DDC"/>
    <w:rsid w:val="00EB7057"/>
    <w:rsid w:val="00EB79F8"/>
    <w:rsid w:val="00EC47F8"/>
    <w:rsid w:val="00EC7894"/>
    <w:rsid w:val="00ED155C"/>
    <w:rsid w:val="00ED5F24"/>
    <w:rsid w:val="00ED7726"/>
    <w:rsid w:val="00EE25E9"/>
    <w:rsid w:val="00EE3D5D"/>
    <w:rsid w:val="00EE5633"/>
    <w:rsid w:val="00EE6146"/>
    <w:rsid w:val="00EE7275"/>
    <w:rsid w:val="00EE7FA3"/>
    <w:rsid w:val="00EF0BF8"/>
    <w:rsid w:val="00EF2C8B"/>
    <w:rsid w:val="00EF7DC1"/>
    <w:rsid w:val="00F02F76"/>
    <w:rsid w:val="00F10B4C"/>
    <w:rsid w:val="00F11714"/>
    <w:rsid w:val="00F12C4B"/>
    <w:rsid w:val="00F133B7"/>
    <w:rsid w:val="00F13F42"/>
    <w:rsid w:val="00F14F2C"/>
    <w:rsid w:val="00F17D9C"/>
    <w:rsid w:val="00F22ADB"/>
    <w:rsid w:val="00F230FE"/>
    <w:rsid w:val="00F24A8F"/>
    <w:rsid w:val="00F25D81"/>
    <w:rsid w:val="00F260D4"/>
    <w:rsid w:val="00F35FD9"/>
    <w:rsid w:val="00F377C0"/>
    <w:rsid w:val="00F40D07"/>
    <w:rsid w:val="00F42E2D"/>
    <w:rsid w:val="00F43A28"/>
    <w:rsid w:val="00F44B6B"/>
    <w:rsid w:val="00F46C18"/>
    <w:rsid w:val="00F471AC"/>
    <w:rsid w:val="00F50B15"/>
    <w:rsid w:val="00F50C83"/>
    <w:rsid w:val="00F51B84"/>
    <w:rsid w:val="00F51EDA"/>
    <w:rsid w:val="00F556FE"/>
    <w:rsid w:val="00F61176"/>
    <w:rsid w:val="00F63BF4"/>
    <w:rsid w:val="00F644C4"/>
    <w:rsid w:val="00F6772E"/>
    <w:rsid w:val="00F7585F"/>
    <w:rsid w:val="00F779F6"/>
    <w:rsid w:val="00F80A03"/>
    <w:rsid w:val="00F8429D"/>
    <w:rsid w:val="00F862EE"/>
    <w:rsid w:val="00F900C2"/>
    <w:rsid w:val="00F901F1"/>
    <w:rsid w:val="00F93CB1"/>
    <w:rsid w:val="00FA1673"/>
    <w:rsid w:val="00FA70A1"/>
    <w:rsid w:val="00FA7182"/>
    <w:rsid w:val="00FA755C"/>
    <w:rsid w:val="00FB0DF0"/>
    <w:rsid w:val="00FB0FEE"/>
    <w:rsid w:val="00FB63AB"/>
    <w:rsid w:val="00FC1196"/>
    <w:rsid w:val="00FC35F5"/>
    <w:rsid w:val="00FC3840"/>
    <w:rsid w:val="00FC74E8"/>
    <w:rsid w:val="00FD0E62"/>
    <w:rsid w:val="00FD37B6"/>
    <w:rsid w:val="00FD6C52"/>
    <w:rsid w:val="00FD7327"/>
    <w:rsid w:val="00FE1AEF"/>
    <w:rsid w:val="00FE4D11"/>
    <w:rsid w:val="00FE610F"/>
    <w:rsid w:val="00FE6804"/>
    <w:rsid w:val="00FF264D"/>
    <w:rsid w:val="00FF2B95"/>
    <w:rsid w:val="00FF58DA"/>
    <w:rsid w:val="00FF5E89"/>
    <w:rsid w:val="00FF7475"/>
    <w:rsid w:val="00FF793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5A83"/>
  <w15:docId w15:val="{726AB3B5-23B8-4B9E-A33F-AEC052F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24A0"/>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rPr>
      <w:rFonts w:ascii="Cambria" w:eastAsia="Cambria" w:hAnsi="Cambria" w:cs="Cambria"/>
      <w:i/>
      <w:color w:val="4F81BD"/>
      <w:sz w:val="24"/>
      <w:szCs w:val="24"/>
    </w:rPr>
  </w:style>
  <w:style w:type="table" w:customStyle="1" w:styleId="1">
    <w:name w:val="1"/>
    <w:basedOn w:val="TableNormal"/>
    <w:tblPr>
      <w:tblStyleRowBandSize w:val="1"/>
      <w:tblStyleColBandSize w:val="1"/>
    </w:tblPr>
  </w:style>
  <w:style w:type="paragraph" w:styleId="NoSpacing">
    <w:name w:val="No Spacing"/>
    <w:uiPriority w:val="1"/>
    <w:qFormat/>
    <w:rsid w:val="002F7FD1"/>
    <w:pPr>
      <w:suppressAutoHyphens/>
    </w:pPr>
    <w:rPr>
      <w:lang w:eastAsia="ar-SA"/>
    </w:rPr>
  </w:style>
  <w:style w:type="paragraph" w:styleId="NormalWeb">
    <w:name w:val="Normal (Web)"/>
    <w:basedOn w:val="Normal"/>
    <w:uiPriority w:val="99"/>
    <w:unhideWhenUsed/>
    <w:rsid w:val="002F7FD1"/>
    <w:pPr>
      <w:ind w:firstLine="567"/>
      <w:jc w:val="both"/>
    </w:pPr>
    <w:rPr>
      <w:sz w:val="24"/>
      <w:szCs w:val="24"/>
      <w:lang w:val="ro-RO" w:eastAsia="ro-RO"/>
    </w:rPr>
  </w:style>
  <w:style w:type="paragraph" w:styleId="ListParagraph">
    <w:name w:val="List Paragraph"/>
    <w:basedOn w:val="Normal"/>
    <w:link w:val="ListParagraphChar"/>
    <w:uiPriority w:val="34"/>
    <w:qFormat/>
    <w:rsid w:val="002F7FD1"/>
    <w:pPr>
      <w:suppressAutoHyphens/>
      <w:ind w:left="720"/>
      <w:contextualSpacing/>
    </w:pPr>
    <w:rPr>
      <w:rFonts w:eastAsiaTheme="minorEastAsia" w:cstheme="minorBidi"/>
      <w:lang w:eastAsia="ar-SA"/>
    </w:rPr>
  </w:style>
  <w:style w:type="character" w:customStyle="1" w:styleId="ListParagraphChar">
    <w:name w:val="List Paragraph Char"/>
    <w:link w:val="ListParagraph"/>
    <w:uiPriority w:val="34"/>
    <w:locked/>
    <w:rsid w:val="002F7FD1"/>
    <w:rPr>
      <w:rFonts w:eastAsiaTheme="minorEastAsia" w:cstheme="minorBidi"/>
      <w:lang w:eastAsia="ar-SA"/>
    </w:rPr>
  </w:style>
  <w:style w:type="paragraph" w:customStyle="1" w:styleId="stitle-article-norm">
    <w:name w:val="stitle-article-norm"/>
    <w:basedOn w:val="Normal"/>
    <w:rsid w:val="007E1A8E"/>
    <w:pPr>
      <w:spacing w:before="100" w:beforeAutospacing="1" w:after="100" w:afterAutospacing="1"/>
    </w:pPr>
    <w:rPr>
      <w:sz w:val="24"/>
      <w:szCs w:val="24"/>
      <w:lang w:val="ru-RU"/>
    </w:rPr>
  </w:style>
  <w:style w:type="paragraph" w:customStyle="1" w:styleId="norm">
    <w:name w:val="norm"/>
    <w:basedOn w:val="Normal"/>
    <w:rsid w:val="007E1A8E"/>
    <w:pPr>
      <w:spacing w:before="100" w:beforeAutospacing="1" w:after="100" w:afterAutospacing="1"/>
    </w:pPr>
    <w:rPr>
      <w:sz w:val="24"/>
      <w:szCs w:val="24"/>
      <w:lang w:val="ru-RU"/>
    </w:rPr>
  </w:style>
  <w:style w:type="paragraph" w:customStyle="1" w:styleId="Normal1">
    <w:name w:val="Normal1"/>
    <w:basedOn w:val="Normal"/>
    <w:rsid w:val="00512DF1"/>
    <w:pPr>
      <w:spacing w:before="100" w:beforeAutospacing="1" w:after="100" w:afterAutospacing="1"/>
    </w:pPr>
    <w:rPr>
      <w:sz w:val="24"/>
      <w:szCs w:val="24"/>
      <w:lang w:val="ru-RU"/>
    </w:rPr>
  </w:style>
  <w:style w:type="numbering" w:customStyle="1" w:styleId="NoList1">
    <w:name w:val="No List1"/>
    <w:next w:val="NoList"/>
    <w:uiPriority w:val="99"/>
    <w:semiHidden/>
    <w:unhideWhenUsed/>
    <w:rsid w:val="004F7539"/>
  </w:style>
  <w:style w:type="paragraph" w:customStyle="1" w:styleId="msonormal0">
    <w:name w:val="msonormal"/>
    <w:basedOn w:val="Normal"/>
    <w:rsid w:val="004F7539"/>
    <w:pPr>
      <w:spacing w:before="100" w:beforeAutospacing="1" w:after="100" w:afterAutospacing="1"/>
    </w:pPr>
    <w:rPr>
      <w:sz w:val="24"/>
      <w:szCs w:val="24"/>
      <w:lang w:eastAsia="en-US"/>
    </w:rPr>
  </w:style>
  <w:style w:type="paragraph" w:customStyle="1" w:styleId="paragraph">
    <w:name w:val="paragraph"/>
    <w:basedOn w:val="Normal"/>
    <w:rsid w:val="004F7539"/>
    <w:pPr>
      <w:spacing w:before="100" w:beforeAutospacing="1" w:after="100" w:afterAutospacing="1"/>
    </w:pPr>
    <w:rPr>
      <w:sz w:val="24"/>
      <w:szCs w:val="24"/>
      <w:lang w:eastAsia="en-US"/>
    </w:rPr>
  </w:style>
  <w:style w:type="character" w:customStyle="1" w:styleId="textrun">
    <w:name w:val="textrun"/>
    <w:basedOn w:val="DefaultParagraphFont"/>
    <w:rsid w:val="004F7539"/>
  </w:style>
  <w:style w:type="character" w:customStyle="1" w:styleId="normaltextrun">
    <w:name w:val="normaltextrun"/>
    <w:basedOn w:val="DefaultParagraphFont"/>
    <w:rsid w:val="004F7539"/>
  </w:style>
  <w:style w:type="character" w:customStyle="1" w:styleId="eop">
    <w:name w:val="eop"/>
    <w:basedOn w:val="DefaultParagraphFont"/>
    <w:rsid w:val="004F7539"/>
  </w:style>
  <w:style w:type="character" w:styleId="Hyperlink">
    <w:name w:val="Hyperlink"/>
    <w:basedOn w:val="DefaultParagraphFont"/>
    <w:uiPriority w:val="99"/>
    <w:unhideWhenUsed/>
    <w:rsid w:val="004F7539"/>
    <w:rPr>
      <w:color w:val="0000FF"/>
      <w:u w:val="single"/>
    </w:rPr>
  </w:style>
  <w:style w:type="character" w:styleId="FollowedHyperlink">
    <w:name w:val="FollowedHyperlink"/>
    <w:basedOn w:val="DefaultParagraphFont"/>
    <w:uiPriority w:val="99"/>
    <w:semiHidden/>
    <w:unhideWhenUsed/>
    <w:rsid w:val="004F7539"/>
    <w:rPr>
      <w:color w:val="800080"/>
      <w:u w:val="single"/>
    </w:rPr>
  </w:style>
  <w:style w:type="character" w:customStyle="1" w:styleId="tabrun">
    <w:name w:val="tabrun"/>
    <w:basedOn w:val="DefaultParagraphFont"/>
    <w:rsid w:val="004F7539"/>
  </w:style>
  <w:style w:type="character" w:customStyle="1" w:styleId="tabchar">
    <w:name w:val="tabchar"/>
    <w:basedOn w:val="DefaultParagraphFont"/>
    <w:rsid w:val="004F7539"/>
  </w:style>
  <w:style w:type="character" w:customStyle="1" w:styleId="tableaderchars">
    <w:name w:val="tableaderchars"/>
    <w:basedOn w:val="DefaultParagraphFont"/>
    <w:rsid w:val="004F7539"/>
  </w:style>
  <w:style w:type="paragraph" w:styleId="BalloonText">
    <w:name w:val="Balloon Text"/>
    <w:basedOn w:val="Normal"/>
    <w:link w:val="BalloonTextChar"/>
    <w:uiPriority w:val="99"/>
    <w:semiHidden/>
    <w:unhideWhenUsed/>
    <w:rsid w:val="00DA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25A"/>
    <w:rPr>
      <w:rFonts w:ascii="Segoe UI" w:hAnsi="Segoe UI" w:cs="Segoe UI"/>
      <w:sz w:val="18"/>
      <w:szCs w:val="18"/>
    </w:rPr>
  </w:style>
  <w:style w:type="paragraph" w:customStyle="1" w:styleId="cn">
    <w:name w:val="cn"/>
    <w:basedOn w:val="Normal"/>
    <w:rsid w:val="00395347"/>
    <w:pPr>
      <w:jc w:val="center"/>
    </w:pPr>
    <w:rPr>
      <w:sz w:val="24"/>
      <w:szCs w:val="24"/>
      <w:lang w:eastAsia="en-US"/>
    </w:rPr>
  </w:style>
  <w:style w:type="character" w:styleId="PlaceholderText">
    <w:name w:val="Placeholder Text"/>
    <w:basedOn w:val="DefaultParagraphFont"/>
    <w:uiPriority w:val="99"/>
    <w:semiHidden/>
    <w:rsid w:val="004D0045"/>
    <w:rPr>
      <w:color w:val="808080"/>
    </w:rPr>
  </w:style>
  <w:style w:type="paragraph" w:styleId="Revision">
    <w:name w:val="Revision"/>
    <w:hidden/>
    <w:uiPriority w:val="99"/>
    <w:semiHidden/>
    <w:rsid w:val="00F02F76"/>
  </w:style>
  <w:style w:type="paragraph" w:customStyle="1" w:styleId="rvps7">
    <w:name w:val="rvps7"/>
    <w:basedOn w:val="Normal"/>
    <w:rsid w:val="00485F66"/>
    <w:pPr>
      <w:spacing w:before="100" w:beforeAutospacing="1" w:after="100" w:afterAutospacing="1"/>
    </w:pPr>
    <w:rPr>
      <w:sz w:val="24"/>
      <w:szCs w:val="24"/>
      <w:lang w:val="ro" w:eastAsia="uk-UA"/>
    </w:rPr>
  </w:style>
  <w:style w:type="character" w:customStyle="1" w:styleId="rvts15">
    <w:name w:val="rvts15"/>
    <w:rsid w:val="00485F66"/>
  </w:style>
  <w:style w:type="paragraph" w:customStyle="1" w:styleId="MediumGrid1-Accent21">
    <w:name w:val="Medium Grid 1 - Accent 21"/>
    <w:basedOn w:val="Normal"/>
    <w:link w:val="MediumGrid1-Accent2Char"/>
    <w:uiPriority w:val="34"/>
    <w:qFormat/>
    <w:rsid w:val="00BA1EB7"/>
    <w:pPr>
      <w:spacing w:after="200" w:line="276" w:lineRule="auto"/>
      <w:ind w:left="708"/>
    </w:pPr>
    <w:rPr>
      <w:rFonts w:ascii="Calibri" w:eastAsia="Calibri" w:hAnsi="Calibri"/>
      <w:sz w:val="22"/>
      <w:szCs w:val="22"/>
      <w:lang w:eastAsia="en-US"/>
    </w:rPr>
  </w:style>
  <w:style w:type="character" w:customStyle="1" w:styleId="MediumGrid1-Accent2Char">
    <w:name w:val="Medium Grid 1 - Accent 2 Char"/>
    <w:link w:val="MediumGrid1-Accent21"/>
    <w:uiPriority w:val="34"/>
    <w:locked/>
    <w:rsid w:val="00BA1EB7"/>
    <w:rPr>
      <w:rFonts w:ascii="Calibri" w:eastAsia="Calibri" w:hAnsi="Calibri"/>
      <w:sz w:val="22"/>
      <w:szCs w:val="22"/>
      <w:lang w:eastAsia="en-US"/>
    </w:rPr>
  </w:style>
  <w:style w:type="paragraph" w:customStyle="1" w:styleId="rvps2">
    <w:name w:val="rvps2"/>
    <w:basedOn w:val="Normal"/>
    <w:rsid w:val="00BA1EB7"/>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7103">
      <w:bodyDiv w:val="1"/>
      <w:marLeft w:val="0"/>
      <w:marRight w:val="0"/>
      <w:marTop w:val="0"/>
      <w:marBottom w:val="0"/>
      <w:divBdr>
        <w:top w:val="none" w:sz="0" w:space="0" w:color="auto"/>
        <w:left w:val="none" w:sz="0" w:space="0" w:color="auto"/>
        <w:bottom w:val="none" w:sz="0" w:space="0" w:color="auto"/>
        <w:right w:val="none" w:sz="0" w:space="0" w:color="auto"/>
      </w:divBdr>
    </w:div>
    <w:div w:id="357433847">
      <w:bodyDiv w:val="1"/>
      <w:marLeft w:val="0"/>
      <w:marRight w:val="0"/>
      <w:marTop w:val="0"/>
      <w:marBottom w:val="0"/>
      <w:divBdr>
        <w:top w:val="none" w:sz="0" w:space="0" w:color="auto"/>
        <w:left w:val="none" w:sz="0" w:space="0" w:color="auto"/>
        <w:bottom w:val="none" w:sz="0" w:space="0" w:color="auto"/>
        <w:right w:val="none" w:sz="0" w:space="0" w:color="auto"/>
      </w:divBdr>
    </w:div>
    <w:div w:id="379205085">
      <w:bodyDiv w:val="1"/>
      <w:marLeft w:val="0"/>
      <w:marRight w:val="0"/>
      <w:marTop w:val="0"/>
      <w:marBottom w:val="0"/>
      <w:divBdr>
        <w:top w:val="none" w:sz="0" w:space="0" w:color="auto"/>
        <w:left w:val="none" w:sz="0" w:space="0" w:color="auto"/>
        <w:bottom w:val="none" w:sz="0" w:space="0" w:color="auto"/>
        <w:right w:val="none" w:sz="0" w:space="0" w:color="auto"/>
      </w:divBdr>
    </w:div>
    <w:div w:id="405611813">
      <w:bodyDiv w:val="1"/>
      <w:marLeft w:val="0"/>
      <w:marRight w:val="0"/>
      <w:marTop w:val="0"/>
      <w:marBottom w:val="0"/>
      <w:divBdr>
        <w:top w:val="none" w:sz="0" w:space="0" w:color="auto"/>
        <w:left w:val="none" w:sz="0" w:space="0" w:color="auto"/>
        <w:bottom w:val="none" w:sz="0" w:space="0" w:color="auto"/>
        <w:right w:val="none" w:sz="0" w:space="0" w:color="auto"/>
      </w:divBdr>
    </w:div>
    <w:div w:id="578487708">
      <w:bodyDiv w:val="1"/>
      <w:marLeft w:val="0"/>
      <w:marRight w:val="0"/>
      <w:marTop w:val="0"/>
      <w:marBottom w:val="0"/>
      <w:divBdr>
        <w:top w:val="none" w:sz="0" w:space="0" w:color="auto"/>
        <w:left w:val="none" w:sz="0" w:space="0" w:color="auto"/>
        <w:bottom w:val="none" w:sz="0" w:space="0" w:color="auto"/>
        <w:right w:val="none" w:sz="0" w:space="0" w:color="auto"/>
      </w:divBdr>
    </w:div>
    <w:div w:id="659381714">
      <w:bodyDiv w:val="1"/>
      <w:marLeft w:val="0"/>
      <w:marRight w:val="0"/>
      <w:marTop w:val="0"/>
      <w:marBottom w:val="0"/>
      <w:divBdr>
        <w:top w:val="none" w:sz="0" w:space="0" w:color="auto"/>
        <w:left w:val="none" w:sz="0" w:space="0" w:color="auto"/>
        <w:bottom w:val="none" w:sz="0" w:space="0" w:color="auto"/>
        <w:right w:val="none" w:sz="0" w:space="0" w:color="auto"/>
      </w:divBdr>
    </w:div>
    <w:div w:id="894241868">
      <w:bodyDiv w:val="1"/>
      <w:marLeft w:val="0"/>
      <w:marRight w:val="0"/>
      <w:marTop w:val="0"/>
      <w:marBottom w:val="0"/>
      <w:divBdr>
        <w:top w:val="none" w:sz="0" w:space="0" w:color="auto"/>
        <w:left w:val="none" w:sz="0" w:space="0" w:color="auto"/>
        <w:bottom w:val="none" w:sz="0" w:space="0" w:color="auto"/>
        <w:right w:val="none" w:sz="0" w:space="0" w:color="auto"/>
      </w:divBdr>
    </w:div>
    <w:div w:id="1220048614">
      <w:bodyDiv w:val="1"/>
      <w:marLeft w:val="0"/>
      <w:marRight w:val="0"/>
      <w:marTop w:val="0"/>
      <w:marBottom w:val="0"/>
      <w:divBdr>
        <w:top w:val="none" w:sz="0" w:space="0" w:color="auto"/>
        <w:left w:val="none" w:sz="0" w:space="0" w:color="auto"/>
        <w:bottom w:val="none" w:sz="0" w:space="0" w:color="auto"/>
        <w:right w:val="none" w:sz="0" w:space="0" w:color="auto"/>
      </w:divBdr>
    </w:div>
    <w:div w:id="1406993747">
      <w:bodyDiv w:val="1"/>
      <w:marLeft w:val="0"/>
      <w:marRight w:val="0"/>
      <w:marTop w:val="0"/>
      <w:marBottom w:val="0"/>
      <w:divBdr>
        <w:top w:val="none" w:sz="0" w:space="0" w:color="auto"/>
        <w:left w:val="none" w:sz="0" w:space="0" w:color="auto"/>
        <w:bottom w:val="none" w:sz="0" w:space="0" w:color="auto"/>
        <w:right w:val="none" w:sz="0" w:space="0" w:color="auto"/>
      </w:divBdr>
    </w:div>
    <w:div w:id="1421488442">
      <w:bodyDiv w:val="1"/>
      <w:marLeft w:val="0"/>
      <w:marRight w:val="0"/>
      <w:marTop w:val="0"/>
      <w:marBottom w:val="0"/>
      <w:divBdr>
        <w:top w:val="none" w:sz="0" w:space="0" w:color="auto"/>
        <w:left w:val="none" w:sz="0" w:space="0" w:color="auto"/>
        <w:bottom w:val="none" w:sz="0" w:space="0" w:color="auto"/>
        <w:right w:val="none" w:sz="0" w:space="0" w:color="auto"/>
      </w:divBdr>
    </w:div>
    <w:div w:id="1744791391">
      <w:bodyDiv w:val="1"/>
      <w:marLeft w:val="0"/>
      <w:marRight w:val="0"/>
      <w:marTop w:val="0"/>
      <w:marBottom w:val="0"/>
      <w:divBdr>
        <w:top w:val="none" w:sz="0" w:space="0" w:color="auto"/>
        <w:left w:val="none" w:sz="0" w:space="0" w:color="auto"/>
        <w:bottom w:val="none" w:sz="0" w:space="0" w:color="auto"/>
        <w:right w:val="none" w:sz="0" w:space="0" w:color="auto"/>
      </w:divBdr>
      <w:divsChild>
        <w:div w:id="1514531">
          <w:marLeft w:val="0"/>
          <w:marRight w:val="0"/>
          <w:marTop w:val="0"/>
          <w:marBottom w:val="0"/>
          <w:divBdr>
            <w:top w:val="none" w:sz="0" w:space="0" w:color="auto"/>
            <w:left w:val="none" w:sz="0" w:space="0" w:color="auto"/>
            <w:bottom w:val="none" w:sz="0" w:space="0" w:color="auto"/>
            <w:right w:val="none" w:sz="0" w:space="0" w:color="auto"/>
          </w:divBdr>
        </w:div>
        <w:div w:id="5602080">
          <w:marLeft w:val="0"/>
          <w:marRight w:val="0"/>
          <w:marTop w:val="0"/>
          <w:marBottom w:val="0"/>
          <w:divBdr>
            <w:top w:val="none" w:sz="0" w:space="0" w:color="auto"/>
            <w:left w:val="none" w:sz="0" w:space="0" w:color="auto"/>
            <w:bottom w:val="none" w:sz="0" w:space="0" w:color="auto"/>
            <w:right w:val="none" w:sz="0" w:space="0" w:color="auto"/>
          </w:divBdr>
        </w:div>
        <w:div w:id="10227142">
          <w:marLeft w:val="0"/>
          <w:marRight w:val="0"/>
          <w:marTop w:val="0"/>
          <w:marBottom w:val="0"/>
          <w:divBdr>
            <w:top w:val="none" w:sz="0" w:space="0" w:color="auto"/>
            <w:left w:val="none" w:sz="0" w:space="0" w:color="auto"/>
            <w:bottom w:val="none" w:sz="0" w:space="0" w:color="auto"/>
            <w:right w:val="none" w:sz="0" w:space="0" w:color="auto"/>
          </w:divBdr>
        </w:div>
        <w:div w:id="14427391">
          <w:marLeft w:val="0"/>
          <w:marRight w:val="0"/>
          <w:marTop w:val="0"/>
          <w:marBottom w:val="0"/>
          <w:divBdr>
            <w:top w:val="none" w:sz="0" w:space="0" w:color="auto"/>
            <w:left w:val="none" w:sz="0" w:space="0" w:color="auto"/>
            <w:bottom w:val="none" w:sz="0" w:space="0" w:color="auto"/>
            <w:right w:val="none" w:sz="0" w:space="0" w:color="auto"/>
          </w:divBdr>
        </w:div>
        <w:div w:id="17397048">
          <w:marLeft w:val="0"/>
          <w:marRight w:val="0"/>
          <w:marTop w:val="0"/>
          <w:marBottom w:val="0"/>
          <w:divBdr>
            <w:top w:val="none" w:sz="0" w:space="0" w:color="auto"/>
            <w:left w:val="none" w:sz="0" w:space="0" w:color="auto"/>
            <w:bottom w:val="none" w:sz="0" w:space="0" w:color="auto"/>
            <w:right w:val="none" w:sz="0" w:space="0" w:color="auto"/>
          </w:divBdr>
        </w:div>
        <w:div w:id="25525545">
          <w:marLeft w:val="0"/>
          <w:marRight w:val="0"/>
          <w:marTop w:val="0"/>
          <w:marBottom w:val="0"/>
          <w:divBdr>
            <w:top w:val="none" w:sz="0" w:space="0" w:color="auto"/>
            <w:left w:val="none" w:sz="0" w:space="0" w:color="auto"/>
            <w:bottom w:val="none" w:sz="0" w:space="0" w:color="auto"/>
            <w:right w:val="none" w:sz="0" w:space="0" w:color="auto"/>
          </w:divBdr>
        </w:div>
        <w:div w:id="26294277">
          <w:marLeft w:val="0"/>
          <w:marRight w:val="0"/>
          <w:marTop w:val="0"/>
          <w:marBottom w:val="0"/>
          <w:divBdr>
            <w:top w:val="none" w:sz="0" w:space="0" w:color="auto"/>
            <w:left w:val="none" w:sz="0" w:space="0" w:color="auto"/>
            <w:bottom w:val="none" w:sz="0" w:space="0" w:color="auto"/>
            <w:right w:val="none" w:sz="0" w:space="0" w:color="auto"/>
          </w:divBdr>
        </w:div>
        <w:div w:id="26416576">
          <w:marLeft w:val="0"/>
          <w:marRight w:val="0"/>
          <w:marTop w:val="0"/>
          <w:marBottom w:val="0"/>
          <w:divBdr>
            <w:top w:val="none" w:sz="0" w:space="0" w:color="auto"/>
            <w:left w:val="none" w:sz="0" w:space="0" w:color="auto"/>
            <w:bottom w:val="none" w:sz="0" w:space="0" w:color="auto"/>
            <w:right w:val="none" w:sz="0" w:space="0" w:color="auto"/>
          </w:divBdr>
        </w:div>
        <w:div w:id="28841147">
          <w:marLeft w:val="0"/>
          <w:marRight w:val="0"/>
          <w:marTop w:val="0"/>
          <w:marBottom w:val="0"/>
          <w:divBdr>
            <w:top w:val="none" w:sz="0" w:space="0" w:color="auto"/>
            <w:left w:val="none" w:sz="0" w:space="0" w:color="auto"/>
            <w:bottom w:val="none" w:sz="0" w:space="0" w:color="auto"/>
            <w:right w:val="none" w:sz="0" w:space="0" w:color="auto"/>
          </w:divBdr>
        </w:div>
        <w:div w:id="31343121">
          <w:marLeft w:val="0"/>
          <w:marRight w:val="0"/>
          <w:marTop w:val="0"/>
          <w:marBottom w:val="0"/>
          <w:divBdr>
            <w:top w:val="none" w:sz="0" w:space="0" w:color="auto"/>
            <w:left w:val="none" w:sz="0" w:space="0" w:color="auto"/>
            <w:bottom w:val="none" w:sz="0" w:space="0" w:color="auto"/>
            <w:right w:val="none" w:sz="0" w:space="0" w:color="auto"/>
          </w:divBdr>
        </w:div>
        <w:div w:id="31811160">
          <w:marLeft w:val="0"/>
          <w:marRight w:val="0"/>
          <w:marTop w:val="0"/>
          <w:marBottom w:val="0"/>
          <w:divBdr>
            <w:top w:val="none" w:sz="0" w:space="0" w:color="auto"/>
            <w:left w:val="none" w:sz="0" w:space="0" w:color="auto"/>
            <w:bottom w:val="none" w:sz="0" w:space="0" w:color="auto"/>
            <w:right w:val="none" w:sz="0" w:space="0" w:color="auto"/>
          </w:divBdr>
        </w:div>
        <w:div w:id="36588204">
          <w:marLeft w:val="0"/>
          <w:marRight w:val="0"/>
          <w:marTop w:val="0"/>
          <w:marBottom w:val="0"/>
          <w:divBdr>
            <w:top w:val="none" w:sz="0" w:space="0" w:color="auto"/>
            <w:left w:val="none" w:sz="0" w:space="0" w:color="auto"/>
            <w:bottom w:val="none" w:sz="0" w:space="0" w:color="auto"/>
            <w:right w:val="none" w:sz="0" w:space="0" w:color="auto"/>
          </w:divBdr>
        </w:div>
        <w:div w:id="37290475">
          <w:marLeft w:val="0"/>
          <w:marRight w:val="0"/>
          <w:marTop w:val="0"/>
          <w:marBottom w:val="0"/>
          <w:divBdr>
            <w:top w:val="none" w:sz="0" w:space="0" w:color="auto"/>
            <w:left w:val="none" w:sz="0" w:space="0" w:color="auto"/>
            <w:bottom w:val="none" w:sz="0" w:space="0" w:color="auto"/>
            <w:right w:val="none" w:sz="0" w:space="0" w:color="auto"/>
          </w:divBdr>
        </w:div>
        <w:div w:id="43991418">
          <w:marLeft w:val="0"/>
          <w:marRight w:val="0"/>
          <w:marTop w:val="0"/>
          <w:marBottom w:val="0"/>
          <w:divBdr>
            <w:top w:val="none" w:sz="0" w:space="0" w:color="auto"/>
            <w:left w:val="none" w:sz="0" w:space="0" w:color="auto"/>
            <w:bottom w:val="none" w:sz="0" w:space="0" w:color="auto"/>
            <w:right w:val="none" w:sz="0" w:space="0" w:color="auto"/>
          </w:divBdr>
        </w:div>
        <w:div w:id="44066107">
          <w:marLeft w:val="0"/>
          <w:marRight w:val="0"/>
          <w:marTop w:val="0"/>
          <w:marBottom w:val="0"/>
          <w:divBdr>
            <w:top w:val="none" w:sz="0" w:space="0" w:color="auto"/>
            <w:left w:val="none" w:sz="0" w:space="0" w:color="auto"/>
            <w:bottom w:val="none" w:sz="0" w:space="0" w:color="auto"/>
            <w:right w:val="none" w:sz="0" w:space="0" w:color="auto"/>
          </w:divBdr>
        </w:div>
        <w:div w:id="47265661">
          <w:marLeft w:val="0"/>
          <w:marRight w:val="0"/>
          <w:marTop w:val="0"/>
          <w:marBottom w:val="0"/>
          <w:divBdr>
            <w:top w:val="none" w:sz="0" w:space="0" w:color="auto"/>
            <w:left w:val="none" w:sz="0" w:space="0" w:color="auto"/>
            <w:bottom w:val="none" w:sz="0" w:space="0" w:color="auto"/>
            <w:right w:val="none" w:sz="0" w:space="0" w:color="auto"/>
          </w:divBdr>
        </w:div>
        <w:div w:id="53890509">
          <w:marLeft w:val="0"/>
          <w:marRight w:val="0"/>
          <w:marTop w:val="0"/>
          <w:marBottom w:val="0"/>
          <w:divBdr>
            <w:top w:val="none" w:sz="0" w:space="0" w:color="auto"/>
            <w:left w:val="none" w:sz="0" w:space="0" w:color="auto"/>
            <w:bottom w:val="none" w:sz="0" w:space="0" w:color="auto"/>
            <w:right w:val="none" w:sz="0" w:space="0" w:color="auto"/>
          </w:divBdr>
        </w:div>
        <w:div w:id="56439651">
          <w:marLeft w:val="0"/>
          <w:marRight w:val="0"/>
          <w:marTop w:val="0"/>
          <w:marBottom w:val="0"/>
          <w:divBdr>
            <w:top w:val="none" w:sz="0" w:space="0" w:color="auto"/>
            <w:left w:val="none" w:sz="0" w:space="0" w:color="auto"/>
            <w:bottom w:val="none" w:sz="0" w:space="0" w:color="auto"/>
            <w:right w:val="none" w:sz="0" w:space="0" w:color="auto"/>
          </w:divBdr>
        </w:div>
        <w:div w:id="62679618">
          <w:marLeft w:val="0"/>
          <w:marRight w:val="0"/>
          <w:marTop w:val="0"/>
          <w:marBottom w:val="0"/>
          <w:divBdr>
            <w:top w:val="none" w:sz="0" w:space="0" w:color="auto"/>
            <w:left w:val="none" w:sz="0" w:space="0" w:color="auto"/>
            <w:bottom w:val="none" w:sz="0" w:space="0" w:color="auto"/>
            <w:right w:val="none" w:sz="0" w:space="0" w:color="auto"/>
          </w:divBdr>
        </w:div>
        <w:div w:id="66002936">
          <w:marLeft w:val="0"/>
          <w:marRight w:val="0"/>
          <w:marTop w:val="0"/>
          <w:marBottom w:val="0"/>
          <w:divBdr>
            <w:top w:val="none" w:sz="0" w:space="0" w:color="auto"/>
            <w:left w:val="none" w:sz="0" w:space="0" w:color="auto"/>
            <w:bottom w:val="none" w:sz="0" w:space="0" w:color="auto"/>
            <w:right w:val="none" w:sz="0" w:space="0" w:color="auto"/>
          </w:divBdr>
        </w:div>
        <w:div w:id="66849542">
          <w:marLeft w:val="0"/>
          <w:marRight w:val="0"/>
          <w:marTop w:val="0"/>
          <w:marBottom w:val="0"/>
          <w:divBdr>
            <w:top w:val="none" w:sz="0" w:space="0" w:color="auto"/>
            <w:left w:val="none" w:sz="0" w:space="0" w:color="auto"/>
            <w:bottom w:val="none" w:sz="0" w:space="0" w:color="auto"/>
            <w:right w:val="none" w:sz="0" w:space="0" w:color="auto"/>
          </w:divBdr>
        </w:div>
        <w:div w:id="68886829">
          <w:marLeft w:val="0"/>
          <w:marRight w:val="0"/>
          <w:marTop w:val="0"/>
          <w:marBottom w:val="0"/>
          <w:divBdr>
            <w:top w:val="none" w:sz="0" w:space="0" w:color="auto"/>
            <w:left w:val="none" w:sz="0" w:space="0" w:color="auto"/>
            <w:bottom w:val="none" w:sz="0" w:space="0" w:color="auto"/>
            <w:right w:val="none" w:sz="0" w:space="0" w:color="auto"/>
          </w:divBdr>
        </w:div>
        <w:div w:id="74716032">
          <w:marLeft w:val="0"/>
          <w:marRight w:val="0"/>
          <w:marTop w:val="0"/>
          <w:marBottom w:val="0"/>
          <w:divBdr>
            <w:top w:val="none" w:sz="0" w:space="0" w:color="auto"/>
            <w:left w:val="none" w:sz="0" w:space="0" w:color="auto"/>
            <w:bottom w:val="none" w:sz="0" w:space="0" w:color="auto"/>
            <w:right w:val="none" w:sz="0" w:space="0" w:color="auto"/>
          </w:divBdr>
        </w:div>
        <w:div w:id="75132904">
          <w:marLeft w:val="0"/>
          <w:marRight w:val="0"/>
          <w:marTop w:val="0"/>
          <w:marBottom w:val="0"/>
          <w:divBdr>
            <w:top w:val="none" w:sz="0" w:space="0" w:color="auto"/>
            <w:left w:val="none" w:sz="0" w:space="0" w:color="auto"/>
            <w:bottom w:val="none" w:sz="0" w:space="0" w:color="auto"/>
            <w:right w:val="none" w:sz="0" w:space="0" w:color="auto"/>
          </w:divBdr>
        </w:div>
        <w:div w:id="75170244">
          <w:marLeft w:val="0"/>
          <w:marRight w:val="0"/>
          <w:marTop w:val="0"/>
          <w:marBottom w:val="0"/>
          <w:divBdr>
            <w:top w:val="none" w:sz="0" w:space="0" w:color="auto"/>
            <w:left w:val="none" w:sz="0" w:space="0" w:color="auto"/>
            <w:bottom w:val="none" w:sz="0" w:space="0" w:color="auto"/>
            <w:right w:val="none" w:sz="0" w:space="0" w:color="auto"/>
          </w:divBdr>
        </w:div>
        <w:div w:id="76102002">
          <w:marLeft w:val="0"/>
          <w:marRight w:val="0"/>
          <w:marTop w:val="0"/>
          <w:marBottom w:val="0"/>
          <w:divBdr>
            <w:top w:val="none" w:sz="0" w:space="0" w:color="auto"/>
            <w:left w:val="none" w:sz="0" w:space="0" w:color="auto"/>
            <w:bottom w:val="none" w:sz="0" w:space="0" w:color="auto"/>
            <w:right w:val="none" w:sz="0" w:space="0" w:color="auto"/>
          </w:divBdr>
        </w:div>
        <w:div w:id="76904410">
          <w:marLeft w:val="0"/>
          <w:marRight w:val="0"/>
          <w:marTop w:val="0"/>
          <w:marBottom w:val="0"/>
          <w:divBdr>
            <w:top w:val="none" w:sz="0" w:space="0" w:color="auto"/>
            <w:left w:val="none" w:sz="0" w:space="0" w:color="auto"/>
            <w:bottom w:val="none" w:sz="0" w:space="0" w:color="auto"/>
            <w:right w:val="none" w:sz="0" w:space="0" w:color="auto"/>
          </w:divBdr>
        </w:div>
        <w:div w:id="79110787">
          <w:marLeft w:val="0"/>
          <w:marRight w:val="0"/>
          <w:marTop w:val="0"/>
          <w:marBottom w:val="0"/>
          <w:divBdr>
            <w:top w:val="none" w:sz="0" w:space="0" w:color="auto"/>
            <w:left w:val="none" w:sz="0" w:space="0" w:color="auto"/>
            <w:bottom w:val="none" w:sz="0" w:space="0" w:color="auto"/>
            <w:right w:val="none" w:sz="0" w:space="0" w:color="auto"/>
          </w:divBdr>
        </w:div>
        <w:div w:id="80834991">
          <w:marLeft w:val="0"/>
          <w:marRight w:val="0"/>
          <w:marTop w:val="0"/>
          <w:marBottom w:val="0"/>
          <w:divBdr>
            <w:top w:val="none" w:sz="0" w:space="0" w:color="auto"/>
            <w:left w:val="none" w:sz="0" w:space="0" w:color="auto"/>
            <w:bottom w:val="none" w:sz="0" w:space="0" w:color="auto"/>
            <w:right w:val="none" w:sz="0" w:space="0" w:color="auto"/>
          </w:divBdr>
        </w:div>
        <w:div w:id="85619631">
          <w:marLeft w:val="0"/>
          <w:marRight w:val="0"/>
          <w:marTop w:val="0"/>
          <w:marBottom w:val="0"/>
          <w:divBdr>
            <w:top w:val="none" w:sz="0" w:space="0" w:color="auto"/>
            <w:left w:val="none" w:sz="0" w:space="0" w:color="auto"/>
            <w:bottom w:val="none" w:sz="0" w:space="0" w:color="auto"/>
            <w:right w:val="none" w:sz="0" w:space="0" w:color="auto"/>
          </w:divBdr>
        </w:div>
        <w:div w:id="85659990">
          <w:marLeft w:val="0"/>
          <w:marRight w:val="0"/>
          <w:marTop w:val="0"/>
          <w:marBottom w:val="0"/>
          <w:divBdr>
            <w:top w:val="none" w:sz="0" w:space="0" w:color="auto"/>
            <w:left w:val="none" w:sz="0" w:space="0" w:color="auto"/>
            <w:bottom w:val="none" w:sz="0" w:space="0" w:color="auto"/>
            <w:right w:val="none" w:sz="0" w:space="0" w:color="auto"/>
          </w:divBdr>
        </w:div>
        <w:div w:id="85805980">
          <w:marLeft w:val="0"/>
          <w:marRight w:val="0"/>
          <w:marTop w:val="0"/>
          <w:marBottom w:val="0"/>
          <w:divBdr>
            <w:top w:val="none" w:sz="0" w:space="0" w:color="auto"/>
            <w:left w:val="none" w:sz="0" w:space="0" w:color="auto"/>
            <w:bottom w:val="none" w:sz="0" w:space="0" w:color="auto"/>
            <w:right w:val="none" w:sz="0" w:space="0" w:color="auto"/>
          </w:divBdr>
        </w:div>
        <w:div w:id="88548488">
          <w:marLeft w:val="0"/>
          <w:marRight w:val="0"/>
          <w:marTop w:val="0"/>
          <w:marBottom w:val="0"/>
          <w:divBdr>
            <w:top w:val="none" w:sz="0" w:space="0" w:color="auto"/>
            <w:left w:val="none" w:sz="0" w:space="0" w:color="auto"/>
            <w:bottom w:val="none" w:sz="0" w:space="0" w:color="auto"/>
            <w:right w:val="none" w:sz="0" w:space="0" w:color="auto"/>
          </w:divBdr>
        </w:div>
        <w:div w:id="95516719">
          <w:marLeft w:val="0"/>
          <w:marRight w:val="0"/>
          <w:marTop w:val="0"/>
          <w:marBottom w:val="0"/>
          <w:divBdr>
            <w:top w:val="none" w:sz="0" w:space="0" w:color="auto"/>
            <w:left w:val="none" w:sz="0" w:space="0" w:color="auto"/>
            <w:bottom w:val="none" w:sz="0" w:space="0" w:color="auto"/>
            <w:right w:val="none" w:sz="0" w:space="0" w:color="auto"/>
          </w:divBdr>
        </w:div>
        <w:div w:id="97139846">
          <w:marLeft w:val="0"/>
          <w:marRight w:val="0"/>
          <w:marTop w:val="0"/>
          <w:marBottom w:val="0"/>
          <w:divBdr>
            <w:top w:val="none" w:sz="0" w:space="0" w:color="auto"/>
            <w:left w:val="none" w:sz="0" w:space="0" w:color="auto"/>
            <w:bottom w:val="none" w:sz="0" w:space="0" w:color="auto"/>
            <w:right w:val="none" w:sz="0" w:space="0" w:color="auto"/>
          </w:divBdr>
        </w:div>
        <w:div w:id="110364449">
          <w:marLeft w:val="0"/>
          <w:marRight w:val="0"/>
          <w:marTop w:val="0"/>
          <w:marBottom w:val="0"/>
          <w:divBdr>
            <w:top w:val="none" w:sz="0" w:space="0" w:color="auto"/>
            <w:left w:val="none" w:sz="0" w:space="0" w:color="auto"/>
            <w:bottom w:val="none" w:sz="0" w:space="0" w:color="auto"/>
            <w:right w:val="none" w:sz="0" w:space="0" w:color="auto"/>
          </w:divBdr>
        </w:div>
        <w:div w:id="113525397">
          <w:marLeft w:val="0"/>
          <w:marRight w:val="0"/>
          <w:marTop w:val="0"/>
          <w:marBottom w:val="0"/>
          <w:divBdr>
            <w:top w:val="none" w:sz="0" w:space="0" w:color="auto"/>
            <w:left w:val="none" w:sz="0" w:space="0" w:color="auto"/>
            <w:bottom w:val="none" w:sz="0" w:space="0" w:color="auto"/>
            <w:right w:val="none" w:sz="0" w:space="0" w:color="auto"/>
          </w:divBdr>
        </w:div>
        <w:div w:id="118190588">
          <w:marLeft w:val="0"/>
          <w:marRight w:val="0"/>
          <w:marTop w:val="0"/>
          <w:marBottom w:val="0"/>
          <w:divBdr>
            <w:top w:val="none" w:sz="0" w:space="0" w:color="auto"/>
            <w:left w:val="none" w:sz="0" w:space="0" w:color="auto"/>
            <w:bottom w:val="none" w:sz="0" w:space="0" w:color="auto"/>
            <w:right w:val="none" w:sz="0" w:space="0" w:color="auto"/>
          </w:divBdr>
        </w:div>
        <w:div w:id="118455666">
          <w:marLeft w:val="0"/>
          <w:marRight w:val="0"/>
          <w:marTop w:val="0"/>
          <w:marBottom w:val="0"/>
          <w:divBdr>
            <w:top w:val="none" w:sz="0" w:space="0" w:color="auto"/>
            <w:left w:val="none" w:sz="0" w:space="0" w:color="auto"/>
            <w:bottom w:val="none" w:sz="0" w:space="0" w:color="auto"/>
            <w:right w:val="none" w:sz="0" w:space="0" w:color="auto"/>
          </w:divBdr>
        </w:div>
        <w:div w:id="120077444">
          <w:marLeft w:val="0"/>
          <w:marRight w:val="0"/>
          <w:marTop w:val="0"/>
          <w:marBottom w:val="0"/>
          <w:divBdr>
            <w:top w:val="none" w:sz="0" w:space="0" w:color="auto"/>
            <w:left w:val="none" w:sz="0" w:space="0" w:color="auto"/>
            <w:bottom w:val="none" w:sz="0" w:space="0" w:color="auto"/>
            <w:right w:val="none" w:sz="0" w:space="0" w:color="auto"/>
          </w:divBdr>
        </w:div>
        <w:div w:id="123155075">
          <w:marLeft w:val="0"/>
          <w:marRight w:val="0"/>
          <w:marTop w:val="0"/>
          <w:marBottom w:val="0"/>
          <w:divBdr>
            <w:top w:val="none" w:sz="0" w:space="0" w:color="auto"/>
            <w:left w:val="none" w:sz="0" w:space="0" w:color="auto"/>
            <w:bottom w:val="none" w:sz="0" w:space="0" w:color="auto"/>
            <w:right w:val="none" w:sz="0" w:space="0" w:color="auto"/>
          </w:divBdr>
        </w:div>
        <w:div w:id="123934696">
          <w:marLeft w:val="0"/>
          <w:marRight w:val="0"/>
          <w:marTop w:val="0"/>
          <w:marBottom w:val="0"/>
          <w:divBdr>
            <w:top w:val="none" w:sz="0" w:space="0" w:color="auto"/>
            <w:left w:val="none" w:sz="0" w:space="0" w:color="auto"/>
            <w:bottom w:val="none" w:sz="0" w:space="0" w:color="auto"/>
            <w:right w:val="none" w:sz="0" w:space="0" w:color="auto"/>
          </w:divBdr>
        </w:div>
        <w:div w:id="125437336">
          <w:marLeft w:val="0"/>
          <w:marRight w:val="0"/>
          <w:marTop w:val="0"/>
          <w:marBottom w:val="0"/>
          <w:divBdr>
            <w:top w:val="none" w:sz="0" w:space="0" w:color="auto"/>
            <w:left w:val="none" w:sz="0" w:space="0" w:color="auto"/>
            <w:bottom w:val="none" w:sz="0" w:space="0" w:color="auto"/>
            <w:right w:val="none" w:sz="0" w:space="0" w:color="auto"/>
          </w:divBdr>
        </w:div>
        <w:div w:id="126708455">
          <w:marLeft w:val="0"/>
          <w:marRight w:val="0"/>
          <w:marTop w:val="0"/>
          <w:marBottom w:val="0"/>
          <w:divBdr>
            <w:top w:val="none" w:sz="0" w:space="0" w:color="auto"/>
            <w:left w:val="none" w:sz="0" w:space="0" w:color="auto"/>
            <w:bottom w:val="none" w:sz="0" w:space="0" w:color="auto"/>
            <w:right w:val="none" w:sz="0" w:space="0" w:color="auto"/>
          </w:divBdr>
        </w:div>
        <w:div w:id="131487549">
          <w:marLeft w:val="0"/>
          <w:marRight w:val="0"/>
          <w:marTop w:val="0"/>
          <w:marBottom w:val="0"/>
          <w:divBdr>
            <w:top w:val="none" w:sz="0" w:space="0" w:color="auto"/>
            <w:left w:val="none" w:sz="0" w:space="0" w:color="auto"/>
            <w:bottom w:val="none" w:sz="0" w:space="0" w:color="auto"/>
            <w:right w:val="none" w:sz="0" w:space="0" w:color="auto"/>
          </w:divBdr>
        </w:div>
        <w:div w:id="137233621">
          <w:marLeft w:val="0"/>
          <w:marRight w:val="0"/>
          <w:marTop w:val="0"/>
          <w:marBottom w:val="0"/>
          <w:divBdr>
            <w:top w:val="none" w:sz="0" w:space="0" w:color="auto"/>
            <w:left w:val="none" w:sz="0" w:space="0" w:color="auto"/>
            <w:bottom w:val="none" w:sz="0" w:space="0" w:color="auto"/>
            <w:right w:val="none" w:sz="0" w:space="0" w:color="auto"/>
          </w:divBdr>
        </w:div>
        <w:div w:id="139347678">
          <w:marLeft w:val="0"/>
          <w:marRight w:val="0"/>
          <w:marTop w:val="0"/>
          <w:marBottom w:val="0"/>
          <w:divBdr>
            <w:top w:val="none" w:sz="0" w:space="0" w:color="auto"/>
            <w:left w:val="none" w:sz="0" w:space="0" w:color="auto"/>
            <w:bottom w:val="none" w:sz="0" w:space="0" w:color="auto"/>
            <w:right w:val="none" w:sz="0" w:space="0" w:color="auto"/>
          </w:divBdr>
        </w:div>
        <w:div w:id="140268356">
          <w:marLeft w:val="0"/>
          <w:marRight w:val="0"/>
          <w:marTop w:val="0"/>
          <w:marBottom w:val="0"/>
          <w:divBdr>
            <w:top w:val="none" w:sz="0" w:space="0" w:color="auto"/>
            <w:left w:val="none" w:sz="0" w:space="0" w:color="auto"/>
            <w:bottom w:val="none" w:sz="0" w:space="0" w:color="auto"/>
            <w:right w:val="none" w:sz="0" w:space="0" w:color="auto"/>
          </w:divBdr>
        </w:div>
        <w:div w:id="141235244">
          <w:marLeft w:val="0"/>
          <w:marRight w:val="0"/>
          <w:marTop w:val="0"/>
          <w:marBottom w:val="0"/>
          <w:divBdr>
            <w:top w:val="none" w:sz="0" w:space="0" w:color="auto"/>
            <w:left w:val="none" w:sz="0" w:space="0" w:color="auto"/>
            <w:bottom w:val="none" w:sz="0" w:space="0" w:color="auto"/>
            <w:right w:val="none" w:sz="0" w:space="0" w:color="auto"/>
          </w:divBdr>
        </w:div>
        <w:div w:id="158891949">
          <w:marLeft w:val="0"/>
          <w:marRight w:val="0"/>
          <w:marTop w:val="0"/>
          <w:marBottom w:val="0"/>
          <w:divBdr>
            <w:top w:val="none" w:sz="0" w:space="0" w:color="auto"/>
            <w:left w:val="none" w:sz="0" w:space="0" w:color="auto"/>
            <w:bottom w:val="none" w:sz="0" w:space="0" w:color="auto"/>
            <w:right w:val="none" w:sz="0" w:space="0" w:color="auto"/>
          </w:divBdr>
        </w:div>
        <w:div w:id="164128739">
          <w:marLeft w:val="0"/>
          <w:marRight w:val="0"/>
          <w:marTop w:val="0"/>
          <w:marBottom w:val="0"/>
          <w:divBdr>
            <w:top w:val="none" w:sz="0" w:space="0" w:color="auto"/>
            <w:left w:val="none" w:sz="0" w:space="0" w:color="auto"/>
            <w:bottom w:val="none" w:sz="0" w:space="0" w:color="auto"/>
            <w:right w:val="none" w:sz="0" w:space="0" w:color="auto"/>
          </w:divBdr>
        </w:div>
        <w:div w:id="167987080">
          <w:marLeft w:val="0"/>
          <w:marRight w:val="0"/>
          <w:marTop w:val="0"/>
          <w:marBottom w:val="0"/>
          <w:divBdr>
            <w:top w:val="none" w:sz="0" w:space="0" w:color="auto"/>
            <w:left w:val="none" w:sz="0" w:space="0" w:color="auto"/>
            <w:bottom w:val="none" w:sz="0" w:space="0" w:color="auto"/>
            <w:right w:val="none" w:sz="0" w:space="0" w:color="auto"/>
          </w:divBdr>
        </w:div>
        <w:div w:id="169149701">
          <w:marLeft w:val="0"/>
          <w:marRight w:val="0"/>
          <w:marTop w:val="0"/>
          <w:marBottom w:val="0"/>
          <w:divBdr>
            <w:top w:val="none" w:sz="0" w:space="0" w:color="auto"/>
            <w:left w:val="none" w:sz="0" w:space="0" w:color="auto"/>
            <w:bottom w:val="none" w:sz="0" w:space="0" w:color="auto"/>
            <w:right w:val="none" w:sz="0" w:space="0" w:color="auto"/>
          </w:divBdr>
        </w:div>
        <w:div w:id="170295283">
          <w:marLeft w:val="0"/>
          <w:marRight w:val="0"/>
          <w:marTop w:val="0"/>
          <w:marBottom w:val="0"/>
          <w:divBdr>
            <w:top w:val="none" w:sz="0" w:space="0" w:color="auto"/>
            <w:left w:val="none" w:sz="0" w:space="0" w:color="auto"/>
            <w:bottom w:val="none" w:sz="0" w:space="0" w:color="auto"/>
            <w:right w:val="none" w:sz="0" w:space="0" w:color="auto"/>
          </w:divBdr>
        </w:div>
        <w:div w:id="170461092">
          <w:marLeft w:val="0"/>
          <w:marRight w:val="0"/>
          <w:marTop w:val="0"/>
          <w:marBottom w:val="0"/>
          <w:divBdr>
            <w:top w:val="none" w:sz="0" w:space="0" w:color="auto"/>
            <w:left w:val="none" w:sz="0" w:space="0" w:color="auto"/>
            <w:bottom w:val="none" w:sz="0" w:space="0" w:color="auto"/>
            <w:right w:val="none" w:sz="0" w:space="0" w:color="auto"/>
          </w:divBdr>
        </w:div>
        <w:div w:id="171341489">
          <w:marLeft w:val="0"/>
          <w:marRight w:val="0"/>
          <w:marTop w:val="0"/>
          <w:marBottom w:val="0"/>
          <w:divBdr>
            <w:top w:val="none" w:sz="0" w:space="0" w:color="auto"/>
            <w:left w:val="none" w:sz="0" w:space="0" w:color="auto"/>
            <w:bottom w:val="none" w:sz="0" w:space="0" w:color="auto"/>
            <w:right w:val="none" w:sz="0" w:space="0" w:color="auto"/>
          </w:divBdr>
        </w:div>
        <w:div w:id="173307717">
          <w:marLeft w:val="0"/>
          <w:marRight w:val="0"/>
          <w:marTop w:val="0"/>
          <w:marBottom w:val="0"/>
          <w:divBdr>
            <w:top w:val="none" w:sz="0" w:space="0" w:color="auto"/>
            <w:left w:val="none" w:sz="0" w:space="0" w:color="auto"/>
            <w:bottom w:val="none" w:sz="0" w:space="0" w:color="auto"/>
            <w:right w:val="none" w:sz="0" w:space="0" w:color="auto"/>
          </w:divBdr>
        </w:div>
        <w:div w:id="179393798">
          <w:marLeft w:val="0"/>
          <w:marRight w:val="0"/>
          <w:marTop w:val="0"/>
          <w:marBottom w:val="0"/>
          <w:divBdr>
            <w:top w:val="none" w:sz="0" w:space="0" w:color="auto"/>
            <w:left w:val="none" w:sz="0" w:space="0" w:color="auto"/>
            <w:bottom w:val="none" w:sz="0" w:space="0" w:color="auto"/>
            <w:right w:val="none" w:sz="0" w:space="0" w:color="auto"/>
          </w:divBdr>
        </w:div>
        <w:div w:id="179437838">
          <w:marLeft w:val="0"/>
          <w:marRight w:val="0"/>
          <w:marTop w:val="0"/>
          <w:marBottom w:val="0"/>
          <w:divBdr>
            <w:top w:val="none" w:sz="0" w:space="0" w:color="auto"/>
            <w:left w:val="none" w:sz="0" w:space="0" w:color="auto"/>
            <w:bottom w:val="none" w:sz="0" w:space="0" w:color="auto"/>
            <w:right w:val="none" w:sz="0" w:space="0" w:color="auto"/>
          </w:divBdr>
        </w:div>
        <w:div w:id="179896574">
          <w:marLeft w:val="0"/>
          <w:marRight w:val="0"/>
          <w:marTop w:val="0"/>
          <w:marBottom w:val="0"/>
          <w:divBdr>
            <w:top w:val="none" w:sz="0" w:space="0" w:color="auto"/>
            <w:left w:val="none" w:sz="0" w:space="0" w:color="auto"/>
            <w:bottom w:val="none" w:sz="0" w:space="0" w:color="auto"/>
            <w:right w:val="none" w:sz="0" w:space="0" w:color="auto"/>
          </w:divBdr>
        </w:div>
        <w:div w:id="184877763">
          <w:marLeft w:val="0"/>
          <w:marRight w:val="0"/>
          <w:marTop w:val="0"/>
          <w:marBottom w:val="0"/>
          <w:divBdr>
            <w:top w:val="none" w:sz="0" w:space="0" w:color="auto"/>
            <w:left w:val="none" w:sz="0" w:space="0" w:color="auto"/>
            <w:bottom w:val="none" w:sz="0" w:space="0" w:color="auto"/>
            <w:right w:val="none" w:sz="0" w:space="0" w:color="auto"/>
          </w:divBdr>
        </w:div>
        <w:div w:id="187333023">
          <w:marLeft w:val="0"/>
          <w:marRight w:val="0"/>
          <w:marTop w:val="0"/>
          <w:marBottom w:val="0"/>
          <w:divBdr>
            <w:top w:val="none" w:sz="0" w:space="0" w:color="auto"/>
            <w:left w:val="none" w:sz="0" w:space="0" w:color="auto"/>
            <w:bottom w:val="none" w:sz="0" w:space="0" w:color="auto"/>
            <w:right w:val="none" w:sz="0" w:space="0" w:color="auto"/>
          </w:divBdr>
        </w:div>
        <w:div w:id="188880264">
          <w:marLeft w:val="0"/>
          <w:marRight w:val="0"/>
          <w:marTop w:val="0"/>
          <w:marBottom w:val="0"/>
          <w:divBdr>
            <w:top w:val="none" w:sz="0" w:space="0" w:color="auto"/>
            <w:left w:val="none" w:sz="0" w:space="0" w:color="auto"/>
            <w:bottom w:val="none" w:sz="0" w:space="0" w:color="auto"/>
            <w:right w:val="none" w:sz="0" w:space="0" w:color="auto"/>
          </w:divBdr>
        </w:div>
        <w:div w:id="191111980">
          <w:marLeft w:val="0"/>
          <w:marRight w:val="0"/>
          <w:marTop w:val="0"/>
          <w:marBottom w:val="0"/>
          <w:divBdr>
            <w:top w:val="none" w:sz="0" w:space="0" w:color="auto"/>
            <w:left w:val="none" w:sz="0" w:space="0" w:color="auto"/>
            <w:bottom w:val="none" w:sz="0" w:space="0" w:color="auto"/>
            <w:right w:val="none" w:sz="0" w:space="0" w:color="auto"/>
          </w:divBdr>
        </w:div>
        <w:div w:id="191263617">
          <w:marLeft w:val="0"/>
          <w:marRight w:val="0"/>
          <w:marTop w:val="0"/>
          <w:marBottom w:val="0"/>
          <w:divBdr>
            <w:top w:val="none" w:sz="0" w:space="0" w:color="auto"/>
            <w:left w:val="none" w:sz="0" w:space="0" w:color="auto"/>
            <w:bottom w:val="none" w:sz="0" w:space="0" w:color="auto"/>
            <w:right w:val="none" w:sz="0" w:space="0" w:color="auto"/>
          </w:divBdr>
        </w:div>
        <w:div w:id="194117951">
          <w:marLeft w:val="0"/>
          <w:marRight w:val="0"/>
          <w:marTop w:val="0"/>
          <w:marBottom w:val="0"/>
          <w:divBdr>
            <w:top w:val="none" w:sz="0" w:space="0" w:color="auto"/>
            <w:left w:val="none" w:sz="0" w:space="0" w:color="auto"/>
            <w:bottom w:val="none" w:sz="0" w:space="0" w:color="auto"/>
            <w:right w:val="none" w:sz="0" w:space="0" w:color="auto"/>
          </w:divBdr>
        </w:div>
        <w:div w:id="194385989">
          <w:marLeft w:val="0"/>
          <w:marRight w:val="0"/>
          <w:marTop w:val="0"/>
          <w:marBottom w:val="0"/>
          <w:divBdr>
            <w:top w:val="none" w:sz="0" w:space="0" w:color="auto"/>
            <w:left w:val="none" w:sz="0" w:space="0" w:color="auto"/>
            <w:bottom w:val="none" w:sz="0" w:space="0" w:color="auto"/>
            <w:right w:val="none" w:sz="0" w:space="0" w:color="auto"/>
          </w:divBdr>
        </w:div>
        <w:div w:id="196355776">
          <w:marLeft w:val="0"/>
          <w:marRight w:val="0"/>
          <w:marTop w:val="0"/>
          <w:marBottom w:val="0"/>
          <w:divBdr>
            <w:top w:val="none" w:sz="0" w:space="0" w:color="auto"/>
            <w:left w:val="none" w:sz="0" w:space="0" w:color="auto"/>
            <w:bottom w:val="none" w:sz="0" w:space="0" w:color="auto"/>
            <w:right w:val="none" w:sz="0" w:space="0" w:color="auto"/>
          </w:divBdr>
        </w:div>
        <w:div w:id="198710225">
          <w:marLeft w:val="0"/>
          <w:marRight w:val="0"/>
          <w:marTop w:val="0"/>
          <w:marBottom w:val="0"/>
          <w:divBdr>
            <w:top w:val="none" w:sz="0" w:space="0" w:color="auto"/>
            <w:left w:val="none" w:sz="0" w:space="0" w:color="auto"/>
            <w:bottom w:val="none" w:sz="0" w:space="0" w:color="auto"/>
            <w:right w:val="none" w:sz="0" w:space="0" w:color="auto"/>
          </w:divBdr>
        </w:div>
        <w:div w:id="207104800">
          <w:marLeft w:val="0"/>
          <w:marRight w:val="0"/>
          <w:marTop w:val="0"/>
          <w:marBottom w:val="0"/>
          <w:divBdr>
            <w:top w:val="none" w:sz="0" w:space="0" w:color="auto"/>
            <w:left w:val="none" w:sz="0" w:space="0" w:color="auto"/>
            <w:bottom w:val="none" w:sz="0" w:space="0" w:color="auto"/>
            <w:right w:val="none" w:sz="0" w:space="0" w:color="auto"/>
          </w:divBdr>
        </w:div>
        <w:div w:id="208496247">
          <w:marLeft w:val="0"/>
          <w:marRight w:val="0"/>
          <w:marTop w:val="0"/>
          <w:marBottom w:val="0"/>
          <w:divBdr>
            <w:top w:val="none" w:sz="0" w:space="0" w:color="auto"/>
            <w:left w:val="none" w:sz="0" w:space="0" w:color="auto"/>
            <w:bottom w:val="none" w:sz="0" w:space="0" w:color="auto"/>
            <w:right w:val="none" w:sz="0" w:space="0" w:color="auto"/>
          </w:divBdr>
        </w:div>
        <w:div w:id="211695183">
          <w:marLeft w:val="0"/>
          <w:marRight w:val="0"/>
          <w:marTop w:val="0"/>
          <w:marBottom w:val="0"/>
          <w:divBdr>
            <w:top w:val="none" w:sz="0" w:space="0" w:color="auto"/>
            <w:left w:val="none" w:sz="0" w:space="0" w:color="auto"/>
            <w:bottom w:val="none" w:sz="0" w:space="0" w:color="auto"/>
            <w:right w:val="none" w:sz="0" w:space="0" w:color="auto"/>
          </w:divBdr>
        </w:div>
        <w:div w:id="216205009">
          <w:marLeft w:val="0"/>
          <w:marRight w:val="0"/>
          <w:marTop w:val="0"/>
          <w:marBottom w:val="0"/>
          <w:divBdr>
            <w:top w:val="none" w:sz="0" w:space="0" w:color="auto"/>
            <w:left w:val="none" w:sz="0" w:space="0" w:color="auto"/>
            <w:bottom w:val="none" w:sz="0" w:space="0" w:color="auto"/>
            <w:right w:val="none" w:sz="0" w:space="0" w:color="auto"/>
          </w:divBdr>
        </w:div>
        <w:div w:id="217590734">
          <w:marLeft w:val="0"/>
          <w:marRight w:val="0"/>
          <w:marTop w:val="0"/>
          <w:marBottom w:val="0"/>
          <w:divBdr>
            <w:top w:val="none" w:sz="0" w:space="0" w:color="auto"/>
            <w:left w:val="none" w:sz="0" w:space="0" w:color="auto"/>
            <w:bottom w:val="none" w:sz="0" w:space="0" w:color="auto"/>
            <w:right w:val="none" w:sz="0" w:space="0" w:color="auto"/>
          </w:divBdr>
        </w:div>
        <w:div w:id="220017825">
          <w:marLeft w:val="0"/>
          <w:marRight w:val="0"/>
          <w:marTop w:val="0"/>
          <w:marBottom w:val="0"/>
          <w:divBdr>
            <w:top w:val="none" w:sz="0" w:space="0" w:color="auto"/>
            <w:left w:val="none" w:sz="0" w:space="0" w:color="auto"/>
            <w:bottom w:val="none" w:sz="0" w:space="0" w:color="auto"/>
            <w:right w:val="none" w:sz="0" w:space="0" w:color="auto"/>
          </w:divBdr>
        </w:div>
        <w:div w:id="224217774">
          <w:marLeft w:val="0"/>
          <w:marRight w:val="0"/>
          <w:marTop w:val="0"/>
          <w:marBottom w:val="0"/>
          <w:divBdr>
            <w:top w:val="none" w:sz="0" w:space="0" w:color="auto"/>
            <w:left w:val="none" w:sz="0" w:space="0" w:color="auto"/>
            <w:bottom w:val="none" w:sz="0" w:space="0" w:color="auto"/>
            <w:right w:val="none" w:sz="0" w:space="0" w:color="auto"/>
          </w:divBdr>
        </w:div>
        <w:div w:id="225918481">
          <w:marLeft w:val="0"/>
          <w:marRight w:val="0"/>
          <w:marTop w:val="0"/>
          <w:marBottom w:val="0"/>
          <w:divBdr>
            <w:top w:val="none" w:sz="0" w:space="0" w:color="auto"/>
            <w:left w:val="none" w:sz="0" w:space="0" w:color="auto"/>
            <w:bottom w:val="none" w:sz="0" w:space="0" w:color="auto"/>
            <w:right w:val="none" w:sz="0" w:space="0" w:color="auto"/>
          </w:divBdr>
        </w:div>
        <w:div w:id="228349855">
          <w:marLeft w:val="0"/>
          <w:marRight w:val="0"/>
          <w:marTop w:val="0"/>
          <w:marBottom w:val="0"/>
          <w:divBdr>
            <w:top w:val="none" w:sz="0" w:space="0" w:color="auto"/>
            <w:left w:val="none" w:sz="0" w:space="0" w:color="auto"/>
            <w:bottom w:val="none" w:sz="0" w:space="0" w:color="auto"/>
            <w:right w:val="none" w:sz="0" w:space="0" w:color="auto"/>
          </w:divBdr>
        </w:div>
        <w:div w:id="232282975">
          <w:marLeft w:val="0"/>
          <w:marRight w:val="0"/>
          <w:marTop w:val="0"/>
          <w:marBottom w:val="0"/>
          <w:divBdr>
            <w:top w:val="none" w:sz="0" w:space="0" w:color="auto"/>
            <w:left w:val="none" w:sz="0" w:space="0" w:color="auto"/>
            <w:bottom w:val="none" w:sz="0" w:space="0" w:color="auto"/>
            <w:right w:val="none" w:sz="0" w:space="0" w:color="auto"/>
          </w:divBdr>
        </w:div>
        <w:div w:id="232664464">
          <w:marLeft w:val="0"/>
          <w:marRight w:val="0"/>
          <w:marTop w:val="0"/>
          <w:marBottom w:val="0"/>
          <w:divBdr>
            <w:top w:val="none" w:sz="0" w:space="0" w:color="auto"/>
            <w:left w:val="none" w:sz="0" w:space="0" w:color="auto"/>
            <w:bottom w:val="none" w:sz="0" w:space="0" w:color="auto"/>
            <w:right w:val="none" w:sz="0" w:space="0" w:color="auto"/>
          </w:divBdr>
        </w:div>
        <w:div w:id="239338889">
          <w:marLeft w:val="0"/>
          <w:marRight w:val="0"/>
          <w:marTop w:val="0"/>
          <w:marBottom w:val="0"/>
          <w:divBdr>
            <w:top w:val="none" w:sz="0" w:space="0" w:color="auto"/>
            <w:left w:val="none" w:sz="0" w:space="0" w:color="auto"/>
            <w:bottom w:val="none" w:sz="0" w:space="0" w:color="auto"/>
            <w:right w:val="none" w:sz="0" w:space="0" w:color="auto"/>
          </w:divBdr>
        </w:div>
        <w:div w:id="247471428">
          <w:marLeft w:val="0"/>
          <w:marRight w:val="0"/>
          <w:marTop w:val="0"/>
          <w:marBottom w:val="0"/>
          <w:divBdr>
            <w:top w:val="none" w:sz="0" w:space="0" w:color="auto"/>
            <w:left w:val="none" w:sz="0" w:space="0" w:color="auto"/>
            <w:bottom w:val="none" w:sz="0" w:space="0" w:color="auto"/>
            <w:right w:val="none" w:sz="0" w:space="0" w:color="auto"/>
          </w:divBdr>
        </w:div>
        <w:div w:id="249436555">
          <w:marLeft w:val="0"/>
          <w:marRight w:val="0"/>
          <w:marTop w:val="0"/>
          <w:marBottom w:val="0"/>
          <w:divBdr>
            <w:top w:val="none" w:sz="0" w:space="0" w:color="auto"/>
            <w:left w:val="none" w:sz="0" w:space="0" w:color="auto"/>
            <w:bottom w:val="none" w:sz="0" w:space="0" w:color="auto"/>
            <w:right w:val="none" w:sz="0" w:space="0" w:color="auto"/>
          </w:divBdr>
        </w:div>
        <w:div w:id="250309932">
          <w:marLeft w:val="0"/>
          <w:marRight w:val="0"/>
          <w:marTop w:val="0"/>
          <w:marBottom w:val="0"/>
          <w:divBdr>
            <w:top w:val="none" w:sz="0" w:space="0" w:color="auto"/>
            <w:left w:val="none" w:sz="0" w:space="0" w:color="auto"/>
            <w:bottom w:val="none" w:sz="0" w:space="0" w:color="auto"/>
            <w:right w:val="none" w:sz="0" w:space="0" w:color="auto"/>
          </w:divBdr>
        </w:div>
        <w:div w:id="252865029">
          <w:marLeft w:val="0"/>
          <w:marRight w:val="0"/>
          <w:marTop w:val="0"/>
          <w:marBottom w:val="0"/>
          <w:divBdr>
            <w:top w:val="none" w:sz="0" w:space="0" w:color="auto"/>
            <w:left w:val="none" w:sz="0" w:space="0" w:color="auto"/>
            <w:bottom w:val="none" w:sz="0" w:space="0" w:color="auto"/>
            <w:right w:val="none" w:sz="0" w:space="0" w:color="auto"/>
          </w:divBdr>
        </w:div>
        <w:div w:id="258754461">
          <w:marLeft w:val="0"/>
          <w:marRight w:val="0"/>
          <w:marTop w:val="0"/>
          <w:marBottom w:val="0"/>
          <w:divBdr>
            <w:top w:val="none" w:sz="0" w:space="0" w:color="auto"/>
            <w:left w:val="none" w:sz="0" w:space="0" w:color="auto"/>
            <w:bottom w:val="none" w:sz="0" w:space="0" w:color="auto"/>
            <w:right w:val="none" w:sz="0" w:space="0" w:color="auto"/>
          </w:divBdr>
        </w:div>
        <w:div w:id="260459429">
          <w:marLeft w:val="0"/>
          <w:marRight w:val="0"/>
          <w:marTop w:val="0"/>
          <w:marBottom w:val="0"/>
          <w:divBdr>
            <w:top w:val="none" w:sz="0" w:space="0" w:color="auto"/>
            <w:left w:val="none" w:sz="0" w:space="0" w:color="auto"/>
            <w:bottom w:val="none" w:sz="0" w:space="0" w:color="auto"/>
            <w:right w:val="none" w:sz="0" w:space="0" w:color="auto"/>
          </w:divBdr>
        </w:div>
        <w:div w:id="260644578">
          <w:marLeft w:val="0"/>
          <w:marRight w:val="0"/>
          <w:marTop w:val="0"/>
          <w:marBottom w:val="0"/>
          <w:divBdr>
            <w:top w:val="none" w:sz="0" w:space="0" w:color="auto"/>
            <w:left w:val="none" w:sz="0" w:space="0" w:color="auto"/>
            <w:bottom w:val="none" w:sz="0" w:space="0" w:color="auto"/>
            <w:right w:val="none" w:sz="0" w:space="0" w:color="auto"/>
          </w:divBdr>
        </w:div>
        <w:div w:id="264115445">
          <w:marLeft w:val="0"/>
          <w:marRight w:val="0"/>
          <w:marTop w:val="0"/>
          <w:marBottom w:val="0"/>
          <w:divBdr>
            <w:top w:val="none" w:sz="0" w:space="0" w:color="auto"/>
            <w:left w:val="none" w:sz="0" w:space="0" w:color="auto"/>
            <w:bottom w:val="none" w:sz="0" w:space="0" w:color="auto"/>
            <w:right w:val="none" w:sz="0" w:space="0" w:color="auto"/>
          </w:divBdr>
        </w:div>
        <w:div w:id="265887295">
          <w:marLeft w:val="0"/>
          <w:marRight w:val="0"/>
          <w:marTop w:val="0"/>
          <w:marBottom w:val="0"/>
          <w:divBdr>
            <w:top w:val="none" w:sz="0" w:space="0" w:color="auto"/>
            <w:left w:val="none" w:sz="0" w:space="0" w:color="auto"/>
            <w:bottom w:val="none" w:sz="0" w:space="0" w:color="auto"/>
            <w:right w:val="none" w:sz="0" w:space="0" w:color="auto"/>
          </w:divBdr>
        </w:div>
        <w:div w:id="267273319">
          <w:marLeft w:val="0"/>
          <w:marRight w:val="0"/>
          <w:marTop w:val="0"/>
          <w:marBottom w:val="0"/>
          <w:divBdr>
            <w:top w:val="none" w:sz="0" w:space="0" w:color="auto"/>
            <w:left w:val="none" w:sz="0" w:space="0" w:color="auto"/>
            <w:bottom w:val="none" w:sz="0" w:space="0" w:color="auto"/>
            <w:right w:val="none" w:sz="0" w:space="0" w:color="auto"/>
          </w:divBdr>
        </w:div>
        <w:div w:id="268853702">
          <w:marLeft w:val="0"/>
          <w:marRight w:val="0"/>
          <w:marTop w:val="0"/>
          <w:marBottom w:val="0"/>
          <w:divBdr>
            <w:top w:val="none" w:sz="0" w:space="0" w:color="auto"/>
            <w:left w:val="none" w:sz="0" w:space="0" w:color="auto"/>
            <w:bottom w:val="none" w:sz="0" w:space="0" w:color="auto"/>
            <w:right w:val="none" w:sz="0" w:space="0" w:color="auto"/>
          </w:divBdr>
        </w:div>
        <w:div w:id="269438226">
          <w:marLeft w:val="0"/>
          <w:marRight w:val="0"/>
          <w:marTop w:val="0"/>
          <w:marBottom w:val="0"/>
          <w:divBdr>
            <w:top w:val="none" w:sz="0" w:space="0" w:color="auto"/>
            <w:left w:val="none" w:sz="0" w:space="0" w:color="auto"/>
            <w:bottom w:val="none" w:sz="0" w:space="0" w:color="auto"/>
            <w:right w:val="none" w:sz="0" w:space="0" w:color="auto"/>
          </w:divBdr>
        </w:div>
        <w:div w:id="270432212">
          <w:marLeft w:val="0"/>
          <w:marRight w:val="0"/>
          <w:marTop w:val="0"/>
          <w:marBottom w:val="0"/>
          <w:divBdr>
            <w:top w:val="none" w:sz="0" w:space="0" w:color="auto"/>
            <w:left w:val="none" w:sz="0" w:space="0" w:color="auto"/>
            <w:bottom w:val="none" w:sz="0" w:space="0" w:color="auto"/>
            <w:right w:val="none" w:sz="0" w:space="0" w:color="auto"/>
          </w:divBdr>
        </w:div>
        <w:div w:id="271057642">
          <w:marLeft w:val="0"/>
          <w:marRight w:val="0"/>
          <w:marTop w:val="0"/>
          <w:marBottom w:val="0"/>
          <w:divBdr>
            <w:top w:val="none" w:sz="0" w:space="0" w:color="auto"/>
            <w:left w:val="none" w:sz="0" w:space="0" w:color="auto"/>
            <w:bottom w:val="none" w:sz="0" w:space="0" w:color="auto"/>
            <w:right w:val="none" w:sz="0" w:space="0" w:color="auto"/>
          </w:divBdr>
        </w:div>
        <w:div w:id="275066406">
          <w:marLeft w:val="0"/>
          <w:marRight w:val="0"/>
          <w:marTop w:val="0"/>
          <w:marBottom w:val="0"/>
          <w:divBdr>
            <w:top w:val="none" w:sz="0" w:space="0" w:color="auto"/>
            <w:left w:val="none" w:sz="0" w:space="0" w:color="auto"/>
            <w:bottom w:val="none" w:sz="0" w:space="0" w:color="auto"/>
            <w:right w:val="none" w:sz="0" w:space="0" w:color="auto"/>
          </w:divBdr>
        </w:div>
        <w:div w:id="284196128">
          <w:marLeft w:val="0"/>
          <w:marRight w:val="0"/>
          <w:marTop w:val="0"/>
          <w:marBottom w:val="0"/>
          <w:divBdr>
            <w:top w:val="none" w:sz="0" w:space="0" w:color="auto"/>
            <w:left w:val="none" w:sz="0" w:space="0" w:color="auto"/>
            <w:bottom w:val="none" w:sz="0" w:space="0" w:color="auto"/>
            <w:right w:val="none" w:sz="0" w:space="0" w:color="auto"/>
          </w:divBdr>
        </w:div>
        <w:div w:id="284779868">
          <w:marLeft w:val="0"/>
          <w:marRight w:val="0"/>
          <w:marTop w:val="0"/>
          <w:marBottom w:val="0"/>
          <w:divBdr>
            <w:top w:val="none" w:sz="0" w:space="0" w:color="auto"/>
            <w:left w:val="none" w:sz="0" w:space="0" w:color="auto"/>
            <w:bottom w:val="none" w:sz="0" w:space="0" w:color="auto"/>
            <w:right w:val="none" w:sz="0" w:space="0" w:color="auto"/>
          </w:divBdr>
        </w:div>
        <w:div w:id="287392496">
          <w:marLeft w:val="0"/>
          <w:marRight w:val="0"/>
          <w:marTop w:val="0"/>
          <w:marBottom w:val="0"/>
          <w:divBdr>
            <w:top w:val="none" w:sz="0" w:space="0" w:color="auto"/>
            <w:left w:val="none" w:sz="0" w:space="0" w:color="auto"/>
            <w:bottom w:val="none" w:sz="0" w:space="0" w:color="auto"/>
            <w:right w:val="none" w:sz="0" w:space="0" w:color="auto"/>
          </w:divBdr>
        </w:div>
        <w:div w:id="287586266">
          <w:marLeft w:val="0"/>
          <w:marRight w:val="0"/>
          <w:marTop w:val="0"/>
          <w:marBottom w:val="0"/>
          <w:divBdr>
            <w:top w:val="none" w:sz="0" w:space="0" w:color="auto"/>
            <w:left w:val="none" w:sz="0" w:space="0" w:color="auto"/>
            <w:bottom w:val="none" w:sz="0" w:space="0" w:color="auto"/>
            <w:right w:val="none" w:sz="0" w:space="0" w:color="auto"/>
          </w:divBdr>
        </w:div>
        <w:div w:id="288779470">
          <w:marLeft w:val="0"/>
          <w:marRight w:val="0"/>
          <w:marTop w:val="0"/>
          <w:marBottom w:val="0"/>
          <w:divBdr>
            <w:top w:val="none" w:sz="0" w:space="0" w:color="auto"/>
            <w:left w:val="none" w:sz="0" w:space="0" w:color="auto"/>
            <w:bottom w:val="none" w:sz="0" w:space="0" w:color="auto"/>
            <w:right w:val="none" w:sz="0" w:space="0" w:color="auto"/>
          </w:divBdr>
        </w:div>
        <w:div w:id="290327134">
          <w:marLeft w:val="0"/>
          <w:marRight w:val="0"/>
          <w:marTop w:val="0"/>
          <w:marBottom w:val="0"/>
          <w:divBdr>
            <w:top w:val="none" w:sz="0" w:space="0" w:color="auto"/>
            <w:left w:val="none" w:sz="0" w:space="0" w:color="auto"/>
            <w:bottom w:val="none" w:sz="0" w:space="0" w:color="auto"/>
            <w:right w:val="none" w:sz="0" w:space="0" w:color="auto"/>
          </w:divBdr>
        </w:div>
        <w:div w:id="292099538">
          <w:marLeft w:val="0"/>
          <w:marRight w:val="0"/>
          <w:marTop w:val="0"/>
          <w:marBottom w:val="0"/>
          <w:divBdr>
            <w:top w:val="none" w:sz="0" w:space="0" w:color="auto"/>
            <w:left w:val="none" w:sz="0" w:space="0" w:color="auto"/>
            <w:bottom w:val="none" w:sz="0" w:space="0" w:color="auto"/>
            <w:right w:val="none" w:sz="0" w:space="0" w:color="auto"/>
          </w:divBdr>
        </w:div>
        <w:div w:id="293607891">
          <w:marLeft w:val="0"/>
          <w:marRight w:val="0"/>
          <w:marTop w:val="0"/>
          <w:marBottom w:val="0"/>
          <w:divBdr>
            <w:top w:val="none" w:sz="0" w:space="0" w:color="auto"/>
            <w:left w:val="none" w:sz="0" w:space="0" w:color="auto"/>
            <w:bottom w:val="none" w:sz="0" w:space="0" w:color="auto"/>
            <w:right w:val="none" w:sz="0" w:space="0" w:color="auto"/>
          </w:divBdr>
        </w:div>
        <w:div w:id="294481679">
          <w:marLeft w:val="0"/>
          <w:marRight w:val="0"/>
          <w:marTop w:val="0"/>
          <w:marBottom w:val="0"/>
          <w:divBdr>
            <w:top w:val="none" w:sz="0" w:space="0" w:color="auto"/>
            <w:left w:val="none" w:sz="0" w:space="0" w:color="auto"/>
            <w:bottom w:val="none" w:sz="0" w:space="0" w:color="auto"/>
            <w:right w:val="none" w:sz="0" w:space="0" w:color="auto"/>
          </w:divBdr>
        </w:div>
        <w:div w:id="295987809">
          <w:marLeft w:val="0"/>
          <w:marRight w:val="0"/>
          <w:marTop w:val="0"/>
          <w:marBottom w:val="0"/>
          <w:divBdr>
            <w:top w:val="none" w:sz="0" w:space="0" w:color="auto"/>
            <w:left w:val="none" w:sz="0" w:space="0" w:color="auto"/>
            <w:bottom w:val="none" w:sz="0" w:space="0" w:color="auto"/>
            <w:right w:val="none" w:sz="0" w:space="0" w:color="auto"/>
          </w:divBdr>
        </w:div>
        <w:div w:id="299312738">
          <w:marLeft w:val="0"/>
          <w:marRight w:val="0"/>
          <w:marTop w:val="0"/>
          <w:marBottom w:val="0"/>
          <w:divBdr>
            <w:top w:val="none" w:sz="0" w:space="0" w:color="auto"/>
            <w:left w:val="none" w:sz="0" w:space="0" w:color="auto"/>
            <w:bottom w:val="none" w:sz="0" w:space="0" w:color="auto"/>
            <w:right w:val="none" w:sz="0" w:space="0" w:color="auto"/>
          </w:divBdr>
        </w:div>
        <w:div w:id="300617493">
          <w:marLeft w:val="0"/>
          <w:marRight w:val="0"/>
          <w:marTop w:val="0"/>
          <w:marBottom w:val="0"/>
          <w:divBdr>
            <w:top w:val="none" w:sz="0" w:space="0" w:color="auto"/>
            <w:left w:val="none" w:sz="0" w:space="0" w:color="auto"/>
            <w:bottom w:val="none" w:sz="0" w:space="0" w:color="auto"/>
            <w:right w:val="none" w:sz="0" w:space="0" w:color="auto"/>
          </w:divBdr>
        </w:div>
        <w:div w:id="303119576">
          <w:marLeft w:val="0"/>
          <w:marRight w:val="0"/>
          <w:marTop w:val="0"/>
          <w:marBottom w:val="0"/>
          <w:divBdr>
            <w:top w:val="none" w:sz="0" w:space="0" w:color="auto"/>
            <w:left w:val="none" w:sz="0" w:space="0" w:color="auto"/>
            <w:bottom w:val="none" w:sz="0" w:space="0" w:color="auto"/>
            <w:right w:val="none" w:sz="0" w:space="0" w:color="auto"/>
          </w:divBdr>
        </w:div>
        <w:div w:id="307318850">
          <w:marLeft w:val="0"/>
          <w:marRight w:val="0"/>
          <w:marTop w:val="0"/>
          <w:marBottom w:val="0"/>
          <w:divBdr>
            <w:top w:val="none" w:sz="0" w:space="0" w:color="auto"/>
            <w:left w:val="none" w:sz="0" w:space="0" w:color="auto"/>
            <w:bottom w:val="none" w:sz="0" w:space="0" w:color="auto"/>
            <w:right w:val="none" w:sz="0" w:space="0" w:color="auto"/>
          </w:divBdr>
        </w:div>
        <w:div w:id="309477588">
          <w:marLeft w:val="0"/>
          <w:marRight w:val="0"/>
          <w:marTop w:val="0"/>
          <w:marBottom w:val="0"/>
          <w:divBdr>
            <w:top w:val="none" w:sz="0" w:space="0" w:color="auto"/>
            <w:left w:val="none" w:sz="0" w:space="0" w:color="auto"/>
            <w:bottom w:val="none" w:sz="0" w:space="0" w:color="auto"/>
            <w:right w:val="none" w:sz="0" w:space="0" w:color="auto"/>
          </w:divBdr>
        </w:div>
        <w:div w:id="310601145">
          <w:marLeft w:val="0"/>
          <w:marRight w:val="0"/>
          <w:marTop w:val="0"/>
          <w:marBottom w:val="0"/>
          <w:divBdr>
            <w:top w:val="none" w:sz="0" w:space="0" w:color="auto"/>
            <w:left w:val="none" w:sz="0" w:space="0" w:color="auto"/>
            <w:bottom w:val="none" w:sz="0" w:space="0" w:color="auto"/>
            <w:right w:val="none" w:sz="0" w:space="0" w:color="auto"/>
          </w:divBdr>
        </w:div>
        <w:div w:id="313073888">
          <w:marLeft w:val="0"/>
          <w:marRight w:val="0"/>
          <w:marTop w:val="0"/>
          <w:marBottom w:val="0"/>
          <w:divBdr>
            <w:top w:val="none" w:sz="0" w:space="0" w:color="auto"/>
            <w:left w:val="none" w:sz="0" w:space="0" w:color="auto"/>
            <w:bottom w:val="none" w:sz="0" w:space="0" w:color="auto"/>
            <w:right w:val="none" w:sz="0" w:space="0" w:color="auto"/>
          </w:divBdr>
        </w:div>
        <w:div w:id="313602576">
          <w:marLeft w:val="0"/>
          <w:marRight w:val="0"/>
          <w:marTop w:val="0"/>
          <w:marBottom w:val="0"/>
          <w:divBdr>
            <w:top w:val="none" w:sz="0" w:space="0" w:color="auto"/>
            <w:left w:val="none" w:sz="0" w:space="0" w:color="auto"/>
            <w:bottom w:val="none" w:sz="0" w:space="0" w:color="auto"/>
            <w:right w:val="none" w:sz="0" w:space="0" w:color="auto"/>
          </w:divBdr>
        </w:div>
        <w:div w:id="316349003">
          <w:marLeft w:val="0"/>
          <w:marRight w:val="0"/>
          <w:marTop w:val="0"/>
          <w:marBottom w:val="0"/>
          <w:divBdr>
            <w:top w:val="none" w:sz="0" w:space="0" w:color="auto"/>
            <w:left w:val="none" w:sz="0" w:space="0" w:color="auto"/>
            <w:bottom w:val="none" w:sz="0" w:space="0" w:color="auto"/>
            <w:right w:val="none" w:sz="0" w:space="0" w:color="auto"/>
          </w:divBdr>
        </w:div>
        <w:div w:id="316419097">
          <w:marLeft w:val="0"/>
          <w:marRight w:val="0"/>
          <w:marTop w:val="0"/>
          <w:marBottom w:val="0"/>
          <w:divBdr>
            <w:top w:val="none" w:sz="0" w:space="0" w:color="auto"/>
            <w:left w:val="none" w:sz="0" w:space="0" w:color="auto"/>
            <w:bottom w:val="none" w:sz="0" w:space="0" w:color="auto"/>
            <w:right w:val="none" w:sz="0" w:space="0" w:color="auto"/>
          </w:divBdr>
        </w:div>
        <w:div w:id="317348115">
          <w:marLeft w:val="0"/>
          <w:marRight w:val="0"/>
          <w:marTop w:val="0"/>
          <w:marBottom w:val="0"/>
          <w:divBdr>
            <w:top w:val="none" w:sz="0" w:space="0" w:color="auto"/>
            <w:left w:val="none" w:sz="0" w:space="0" w:color="auto"/>
            <w:bottom w:val="none" w:sz="0" w:space="0" w:color="auto"/>
            <w:right w:val="none" w:sz="0" w:space="0" w:color="auto"/>
          </w:divBdr>
        </w:div>
        <w:div w:id="317612386">
          <w:marLeft w:val="0"/>
          <w:marRight w:val="0"/>
          <w:marTop w:val="0"/>
          <w:marBottom w:val="0"/>
          <w:divBdr>
            <w:top w:val="none" w:sz="0" w:space="0" w:color="auto"/>
            <w:left w:val="none" w:sz="0" w:space="0" w:color="auto"/>
            <w:bottom w:val="none" w:sz="0" w:space="0" w:color="auto"/>
            <w:right w:val="none" w:sz="0" w:space="0" w:color="auto"/>
          </w:divBdr>
        </w:div>
        <w:div w:id="318657501">
          <w:marLeft w:val="0"/>
          <w:marRight w:val="0"/>
          <w:marTop w:val="0"/>
          <w:marBottom w:val="0"/>
          <w:divBdr>
            <w:top w:val="none" w:sz="0" w:space="0" w:color="auto"/>
            <w:left w:val="none" w:sz="0" w:space="0" w:color="auto"/>
            <w:bottom w:val="none" w:sz="0" w:space="0" w:color="auto"/>
            <w:right w:val="none" w:sz="0" w:space="0" w:color="auto"/>
          </w:divBdr>
        </w:div>
        <w:div w:id="319189271">
          <w:marLeft w:val="0"/>
          <w:marRight w:val="0"/>
          <w:marTop w:val="0"/>
          <w:marBottom w:val="0"/>
          <w:divBdr>
            <w:top w:val="none" w:sz="0" w:space="0" w:color="auto"/>
            <w:left w:val="none" w:sz="0" w:space="0" w:color="auto"/>
            <w:bottom w:val="none" w:sz="0" w:space="0" w:color="auto"/>
            <w:right w:val="none" w:sz="0" w:space="0" w:color="auto"/>
          </w:divBdr>
        </w:div>
        <w:div w:id="319383063">
          <w:marLeft w:val="0"/>
          <w:marRight w:val="0"/>
          <w:marTop w:val="0"/>
          <w:marBottom w:val="0"/>
          <w:divBdr>
            <w:top w:val="none" w:sz="0" w:space="0" w:color="auto"/>
            <w:left w:val="none" w:sz="0" w:space="0" w:color="auto"/>
            <w:bottom w:val="none" w:sz="0" w:space="0" w:color="auto"/>
            <w:right w:val="none" w:sz="0" w:space="0" w:color="auto"/>
          </w:divBdr>
        </w:div>
        <w:div w:id="321392333">
          <w:marLeft w:val="0"/>
          <w:marRight w:val="0"/>
          <w:marTop w:val="0"/>
          <w:marBottom w:val="0"/>
          <w:divBdr>
            <w:top w:val="none" w:sz="0" w:space="0" w:color="auto"/>
            <w:left w:val="none" w:sz="0" w:space="0" w:color="auto"/>
            <w:bottom w:val="none" w:sz="0" w:space="0" w:color="auto"/>
            <w:right w:val="none" w:sz="0" w:space="0" w:color="auto"/>
          </w:divBdr>
        </w:div>
        <w:div w:id="326321510">
          <w:marLeft w:val="0"/>
          <w:marRight w:val="0"/>
          <w:marTop w:val="0"/>
          <w:marBottom w:val="0"/>
          <w:divBdr>
            <w:top w:val="none" w:sz="0" w:space="0" w:color="auto"/>
            <w:left w:val="none" w:sz="0" w:space="0" w:color="auto"/>
            <w:bottom w:val="none" w:sz="0" w:space="0" w:color="auto"/>
            <w:right w:val="none" w:sz="0" w:space="0" w:color="auto"/>
          </w:divBdr>
        </w:div>
        <w:div w:id="328484948">
          <w:marLeft w:val="0"/>
          <w:marRight w:val="0"/>
          <w:marTop w:val="0"/>
          <w:marBottom w:val="0"/>
          <w:divBdr>
            <w:top w:val="none" w:sz="0" w:space="0" w:color="auto"/>
            <w:left w:val="none" w:sz="0" w:space="0" w:color="auto"/>
            <w:bottom w:val="none" w:sz="0" w:space="0" w:color="auto"/>
            <w:right w:val="none" w:sz="0" w:space="0" w:color="auto"/>
          </w:divBdr>
        </w:div>
        <w:div w:id="331447872">
          <w:marLeft w:val="0"/>
          <w:marRight w:val="0"/>
          <w:marTop w:val="0"/>
          <w:marBottom w:val="0"/>
          <w:divBdr>
            <w:top w:val="none" w:sz="0" w:space="0" w:color="auto"/>
            <w:left w:val="none" w:sz="0" w:space="0" w:color="auto"/>
            <w:bottom w:val="none" w:sz="0" w:space="0" w:color="auto"/>
            <w:right w:val="none" w:sz="0" w:space="0" w:color="auto"/>
          </w:divBdr>
        </w:div>
        <w:div w:id="333072633">
          <w:marLeft w:val="0"/>
          <w:marRight w:val="0"/>
          <w:marTop w:val="0"/>
          <w:marBottom w:val="0"/>
          <w:divBdr>
            <w:top w:val="none" w:sz="0" w:space="0" w:color="auto"/>
            <w:left w:val="none" w:sz="0" w:space="0" w:color="auto"/>
            <w:bottom w:val="none" w:sz="0" w:space="0" w:color="auto"/>
            <w:right w:val="none" w:sz="0" w:space="0" w:color="auto"/>
          </w:divBdr>
        </w:div>
        <w:div w:id="333341516">
          <w:marLeft w:val="0"/>
          <w:marRight w:val="0"/>
          <w:marTop w:val="0"/>
          <w:marBottom w:val="0"/>
          <w:divBdr>
            <w:top w:val="none" w:sz="0" w:space="0" w:color="auto"/>
            <w:left w:val="none" w:sz="0" w:space="0" w:color="auto"/>
            <w:bottom w:val="none" w:sz="0" w:space="0" w:color="auto"/>
            <w:right w:val="none" w:sz="0" w:space="0" w:color="auto"/>
          </w:divBdr>
        </w:div>
        <w:div w:id="340789049">
          <w:marLeft w:val="0"/>
          <w:marRight w:val="0"/>
          <w:marTop w:val="0"/>
          <w:marBottom w:val="0"/>
          <w:divBdr>
            <w:top w:val="none" w:sz="0" w:space="0" w:color="auto"/>
            <w:left w:val="none" w:sz="0" w:space="0" w:color="auto"/>
            <w:bottom w:val="none" w:sz="0" w:space="0" w:color="auto"/>
            <w:right w:val="none" w:sz="0" w:space="0" w:color="auto"/>
          </w:divBdr>
        </w:div>
        <w:div w:id="342511750">
          <w:marLeft w:val="0"/>
          <w:marRight w:val="0"/>
          <w:marTop w:val="0"/>
          <w:marBottom w:val="0"/>
          <w:divBdr>
            <w:top w:val="none" w:sz="0" w:space="0" w:color="auto"/>
            <w:left w:val="none" w:sz="0" w:space="0" w:color="auto"/>
            <w:bottom w:val="none" w:sz="0" w:space="0" w:color="auto"/>
            <w:right w:val="none" w:sz="0" w:space="0" w:color="auto"/>
          </w:divBdr>
        </w:div>
        <w:div w:id="342781287">
          <w:marLeft w:val="0"/>
          <w:marRight w:val="0"/>
          <w:marTop w:val="0"/>
          <w:marBottom w:val="0"/>
          <w:divBdr>
            <w:top w:val="none" w:sz="0" w:space="0" w:color="auto"/>
            <w:left w:val="none" w:sz="0" w:space="0" w:color="auto"/>
            <w:bottom w:val="none" w:sz="0" w:space="0" w:color="auto"/>
            <w:right w:val="none" w:sz="0" w:space="0" w:color="auto"/>
          </w:divBdr>
        </w:div>
        <w:div w:id="344476161">
          <w:marLeft w:val="0"/>
          <w:marRight w:val="0"/>
          <w:marTop w:val="0"/>
          <w:marBottom w:val="0"/>
          <w:divBdr>
            <w:top w:val="none" w:sz="0" w:space="0" w:color="auto"/>
            <w:left w:val="none" w:sz="0" w:space="0" w:color="auto"/>
            <w:bottom w:val="none" w:sz="0" w:space="0" w:color="auto"/>
            <w:right w:val="none" w:sz="0" w:space="0" w:color="auto"/>
          </w:divBdr>
        </w:div>
        <w:div w:id="346060431">
          <w:marLeft w:val="0"/>
          <w:marRight w:val="0"/>
          <w:marTop w:val="0"/>
          <w:marBottom w:val="0"/>
          <w:divBdr>
            <w:top w:val="none" w:sz="0" w:space="0" w:color="auto"/>
            <w:left w:val="none" w:sz="0" w:space="0" w:color="auto"/>
            <w:bottom w:val="none" w:sz="0" w:space="0" w:color="auto"/>
            <w:right w:val="none" w:sz="0" w:space="0" w:color="auto"/>
          </w:divBdr>
        </w:div>
        <w:div w:id="350879760">
          <w:marLeft w:val="0"/>
          <w:marRight w:val="0"/>
          <w:marTop w:val="0"/>
          <w:marBottom w:val="0"/>
          <w:divBdr>
            <w:top w:val="none" w:sz="0" w:space="0" w:color="auto"/>
            <w:left w:val="none" w:sz="0" w:space="0" w:color="auto"/>
            <w:bottom w:val="none" w:sz="0" w:space="0" w:color="auto"/>
            <w:right w:val="none" w:sz="0" w:space="0" w:color="auto"/>
          </w:divBdr>
        </w:div>
        <w:div w:id="354692703">
          <w:marLeft w:val="0"/>
          <w:marRight w:val="0"/>
          <w:marTop w:val="0"/>
          <w:marBottom w:val="0"/>
          <w:divBdr>
            <w:top w:val="none" w:sz="0" w:space="0" w:color="auto"/>
            <w:left w:val="none" w:sz="0" w:space="0" w:color="auto"/>
            <w:bottom w:val="none" w:sz="0" w:space="0" w:color="auto"/>
            <w:right w:val="none" w:sz="0" w:space="0" w:color="auto"/>
          </w:divBdr>
        </w:div>
        <w:div w:id="359359117">
          <w:marLeft w:val="0"/>
          <w:marRight w:val="0"/>
          <w:marTop w:val="0"/>
          <w:marBottom w:val="0"/>
          <w:divBdr>
            <w:top w:val="none" w:sz="0" w:space="0" w:color="auto"/>
            <w:left w:val="none" w:sz="0" w:space="0" w:color="auto"/>
            <w:bottom w:val="none" w:sz="0" w:space="0" w:color="auto"/>
            <w:right w:val="none" w:sz="0" w:space="0" w:color="auto"/>
          </w:divBdr>
        </w:div>
        <w:div w:id="361903819">
          <w:marLeft w:val="0"/>
          <w:marRight w:val="0"/>
          <w:marTop w:val="0"/>
          <w:marBottom w:val="0"/>
          <w:divBdr>
            <w:top w:val="none" w:sz="0" w:space="0" w:color="auto"/>
            <w:left w:val="none" w:sz="0" w:space="0" w:color="auto"/>
            <w:bottom w:val="none" w:sz="0" w:space="0" w:color="auto"/>
            <w:right w:val="none" w:sz="0" w:space="0" w:color="auto"/>
          </w:divBdr>
        </w:div>
        <w:div w:id="362367810">
          <w:marLeft w:val="0"/>
          <w:marRight w:val="0"/>
          <w:marTop w:val="0"/>
          <w:marBottom w:val="0"/>
          <w:divBdr>
            <w:top w:val="none" w:sz="0" w:space="0" w:color="auto"/>
            <w:left w:val="none" w:sz="0" w:space="0" w:color="auto"/>
            <w:bottom w:val="none" w:sz="0" w:space="0" w:color="auto"/>
            <w:right w:val="none" w:sz="0" w:space="0" w:color="auto"/>
          </w:divBdr>
        </w:div>
        <w:div w:id="362899575">
          <w:marLeft w:val="0"/>
          <w:marRight w:val="0"/>
          <w:marTop w:val="0"/>
          <w:marBottom w:val="0"/>
          <w:divBdr>
            <w:top w:val="none" w:sz="0" w:space="0" w:color="auto"/>
            <w:left w:val="none" w:sz="0" w:space="0" w:color="auto"/>
            <w:bottom w:val="none" w:sz="0" w:space="0" w:color="auto"/>
            <w:right w:val="none" w:sz="0" w:space="0" w:color="auto"/>
          </w:divBdr>
        </w:div>
        <w:div w:id="366108942">
          <w:marLeft w:val="0"/>
          <w:marRight w:val="0"/>
          <w:marTop w:val="0"/>
          <w:marBottom w:val="0"/>
          <w:divBdr>
            <w:top w:val="none" w:sz="0" w:space="0" w:color="auto"/>
            <w:left w:val="none" w:sz="0" w:space="0" w:color="auto"/>
            <w:bottom w:val="none" w:sz="0" w:space="0" w:color="auto"/>
            <w:right w:val="none" w:sz="0" w:space="0" w:color="auto"/>
          </w:divBdr>
        </w:div>
        <w:div w:id="366565646">
          <w:marLeft w:val="0"/>
          <w:marRight w:val="0"/>
          <w:marTop w:val="0"/>
          <w:marBottom w:val="0"/>
          <w:divBdr>
            <w:top w:val="none" w:sz="0" w:space="0" w:color="auto"/>
            <w:left w:val="none" w:sz="0" w:space="0" w:color="auto"/>
            <w:bottom w:val="none" w:sz="0" w:space="0" w:color="auto"/>
            <w:right w:val="none" w:sz="0" w:space="0" w:color="auto"/>
          </w:divBdr>
        </w:div>
        <w:div w:id="368069512">
          <w:marLeft w:val="0"/>
          <w:marRight w:val="0"/>
          <w:marTop w:val="0"/>
          <w:marBottom w:val="0"/>
          <w:divBdr>
            <w:top w:val="none" w:sz="0" w:space="0" w:color="auto"/>
            <w:left w:val="none" w:sz="0" w:space="0" w:color="auto"/>
            <w:bottom w:val="none" w:sz="0" w:space="0" w:color="auto"/>
            <w:right w:val="none" w:sz="0" w:space="0" w:color="auto"/>
          </w:divBdr>
        </w:div>
        <w:div w:id="370109119">
          <w:marLeft w:val="0"/>
          <w:marRight w:val="0"/>
          <w:marTop w:val="0"/>
          <w:marBottom w:val="0"/>
          <w:divBdr>
            <w:top w:val="none" w:sz="0" w:space="0" w:color="auto"/>
            <w:left w:val="none" w:sz="0" w:space="0" w:color="auto"/>
            <w:bottom w:val="none" w:sz="0" w:space="0" w:color="auto"/>
            <w:right w:val="none" w:sz="0" w:space="0" w:color="auto"/>
          </w:divBdr>
        </w:div>
        <w:div w:id="376978539">
          <w:marLeft w:val="0"/>
          <w:marRight w:val="0"/>
          <w:marTop w:val="0"/>
          <w:marBottom w:val="0"/>
          <w:divBdr>
            <w:top w:val="none" w:sz="0" w:space="0" w:color="auto"/>
            <w:left w:val="none" w:sz="0" w:space="0" w:color="auto"/>
            <w:bottom w:val="none" w:sz="0" w:space="0" w:color="auto"/>
            <w:right w:val="none" w:sz="0" w:space="0" w:color="auto"/>
          </w:divBdr>
        </w:div>
        <w:div w:id="377124687">
          <w:marLeft w:val="0"/>
          <w:marRight w:val="0"/>
          <w:marTop w:val="0"/>
          <w:marBottom w:val="0"/>
          <w:divBdr>
            <w:top w:val="none" w:sz="0" w:space="0" w:color="auto"/>
            <w:left w:val="none" w:sz="0" w:space="0" w:color="auto"/>
            <w:bottom w:val="none" w:sz="0" w:space="0" w:color="auto"/>
            <w:right w:val="none" w:sz="0" w:space="0" w:color="auto"/>
          </w:divBdr>
        </w:div>
        <w:div w:id="377170151">
          <w:marLeft w:val="0"/>
          <w:marRight w:val="0"/>
          <w:marTop w:val="0"/>
          <w:marBottom w:val="0"/>
          <w:divBdr>
            <w:top w:val="none" w:sz="0" w:space="0" w:color="auto"/>
            <w:left w:val="none" w:sz="0" w:space="0" w:color="auto"/>
            <w:bottom w:val="none" w:sz="0" w:space="0" w:color="auto"/>
            <w:right w:val="none" w:sz="0" w:space="0" w:color="auto"/>
          </w:divBdr>
        </w:div>
        <w:div w:id="380325175">
          <w:marLeft w:val="0"/>
          <w:marRight w:val="0"/>
          <w:marTop w:val="0"/>
          <w:marBottom w:val="0"/>
          <w:divBdr>
            <w:top w:val="none" w:sz="0" w:space="0" w:color="auto"/>
            <w:left w:val="none" w:sz="0" w:space="0" w:color="auto"/>
            <w:bottom w:val="none" w:sz="0" w:space="0" w:color="auto"/>
            <w:right w:val="none" w:sz="0" w:space="0" w:color="auto"/>
          </w:divBdr>
        </w:div>
        <w:div w:id="385030844">
          <w:marLeft w:val="0"/>
          <w:marRight w:val="0"/>
          <w:marTop w:val="0"/>
          <w:marBottom w:val="0"/>
          <w:divBdr>
            <w:top w:val="none" w:sz="0" w:space="0" w:color="auto"/>
            <w:left w:val="none" w:sz="0" w:space="0" w:color="auto"/>
            <w:bottom w:val="none" w:sz="0" w:space="0" w:color="auto"/>
            <w:right w:val="none" w:sz="0" w:space="0" w:color="auto"/>
          </w:divBdr>
        </w:div>
        <w:div w:id="387144929">
          <w:marLeft w:val="0"/>
          <w:marRight w:val="0"/>
          <w:marTop w:val="0"/>
          <w:marBottom w:val="0"/>
          <w:divBdr>
            <w:top w:val="none" w:sz="0" w:space="0" w:color="auto"/>
            <w:left w:val="none" w:sz="0" w:space="0" w:color="auto"/>
            <w:bottom w:val="none" w:sz="0" w:space="0" w:color="auto"/>
            <w:right w:val="none" w:sz="0" w:space="0" w:color="auto"/>
          </w:divBdr>
        </w:div>
        <w:div w:id="388305538">
          <w:marLeft w:val="0"/>
          <w:marRight w:val="0"/>
          <w:marTop w:val="0"/>
          <w:marBottom w:val="0"/>
          <w:divBdr>
            <w:top w:val="none" w:sz="0" w:space="0" w:color="auto"/>
            <w:left w:val="none" w:sz="0" w:space="0" w:color="auto"/>
            <w:bottom w:val="none" w:sz="0" w:space="0" w:color="auto"/>
            <w:right w:val="none" w:sz="0" w:space="0" w:color="auto"/>
          </w:divBdr>
        </w:div>
        <w:div w:id="393743778">
          <w:marLeft w:val="0"/>
          <w:marRight w:val="0"/>
          <w:marTop w:val="0"/>
          <w:marBottom w:val="0"/>
          <w:divBdr>
            <w:top w:val="none" w:sz="0" w:space="0" w:color="auto"/>
            <w:left w:val="none" w:sz="0" w:space="0" w:color="auto"/>
            <w:bottom w:val="none" w:sz="0" w:space="0" w:color="auto"/>
            <w:right w:val="none" w:sz="0" w:space="0" w:color="auto"/>
          </w:divBdr>
        </w:div>
        <w:div w:id="398603617">
          <w:marLeft w:val="0"/>
          <w:marRight w:val="0"/>
          <w:marTop w:val="0"/>
          <w:marBottom w:val="0"/>
          <w:divBdr>
            <w:top w:val="none" w:sz="0" w:space="0" w:color="auto"/>
            <w:left w:val="none" w:sz="0" w:space="0" w:color="auto"/>
            <w:bottom w:val="none" w:sz="0" w:space="0" w:color="auto"/>
            <w:right w:val="none" w:sz="0" w:space="0" w:color="auto"/>
          </w:divBdr>
        </w:div>
        <w:div w:id="401177985">
          <w:marLeft w:val="0"/>
          <w:marRight w:val="0"/>
          <w:marTop w:val="0"/>
          <w:marBottom w:val="0"/>
          <w:divBdr>
            <w:top w:val="none" w:sz="0" w:space="0" w:color="auto"/>
            <w:left w:val="none" w:sz="0" w:space="0" w:color="auto"/>
            <w:bottom w:val="none" w:sz="0" w:space="0" w:color="auto"/>
            <w:right w:val="none" w:sz="0" w:space="0" w:color="auto"/>
          </w:divBdr>
        </w:div>
        <w:div w:id="408356933">
          <w:marLeft w:val="0"/>
          <w:marRight w:val="0"/>
          <w:marTop w:val="0"/>
          <w:marBottom w:val="0"/>
          <w:divBdr>
            <w:top w:val="none" w:sz="0" w:space="0" w:color="auto"/>
            <w:left w:val="none" w:sz="0" w:space="0" w:color="auto"/>
            <w:bottom w:val="none" w:sz="0" w:space="0" w:color="auto"/>
            <w:right w:val="none" w:sz="0" w:space="0" w:color="auto"/>
          </w:divBdr>
        </w:div>
        <w:div w:id="409163234">
          <w:marLeft w:val="0"/>
          <w:marRight w:val="0"/>
          <w:marTop w:val="0"/>
          <w:marBottom w:val="0"/>
          <w:divBdr>
            <w:top w:val="none" w:sz="0" w:space="0" w:color="auto"/>
            <w:left w:val="none" w:sz="0" w:space="0" w:color="auto"/>
            <w:bottom w:val="none" w:sz="0" w:space="0" w:color="auto"/>
            <w:right w:val="none" w:sz="0" w:space="0" w:color="auto"/>
          </w:divBdr>
        </w:div>
        <w:div w:id="409500807">
          <w:marLeft w:val="0"/>
          <w:marRight w:val="0"/>
          <w:marTop w:val="0"/>
          <w:marBottom w:val="0"/>
          <w:divBdr>
            <w:top w:val="none" w:sz="0" w:space="0" w:color="auto"/>
            <w:left w:val="none" w:sz="0" w:space="0" w:color="auto"/>
            <w:bottom w:val="none" w:sz="0" w:space="0" w:color="auto"/>
            <w:right w:val="none" w:sz="0" w:space="0" w:color="auto"/>
          </w:divBdr>
        </w:div>
        <w:div w:id="410153719">
          <w:marLeft w:val="0"/>
          <w:marRight w:val="0"/>
          <w:marTop w:val="0"/>
          <w:marBottom w:val="0"/>
          <w:divBdr>
            <w:top w:val="none" w:sz="0" w:space="0" w:color="auto"/>
            <w:left w:val="none" w:sz="0" w:space="0" w:color="auto"/>
            <w:bottom w:val="none" w:sz="0" w:space="0" w:color="auto"/>
            <w:right w:val="none" w:sz="0" w:space="0" w:color="auto"/>
          </w:divBdr>
        </w:div>
        <w:div w:id="410391382">
          <w:marLeft w:val="0"/>
          <w:marRight w:val="0"/>
          <w:marTop w:val="0"/>
          <w:marBottom w:val="0"/>
          <w:divBdr>
            <w:top w:val="none" w:sz="0" w:space="0" w:color="auto"/>
            <w:left w:val="none" w:sz="0" w:space="0" w:color="auto"/>
            <w:bottom w:val="none" w:sz="0" w:space="0" w:color="auto"/>
            <w:right w:val="none" w:sz="0" w:space="0" w:color="auto"/>
          </w:divBdr>
        </w:div>
        <w:div w:id="413165509">
          <w:marLeft w:val="0"/>
          <w:marRight w:val="0"/>
          <w:marTop w:val="0"/>
          <w:marBottom w:val="0"/>
          <w:divBdr>
            <w:top w:val="none" w:sz="0" w:space="0" w:color="auto"/>
            <w:left w:val="none" w:sz="0" w:space="0" w:color="auto"/>
            <w:bottom w:val="none" w:sz="0" w:space="0" w:color="auto"/>
            <w:right w:val="none" w:sz="0" w:space="0" w:color="auto"/>
          </w:divBdr>
        </w:div>
        <w:div w:id="419568936">
          <w:marLeft w:val="0"/>
          <w:marRight w:val="0"/>
          <w:marTop w:val="0"/>
          <w:marBottom w:val="0"/>
          <w:divBdr>
            <w:top w:val="none" w:sz="0" w:space="0" w:color="auto"/>
            <w:left w:val="none" w:sz="0" w:space="0" w:color="auto"/>
            <w:bottom w:val="none" w:sz="0" w:space="0" w:color="auto"/>
            <w:right w:val="none" w:sz="0" w:space="0" w:color="auto"/>
          </w:divBdr>
        </w:div>
        <w:div w:id="420755573">
          <w:marLeft w:val="0"/>
          <w:marRight w:val="0"/>
          <w:marTop w:val="0"/>
          <w:marBottom w:val="0"/>
          <w:divBdr>
            <w:top w:val="none" w:sz="0" w:space="0" w:color="auto"/>
            <w:left w:val="none" w:sz="0" w:space="0" w:color="auto"/>
            <w:bottom w:val="none" w:sz="0" w:space="0" w:color="auto"/>
            <w:right w:val="none" w:sz="0" w:space="0" w:color="auto"/>
          </w:divBdr>
        </w:div>
        <w:div w:id="425269896">
          <w:marLeft w:val="0"/>
          <w:marRight w:val="0"/>
          <w:marTop w:val="0"/>
          <w:marBottom w:val="0"/>
          <w:divBdr>
            <w:top w:val="none" w:sz="0" w:space="0" w:color="auto"/>
            <w:left w:val="none" w:sz="0" w:space="0" w:color="auto"/>
            <w:bottom w:val="none" w:sz="0" w:space="0" w:color="auto"/>
            <w:right w:val="none" w:sz="0" w:space="0" w:color="auto"/>
          </w:divBdr>
        </w:div>
        <w:div w:id="430703037">
          <w:marLeft w:val="0"/>
          <w:marRight w:val="0"/>
          <w:marTop w:val="0"/>
          <w:marBottom w:val="0"/>
          <w:divBdr>
            <w:top w:val="none" w:sz="0" w:space="0" w:color="auto"/>
            <w:left w:val="none" w:sz="0" w:space="0" w:color="auto"/>
            <w:bottom w:val="none" w:sz="0" w:space="0" w:color="auto"/>
            <w:right w:val="none" w:sz="0" w:space="0" w:color="auto"/>
          </w:divBdr>
        </w:div>
        <w:div w:id="431509356">
          <w:marLeft w:val="0"/>
          <w:marRight w:val="0"/>
          <w:marTop w:val="0"/>
          <w:marBottom w:val="0"/>
          <w:divBdr>
            <w:top w:val="none" w:sz="0" w:space="0" w:color="auto"/>
            <w:left w:val="none" w:sz="0" w:space="0" w:color="auto"/>
            <w:bottom w:val="none" w:sz="0" w:space="0" w:color="auto"/>
            <w:right w:val="none" w:sz="0" w:space="0" w:color="auto"/>
          </w:divBdr>
        </w:div>
        <w:div w:id="441808095">
          <w:marLeft w:val="0"/>
          <w:marRight w:val="0"/>
          <w:marTop w:val="0"/>
          <w:marBottom w:val="0"/>
          <w:divBdr>
            <w:top w:val="none" w:sz="0" w:space="0" w:color="auto"/>
            <w:left w:val="none" w:sz="0" w:space="0" w:color="auto"/>
            <w:bottom w:val="none" w:sz="0" w:space="0" w:color="auto"/>
            <w:right w:val="none" w:sz="0" w:space="0" w:color="auto"/>
          </w:divBdr>
        </w:div>
        <w:div w:id="442573707">
          <w:marLeft w:val="0"/>
          <w:marRight w:val="0"/>
          <w:marTop w:val="0"/>
          <w:marBottom w:val="0"/>
          <w:divBdr>
            <w:top w:val="none" w:sz="0" w:space="0" w:color="auto"/>
            <w:left w:val="none" w:sz="0" w:space="0" w:color="auto"/>
            <w:bottom w:val="none" w:sz="0" w:space="0" w:color="auto"/>
            <w:right w:val="none" w:sz="0" w:space="0" w:color="auto"/>
          </w:divBdr>
        </w:div>
        <w:div w:id="447091992">
          <w:marLeft w:val="0"/>
          <w:marRight w:val="0"/>
          <w:marTop w:val="0"/>
          <w:marBottom w:val="0"/>
          <w:divBdr>
            <w:top w:val="none" w:sz="0" w:space="0" w:color="auto"/>
            <w:left w:val="none" w:sz="0" w:space="0" w:color="auto"/>
            <w:bottom w:val="none" w:sz="0" w:space="0" w:color="auto"/>
            <w:right w:val="none" w:sz="0" w:space="0" w:color="auto"/>
          </w:divBdr>
        </w:div>
        <w:div w:id="451022618">
          <w:marLeft w:val="0"/>
          <w:marRight w:val="0"/>
          <w:marTop w:val="0"/>
          <w:marBottom w:val="0"/>
          <w:divBdr>
            <w:top w:val="none" w:sz="0" w:space="0" w:color="auto"/>
            <w:left w:val="none" w:sz="0" w:space="0" w:color="auto"/>
            <w:bottom w:val="none" w:sz="0" w:space="0" w:color="auto"/>
            <w:right w:val="none" w:sz="0" w:space="0" w:color="auto"/>
          </w:divBdr>
        </w:div>
        <w:div w:id="451554941">
          <w:marLeft w:val="0"/>
          <w:marRight w:val="0"/>
          <w:marTop w:val="0"/>
          <w:marBottom w:val="0"/>
          <w:divBdr>
            <w:top w:val="none" w:sz="0" w:space="0" w:color="auto"/>
            <w:left w:val="none" w:sz="0" w:space="0" w:color="auto"/>
            <w:bottom w:val="none" w:sz="0" w:space="0" w:color="auto"/>
            <w:right w:val="none" w:sz="0" w:space="0" w:color="auto"/>
          </w:divBdr>
        </w:div>
        <w:div w:id="453400983">
          <w:marLeft w:val="0"/>
          <w:marRight w:val="0"/>
          <w:marTop w:val="0"/>
          <w:marBottom w:val="0"/>
          <w:divBdr>
            <w:top w:val="none" w:sz="0" w:space="0" w:color="auto"/>
            <w:left w:val="none" w:sz="0" w:space="0" w:color="auto"/>
            <w:bottom w:val="none" w:sz="0" w:space="0" w:color="auto"/>
            <w:right w:val="none" w:sz="0" w:space="0" w:color="auto"/>
          </w:divBdr>
        </w:div>
        <w:div w:id="453866997">
          <w:marLeft w:val="0"/>
          <w:marRight w:val="0"/>
          <w:marTop w:val="0"/>
          <w:marBottom w:val="0"/>
          <w:divBdr>
            <w:top w:val="none" w:sz="0" w:space="0" w:color="auto"/>
            <w:left w:val="none" w:sz="0" w:space="0" w:color="auto"/>
            <w:bottom w:val="none" w:sz="0" w:space="0" w:color="auto"/>
            <w:right w:val="none" w:sz="0" w:space="0" w:color="auto"/>
          </w:divBdr>
        </w:div>
        <w:div w:id="454833227">
          <w:marLeft w:val="0"/>
          <w:marRight w:val="0"/>
          <w:marTop w:val="0"/>
          <w:marBottom w:val="0"/>
          <w:divBdr>
            <w:top w:val="none" w:sz="0" w:space="0" w:color="auto"/>
            <w:left w:val="none" w:sz="0" w:space="0" w:color="auto"/>
            <w:bottom w:val="none" w:sz="0" w:space="0" w:color="auto"/>
            <w:right w:val="none" w:sz="0" w:space="0" w:color="auto"/>
          </w:divBdr>
        </w:div>
        <w:div w:id="464084052">
          <w:marLeft w:val="0"/>
          <w:marRight w:val="0"/>
          <w:marTop w:val="0"/>
          <w:marBottom w:val="0"/>
          <w:divBdr>
            <w:top w:val="none" w:sz="0" w:space="0" w:color="auto"/>
            <w:left w:val="none" w:sz="0" w:space="0" w:color="auto"/>
            <w:bottom w:val="none" w:sz="0" w:space="0" w:color="auto"/>
            <w:right w:val="none" w:sz="0" w:space="0" w:color="auto"/>
          </w:divBdr>
        </w:div>
        <w:div w:id="464276626">
          <w:marLeft w:val="0"/>
          <w:marRight w:val="0"/>
          <w:marTop w:val="0"/>
          <w:marBottom w:val="0"/>
          <w:divBdr>
            <w:top w:val="none" w:sz="0" w:space="0" w:color="auto"/>
            <w:left w:val="none" w:sz="0" w:space="0" w:color="auto"/>
            <w:bottom w:val="none" w:sz="0" w:space="0" w:color="auto"/>
            <w:right w:val="none" w:sz="0" w:space="0" w:color="auto"/>
          </w:divBdr>
        </w:div>
        <w:div w:id="468210969">
          <w:marLeft w:val="0"/>
          <w:marRight w:val="0"/>
          <w:marTop w:val="0"/>
          <w:marBottom w:val="0"/>
          <w:divBdr>
            <w:top w:val="none" w:sz="0" w:space="0" w:color="auto"/>
            <w:left w:val="none" w:sz="0" w:space="0" w:color="auto"/>
            <w:bottom w:val="none" w:sz="0" w:space="0" w:color="auto"/>
            <w:right w:val="none" w:sz="0" w:space="0" w:color="auto"/>
          </w:divBdr>
        </w:div>
        <w:div w:id="480537819">
          <w:marLeft w:val="0"/>
          <w:marRight w:val="0"/>
          <w:marTop w:val="0"/>
          <w:marBottom w:val="0"/>
          <w:divBdr>
            <w:top w:val="none" w:sz="0" w:space="0" w:color="auto"/>
            <w:left w:val="none" w:sz="0" w:space="0" w:color="auto"/>
            <w:bottom w:val="none" w:sz="0" w:space="0" w:color="auto"/>
            <w:right w:val="none" w:sz="0" w:space="0" w:color="auto"/>
          </w:divBdr>
        </w:div>
        <w:div w:id="481627832">
          <w:marLeft w:val="0"/>
          <w:marRight w:val="0"/>
          <w:marTop w:val="0"/>
          <w:marBottom w:val="0"/>
          <w:divBdr>
            <w:top w:val="none" w:sz="0" w:space="0" w:color="auto"/>
            <w:left w:val="none" w:sz="0" w:space="0" w:color="auto"/>
            <w:bottom w:val="none" w:sz="0" w:space="0" w:color="auto"/>
            <w:right w:val="none" w:sz="0" w:space="0" w:color="auto"/>
          </w:divBdr>
        </w:div>
        <w:div w:id="482551250">
          <w:marLeft w:val="0"/>
          <w:marRight w:val="0"/>
          <w:marTop w:val="0"/>
          <w:marBottom w:val="0"/>
          <w:divBdr>
            <w:top w:val="none" w:sz="0" w:space="0" w:color="auto"/>
            <w:left w:val="none" w:sz="0" w:space="0" w:color="auto"/>
            <w:bottom w:val="none" w:sz="0" w:space="0" w:color="auto"/>
            <w:right w:val="none" w:sz="0" w:space="0" w:color="auto"/>
          </w:divBdr>
        </w:div>
        <w:div w:id="483397136">
          <w:marLeft w:val="0"/>
          <w:marRight w:val="0"/>
          <w:marTop w:val="0"/>
          <w:marBottom w:val="0"/>
          <w:divBdr>
            <w:top w:val="none" w:sz="0" w:space="0" w:color="auto"/>
            <w:left w:val="none" w:sz="0" w:space="0" w:color="auto"/>
            <w:bottom w:val="none" w:sz="0" w:space="0" w:color="auto"/>
            <w:right w:val="none" w:sz="0" w:space="0" w:color="auto"/>
          </w:divBdr>
        </w:div>
        <w:div w:id="486091888">
          <w:marLeft w:val="0"/>
          <w:marRight w:val="0"/>
          <w:marTop w:val="0"/>
          <w:marBottom w:val="0"/>
          <w:divBdr>
            <w:top w:val="none" w:sz="0" w:space="0" w:color="auto"/>
            <w:left w:val="none" w:sz="0" w:space="0" w:color="auto"/>
            <w:bottom w:val="none" w:sz="0" w:space="0" w:color="auto"/>
            <w:right w:val="none" w:sz="0" w:space="0" w:color="auto"/>
          </w:divBdr>
        </w:div>
        <w:div w:id="486895499">
          <w:marLeft w:val="0"/>
          <w:marRight w:val="0"/>
          <w:marTop w:val="0"/>
          <w:marBottom w:val="0"/>
          <w:divBdr>
            <w:top w:val="none" w:sz="0" w:space="0" w:color="auto"/>
            <w:left w:val="none" w:sz="0" w:space="0" w:color="auto"/>
            <w:bottom w:val="none" w:sz="0" w:space="0" w:color="auto"/>
            <w:right w:val="none" w:sz="0" w:space="0" w:color="auto"/>
          </w:divBdr>
        </w:div>
        <w:div w:id="488444945">
          <w:marLeft w:val="0"/>
          <w:marRight w:val="0"/>
          <w:marTop w:val="0"/>
          <w:marBottom w:val="0"/>
          <w:divBdr>
            <w:top w:val="none" w:sz="0" w:space="0" w:color="auto"/>
            <w:left w:val="none" w:sz="0" w:space="0" w:color="auto"/>
            <w:bottom w:val="none" w:sz="0" w:space="0" w:color="auto"/>
            <w:right w:val="none" w:sz="0" w:space="0" w:color="auto"/>
          </w:divBdr>
        </w:div>
        <w:div w:id="494154898">
          <w:marLeft w:val="0"/>
          <w:marRight w:val="0"/>
          <w:marTop w:val="0"/>
          <w:marBottom w:val="0"/>
          <w:divBdr>
            <w:top w:val="none" w:sz="0" w:space="0" w:color="auto"/>
            <w:left w:val="none" w:sz="0" w:space="0" w:color="auto"/>
            <w:bottom w:val="none" w:sz="0" w:space="0" w:color="auto"/>
            <w:right w:val="none" w:sz="0" w:space="0" w:color="auto"/>
          </w:divBdr>
        </w:div>
        <w:div w:id="497577233">
          <w:marLeft w:val="0"/>
          <w:marRight w:val="0"/>
          <w:marTop w:val="0"/>
          <w:marBottom w:val="0"/>
          <w:divBdr>
            <w:top w:val="none" w:sz="0" w:space="0" w:color="auto"/>
            <w:left w:val="none" w:sz="0" w:space="0" w:color="auto"/>
            <w:bottom w:val="none" w:sz="0" w:space="0" w:color="auto"/>
            <w:right w:val="none" w:sz="0" w:space="0" w:color="auto"/>
          </w:divBdr>
        </w:div>
        <w:div w:id="503016213">
          <w:marLeft w:val="0"/>
          <w:marRight w:val="0"/>
          <w:marTop w:val="0"/>
          <w:marBottom w:val="0"/>
          <w:divBdr>
            <w:top w:val="none" w:sz="0" w:space="0" w:color="auto"/>
            <w:left w:val="none" w:sz="0" w:space="0" w:color="auto"/>
            <w:bottom w:val="none" w:sz="0" w:space="0" w:color="auto"/>
            <w:right w:val="none" w:sz="0" w:space="0" w:color="auto"/>
          </w:divBdr>
        </w:div>
        <w:div w:id="504513302">
          <w:marLeft w:val="0"/>
          <w:marRight w:val="0"/>
          <w:marTop w:val="0"/>
          <w:marBottom w:val="0"/>
          <w:divBdr>
            <w:top w:val="none" w:sz="0" w:space="0" w:color="auto"/>
            <w:left w:val="none" w:sz="0" w:space="0" w:color="auto"/>
            <w:bottom w:val="none" w:sz="0" w:space="0" w:color="auto"/>
            <w:right w:val="none" w:sz="0" w:space="0" w:color="auto"/>
          </w:divBdr>
        </w:div>
        <w:div w:id="513884244">
          <w:marLeft w:val="0"/>
          <w:marRight w:val="0"/>
          <w:marTop w:val="0"/>
          <w:marBottom w:val="0"/>
          <w:divBdr>
            <w:top w:val="none" w:sz="0" w:space="0" w:color="auto"/>
            <w:left w:val="none" w:sz="0" w:space="0" w:color="auto"/>
            <w:bottom w:val="none" w:sz="0" w:space="0" w:color="auto"/>
            <w:right w:val="none" w:sz="0" w:space="0" w:color="auto"/>
          </w:divBdr>
        </w:div>
        <w:div w:id="515965929">
          <w:marLeft w:val="0"/>
          <w:marRight w:val="0"/>
          <w:marTop w:val="0"/>
          <w:marBottom w:val="0"/>
          <w:divBdr>
            <w:top w:val="none" w:sz="0" w:space="0" w:color="auto"/>
            <w:left w:val="none" w:sz="0" w:space="0" w:color="auto"/>
            <w:bottom w:val="none" w:sz="0" w:space="0" w:color="auto"/>
            <w:right w:val="none" w:sz="0" w:space="0" w:color="auto"/>
          </w:divBdr>
        </w:div>
        <w:div w:id="518281618">
          <w:marLeft w:val="0"/>
          <w:marRight w:val="0"/>
          <w:marTop w:val="0"/>
          <w:marBottom w:val="0"/>
          <w:divBdr>
            <w:top w:val="none" w:sz="0" w:space="0" w:color="auto"/>
            <w:left w:val="none" w:sz="0" w:space="0" w:color="auto"/>
            <w:bottom w:val="none" w:sz="0" w:space="0" w:color="auto"/>
            <w:right w:val="none" w:sz="0" w:space="0" w:color="auto"/>
          </w:divBdr>
        </w:div>
        <w:div w:id="524636639">
          <w:marLeft w:val="0"/>
          <w:marRight w:val="0"/>
          <w:marTop w:val="0"/>
          <w:marBottom w:val="0"/>
          <w:divBdr>
            <w:top w:val="none" w:sz="0" w:space="0" w:color="auto"/>
            <w:left w:val="none" w:sz="0" w:space="0" w:color="auto"/>
            <w:bottom w:val="none" w:sz="0" w:space="0" w:color="auto"/>
            <w:right w:val="none" w:sz="0" w:space="0" w:color="auto"/>
          </w:divBdr>
        </w:div>
        <w:div w:id="526647512">
          <w:marLeft w:val="0"/>
          <w:marRight w:val="0"/>
          <w:marTop w:val="0"/>
          <w:marBottom w:val="0"/>
          <w:divBdr>
            <w:top w:val="none" w:sz="0" w:space="0" w:color="auto"/>
            <w:left w:val="none" w:sz="0" w:space="0" w:color="auto"/>
            <w:bottom w:val="none" w:sz="0" w:space="0" w:color="auto"/>
            <w:right w:val="none" w:sz="0" w:space="0" w:color="auto"/>
          </w:divBdr>
        </w:div>
        <w:div w:id="531766364">
          <w:marLeft w:val="0"/>
          <w:marRight w:val="0"/>
          <w:marTop w:val="0"/>
          <w:marBottom w:val="0"/>
          <w:divBdr>
            <w:top w:val="none" w:sz="0" w:space="0" w:color="auto"/>
            <w:left w:val="none" w:sz="0" w:space="0" w:color="auto"/>
            <w:bottom w:val="none" w:sz="0" w:space="0" w:color="auto"/>
            <w:right w:val="none" w:sz="0" w:space="0" w:color="auto"/>
          </w:divBdr>
        </w:div>
        <w:div w:id="532572974">
          <w:marLeft w:val="0"/>
          <w:marRight w:val="0"/>
          <w:marTop w:val="0"/>
          <w:marBottom w:val="0"/>
          <w:divBdr>
            <w:top w:val="none" w:sz="0" w:space="0" w:color="auto"/>
            <w:left w:val="none" w:sz="0" w:space="0" w:color="auto"/>
            <w:bottom w:val="none" w:sz="0" w:space="0" w:color="auto"/>
            <w:right w:val="none" w:sz="0" w:space="0" w:color="auto"/>
          </w:divBdr>
        </w:div>
        <w:div w:id="533346372">
          <w:marLeft w:val="0"/>
          <w:marRight w:val="0"/>
          <w:marTop w:val="0"/>
          <w:marBottom w:val="0"/>
          <w:divBdr>
            <w:top w:val="none" w:sz="0" w:space="0" w:color="auto"/>
            <w:left w:val="none" w:sz="0" w:space="0" w:color="auto"/>
            <w:bottom w:val="none" w:sz="0" w:space="0" w:color="auto"/>
            <w:right w:val="none" w:sz="0" w:space="0" w:color="auto"/>
          </w:divBdr>
        </w:div>
        <w:div w:id="533538158">
          <w:marLeft w:val="0"/>
          <w:marRight w:val="0"/>
          <w:marTop w:val="0"/>
          <w:marBottom w:val="0"/>
          <w:divBdr>
            <w:top w:val="none" w:sz="0" w:space="0" w:color="auto"/>
            <w:left w:val="none" w:sz="0" w:space="0" w:color="auto"/>
            <w:bottom w:val="none" w:sz="0" w:space="0" w:color="auto"/>
            <w:right w:val="none" w:sz="0" w:space="0" w:color="auto"/>
          </w:divBdr>
        </w:div>
        <w:div w:id="535315587">
          <w:marLeft w:val="0"/>
          <w:marRight w:val="0"/>
          <w:marTop w:val="0"/>
          <w:marBottom w:val="0"/>
          <w:divBdr>
            <w:top w:val="none" w:sz="0" w:space="0" w:color="auto"/>
            <w:left w:val="none" w:sz="0" w:space="0" w:color="auto"/>
            <w:bottom w:val="none" w:sz="0" w:space="0" w:color="auto"/>
            <w:right w:val="none" w:sz="0" w:space="0" w:color="auto"/>
          </w:divBdr>
        </w:div>
        <w:div w:id="536545310">
          <w:marLeft w:val="0"/>
          <w:marRight w:val="0"/>
          <w:marTop w:val="0"/>
          <w:marBottom w:val="0"/>
          <w:divBdr>
            <w:top w:val="none" w:sz="0" w:space="0" w:color="auto"/>
            <w:left w:val="none" w:sz="0" w:space="0" w:color="auto"/>
            <w:bottom w:val="none" w:sz="0" w:space="0" w:color="auto"/>
            <w:right w:val="none" w:sz="0" w:space="0" w:color="auto"/>
          </w:divBdr>
        </w:div>
        <w:div w:id="538128997">
          <w:marLeft w:val="0"/>
          <w:marRight w:val="0"/>
          <w:marTop w:val="0"/>
          <w:marBottom w:val="0"/>
          <w:divBdr>
            <w:top w:val="none" w:sz="0" w:space="0" w:color="auto"/>
            <w:left w:val="none" w:sz="0" w:space="0" w:color="auto"/>
            <w:bottom w:val="none" w:sz="0" w:space="0" w:color="auto"/>
            <w:right w:val="none" w:sz="0" w:space="0" w:color="auto"/>
          </w:divBdr>
        </w:div>
        <w:div w:id="541864783">
          <w:marLeft w:val="0"/>
          <w:marRight w:val="0"/>
          <w:marTop w:val="0"/>
          <w:marBottom w:val="0"/>
          <w:divBdr>
            <w:top w:val="none" w:sz="0" w:space="0" w:color="auto"/>
            <w:left w:val="none" w:sz="0" w:space="0" w:color="auto"/>
            <w:bottom w:val="none" w:sz="0" w:space="0" w:color="auto"/>
            <w:right w:val="none" w:sz="0" w:space="0" w:color="auto"/>
          </w:divBdr>
        </w:div>
        <w:div w:id="542061931">
          <w:marLeft w:val="0"/>
          <w:marRight w:val="0"/>
          <w:marTop w:val="0"/>
          <w:marBottom w:val="0"/>
          <w:divBdr>
            <w:top w:val="none" w:sz="0" w:space="0" w:color="auto"/>
            <w:left w:val="none" w:sz="0" w:space="0" w:color="auto"/>
            <w:bottom w:val="none" w:sz="0" w:space="0" w:color="auto"/>
            <w:right w:val="none" w:sz="0" w:space="0" w:color="auto"/>
          </w:divBdr>
        </w:div>
        <w:div w:id="545071343">
          <w:marLeft w:val="0"/>
          <w:marRight w:val="0"/>
          <w:marTop w:val="0"/>
          <w:marBottom w:val="0"/>
          <w:divBdr>
            <w:top w:val="none" w:sz="0" w:space="0" w:color="auto"/>
            <w:left w:val="none" w:sz="0" w:space="0" w:color="auto"/>
            <w:bottom w:val="none" w:sz="0" w:space="0" w:color="auto"/>
            <w:right w:val="none" w:sz="0" w:space="0" w:color="auto"/>
          </w:divBdr>
        </w:div>
        <w:div w:id="555505711">
          <w:marLeft w:val="0"/>
          <w:marRight w:val="0"/>
          <w:marTop w:val="0"/>
          <w:marBottom w:val="0"/>
          <w:divBdr>
            <w:top w:val="none" w:sz="0" w:space="0" w:color="auto"/>
            <w:left w:val="none" w:sz="0" w:space="0" w:color="auto"/>
            <w:bottom w:val="none" w:sz="0" w:space="0" w:color="auto"/>
            <w:right w:val="none" w:sz="0" w:space="0" w:color="auto"/>
          </w:divBdr>
        </w:div>
        <w:div w:id="564605522">
          <w:marLeft w:val="0"/>
          <w:marRight w:val="0"/>
          <w:marTop w:val="0"/>
          <w:marBottom w:val="0"/>
          <w:divBdr>
            <w:top w:val="none" w:sz="0" w:space="0" w:color="auto"/>
            <w:left w:val="none" w:sz="0" w:space="0" w:color="auto"/>
            <w:bottom w:val="none" w:sz="0" w:space="0" w:color="auto"/>
            <w:right w:val="none" w:sz="0" w:space="0" w:color="auto"/>
          </w:divBdr>
        </w:div>
        <w:div w:id="564947217">
          <w:marLeft w:val="0"/>
          <w:marRight w:val="0"/>
          <w:marTop w:val="0"/>
          <w:marBottom w:val="0"/>
          <w:divBdr>
            <w:top w:val="none" w:sz="0" w:space="0" w:color="auto"/>
            <w:left w:val="none" w:sz="0" w:space="0" w:color="auto"/>
            <w:bottom w:val="none" w:sz="0" w:space="0" w:color="auto"/>
            <w:right w:val="none" w:sz="0" w:space="0" w:color="auto"/>
          </w:divBdr>
        </w:div>
        <w:div w:id="569267517">
          <w:marLeft w:val="0"/>
          <w:marRight w:val="0"/>
          <w:marTop w:val="0"/>
          <w:marBottom w:val="0"/>
          <w:divBdr>
            <w:top w:val="none" w:sz="0" w:space="0" w:color="auto"/>
            <w:left w:val="none" w:sz="0" w:space="0" w:color="auto"/>
            <w:bottom w:val="none" w:sz="0" w:space="0" w:color="auto"/>
            <w:right w:val="none" w:sz="0" w:space="0" w:color="auto"/>
          </w:divBdr>
        </w:div>
        <w:div w:id="574509301">
          <w:marLeft w:val="0"/>
          <w:marRight w:val="0"/>
          <w:marTop w:val="0"/>
          <w:marBottom w:val="0"/>
          <w:divBdr>
            <w:top w:val="none" w:sz="0" w:space="0" w:color="auto"/>
            <w:left w:val="none" w:sz="0" w:space="0" w:color="auto"/>
            <w:bottom w:val="none" w:sz="0" w:space="0" w:color="auto"/>
            <w:right w:val="none" w:sz="0" w:space="0" w:color="auto"/>
          </w:divBdr>
        </w:div>
        <w:div w:id="574704166">
          <w:marLeft w:val="0"/>
          <w:marRight w:val="0"/>
          <w:marTop w:val="0"/>
          <w:marBottom w:val="0"/>
          <w:divBdr>
            <w:top w:val="none" w:sz="0" w:space="0" w:color="auto"/>
            <w:left w:val="none" w:sz="0" w:space="0" w:color="auto"/>
            <w:bottom w:val="none" w:sz="0" w:space="0" w:color="auto"/>
            <w:right w:val="none" w:sz="0" w:space="0" w:color="auto"/>
          </w:divBdr>
        </w:div>
        <w:div w:id="579603136">
          <w:marLeft w:val="0"/>
          <w:marRight w:val="0"/>
          <w:marTop w:val="0"/>
          <w:marBottom w:val="0"/>
          <w:divBdr>
            <w:top w:val="none" w:sz="0" w:space="0" w:color="auto"/>
            <w:left w:val="none" w:sz="0" w:space="0" w:color="auto"/>
            <w:bottom w:val="none" w:sz="0" w:space="0" w:color="auto"/>
            <w:right w:val="none" w:sz="0" w:space="0" w:color="auto"/>
          </w:divBdr>
        </w:div>
        <w:div w:id="583414473">
          <w:marLeft w:val="0"/>
          <w:marRight w:val="0"/>
          <w:marTop w:val="0"/>
          <w:marBottom w:val="0"/>
          <w:divBdr>
            <w:top w:val="none" w:sz="0" w:space="0" w:color="auto"/>
            <w:left w:val="none" w:sz="0" w:space="0" w:color="auto"/>
            <w:bottom w:val="none" w:sz="0" w:space="0" w:color="auto"/>
            <w:right w:val="none" w:sz="0" w:space="0" w:color="auto"/>
          </w:divBdr>
        </w:div>
        <w:div w:id="583800831">
          <w:marLeft w:val="0"/>
          <w:marRight w:val="0"/>
          <w:marTop w:val="0"/>
          <w:marBottom w:val="0"/>
          <w:divBdr>
            <w:top w:val="none" w:sz="0" w:space="0" w:color="auto"/>
            <w:left w:val="none" w:sz="0" w:space="0" w:color="auto"/>
            <w:bottom w:val="none" w:sz="0" w:space="0" w:color="auto"/>
            <w:right w:val="none" w:sz="0" w:space="0" w:color="auto"/>
          </w:divBdr>
        </w:div>
        <w:div w:id="591739391">
          <w:marLeft w:val="0"/>
          <w:marRight w:val="0"/>
          <w:marTop w:val="0"/>
          <w:marBottom w:val="0"/>
          <w:divBdr>
            <w:top w:val="none" w:sz="0" w:space="0" w:color="auto"/>
            <w:left w:val="none" w:sz="0" w:space="0" w:color="auto"/>
            <w:bottom w:val="none" w:sz="0" w:space="0" w:color="auto"/>
            <w:right w:val="none" w:sz="0" w:space="0" w:color="auto"/>
          </w:divBdr>
        </w:div>
        <w:div w:id="600454296">
          <w:marLeft w:val="0"/>
          <w:marRight w:val="0"/>
          <w:marTop w:val="0"/>
          <w:marBottom w:val="0"/>
          <w:divBdr>
            <w:top w:val="none" w:sz="0" w:space="0" w:color="auto"/>
            <w:left w:val="none" w:sz="0" w:space="0" w:color="auto"/>
            <w:bottom w:val="none" w:sz="0" w:space="0" w:color="auto"/>
            <w:right w:val="none" w:sz="0" w:space="0" w:color="auto"/>
          </w:divBdr>
        </w:div>
        <w:div w:id="607465012">
          <w:marLeft w:val="0"/>
          <w:marRight w:val="0"/>
          <w:marTop w:val="0"/>
          <w:marBottom w:val="0"/>
          <w:divBdr>
            <w:top w:val="none" w:sz="0" w:space="0" w:color="auto"/>
            <w:left w:val="none" w:sz="0" w:space="0" w:color="auto"/>
            <w:bottom w:val="none" w:sz="0" w:space="0" w:color="auto"/>
            <w:right w:val="none" w:sz="0" w:space="0" w:color="auto"/>
          </w:divBdr>
        </w:div>
        <w:div w:id="610169976">
          <w:marLeft w:val="0"/>
          <w:marRight w:val="0"/>
          <w:marTop w:val="0"/>
          <w:marBottom w:val="0"/>
          <w:divBdr>
            <w:top w:val="none" w:sz="0" w:space="0" w:color="auto"/>
            <w:left w:val="none" w:sz="0" w:space="0" w:color="auto"/>
            <w:bottom w:val="none" w:sz="0" w:space="0" w:color="auto"/>
            <w:right w:val="none" w:sz="0" w:space="0" w:color="auto"/>
          </w:divBdr>
        </w:div>
        <w:div w:id="612128954">
          <w:marLeft w:val="0"/>
          <w:marRight w:val="0"/>
          <w:marTop w:val="0"/>
          <w:marBottom w:val="0"/>
          <w:divBdr>
            <w:top w:val="none" w:sz="0" w:space="0" w:color="auto"/>
            <w:left w:val="none" w:sz="0" w:space="0" w:color="auto"/>
            <w:bottom w:val="none" w:sz="0" w:space="0" w:color="auto"/>
            <w:right w:val="none" w:sz="0" w:space="0" w:color="auto"/>
          </w:divBdr>
        </w:div>
        <w:div w:id="613025290">
          <w:marLeft w:val="0"/>
          <w:marRight w:val="0"/>
          <w:marTop w:val="0"/>
          <w:marBottom w:val="0"/>
          <w:divBdr>
            <w:top w:val="none" w:sz="0" w:space="0" w:color="auto"/>
            <w:left w:val="none" w:sz="0" w:space="0" w:color="auto"/>
            <w:bottom w:val="none" w:sz="0" w:space="0" w:color="auto"/>
            <w:right w:val="none" w:sz="0" w:space="0" w:color="auto"/>
          </w:divBdr>
        </w:div>
        <w:div w:id="614287131">
          <w:marLeft w:val="0"/>
          <w:marRight w:val="0"/>
          <w:marTop w:val="0"/>
          <w:marBottom w:val="0"/>
          <w:divBdr>
            <w:top w:val="none" w:sz="0" w:space="0" w:color="auto"/>
            <w:left w:val="none" w:sz="0" w:space="0" w:color="auto"/>
            <w:bottom w:val="none" w:sz="0" w:space="0" w:color="auto"/>
            <w:right w:val="none" w:sz="0" w:space="0" w:color="auto"/>
          </w:divBdr>
        </w:div>
        <w:div w:id="617221161">
          <w:marLeft w:val="0"/>
          <w:marRight w:val="0"/>
          <w:marTop w:val="0"/>
          <w:marBottom w:val="0"/>
          <w:divBdr>
            <w:top w:val="none" w:sz="0" w:space="0" w:color="auto"/>
            <w:left w:val="none" w:sz="0" w:space="0" w:color="auto"/>
            <w:bottom w:val="none" w:sz="0" w:space="0" w:color="auto"/>
            <w:right w:val="none" w:sz="0" w:space="0" w:color="auto"/>
          </w:divBdr>
        </w:div>
        <w:div w:id="617756854">
          <w:marLeft w:val="0"/>
          <w:marRight w:val="0"/>
          <w:marTop w:val="0"/>
          <w:marBottom w:val="0"/>
          <w:divBdr>
            <w:top w:val="none" w:sz="0" w:space="0" w:color="auto"/>
            <w:left w:val="none" w:sz="0" w:space="0" w:color="auto"/>
            <w:bottom w:val="none" w:sz="0" w:space="0" w:color="auto"/>
            <w:right w:val="none" w:sz="0" w:space="0" w:color="auto"/>
          </w:divBdr>
        </w:div>
        <w:div w:id="618803229">
          <w:marLeft w:val="0"/>
          <w:marRight w:val="0"/>
          <w:marTop w:val="0"/>
          <w:marBottom w:val="0"/>
          <w:divBdr>
            <w:top w:val="none" w:sz="0" w:space="0" w:color="auto"/>
            <w:left w:val="none" w:sz="0" w:space="0" w:color="auto"/>
            <w:bottom w:val="none" w:sz="0" w:space="0" w:color="auto"/>
            <w:right w:val="none" w:sz="0" w:space="0" w:color="auto"/>
          </w:divBdr>
        </w:div>
        <w:div w:id="619067404">
          <w:marLeft w:val="0"/>
          <w:marRight w:val="0"/>
          <w:marTop w:val="0"/>
          <w:marBottom w:val="0"/>
          <w:divBdr>
            <w:top w:val="none" w:sz="0" w:space="0" w:color="auto"/>
            <w:left w:val="none" w:sz="0" w:space="0" w:color="auto"/>
            <w:bottom w:val="none" w:sz="0" w:space="0" w:color="auto"/>
            <w:right w:val="none" w:sz="0" w:space="0" w:color="auto"/>
          </w:divBdr>
        </w:div>
        <w:div w:id="619605063">
          <w:marLeft w:val="0"/>
          <w:marRight w:val="0"/>
          <w:marTop w:val="0"/>
          <w:marBottom w:val="0"/>
          <w:divBdr>
            <w:top w:val="none" w:sz="0" w:space="0" w:color="auto"/>
            <w:left w:val="none" w:sz="0" w:space="0" w:color="auto"/>
            <w:bottom w:val="none" w:sz="0" w:space="0" w:color="auto"/>
            <w:right w:val="none" w:sz="0" w:space="0" w:color="auto"/>
          </w:divBdr>
        </w:div>
        <w:div w:id="622885987">
          <w:marLeft w:val="0"/>
          <w:marRight w:val="0"/>
          <w:marTop w:val="0"/>
          <w:marBottom w:val="0"/>
          <w:divBdr>
            <w:top w:val="none" w:sz="0" w:space="0" w:color="auto"/>
            <w:left w:val="none" w:sz="0" w:space="0" w:color="auto"/>
            <w:bottom w:val="none" w:sz="0" w:space="0" w:color="auto"/>
            <w:right w:val="none" w:sz="0" w:space="0" w:color="auto"/>
          </w:divBdr>
        </w:div>
        <w:div w:id="625508176">
          <w:marLeft w:val="0"/>
          <w:marRight w:val="0"/>
          <w:marTop w:val="0"/>
          <w:marBottom w:val="0"/>
          <w:divBdr>
            <w:top w:val="none" w:sz="0" w:space="0" w:color="auto"/>
            <w:left w:val="none" w:sz="0" w:space="0" w:color="auto"/>
            <w:bottom w:val="none" w:sz="0" w:space="0" w:color="auto"/>
            <w:right w:val="none" w:sz="0" w:space="0" w:color="auto"/>
          </w:divBdr>
        </w:div>
        <w:div w:id="630136084">
          <w:marLeft w:val="0"/>
          <w:marRight w:val="0"/>
          <w:marTop w:val="0"/>
          <w:marBottom w:val="0"/>
          <w:divBdr>
            <w:top w:val="none" w:sz="0" w:space="0" w:color="auto"/>
            <w:left w:val="none" w:sz="0" w:space="0" w:color="auto"/>
            <w:bottom w:val="none" w:sz="0" w:space="0" w:color="auto"/>
            <w:right w:val="none" w:sz="0" w:space="0" w:color="auto"/>
          </w:divBdr>
        </w:div>
        <w:div w:id="634676984">
          <w:marLeft w:val="0"/>
          <w:marRight w:val="0"/>
          <w:marTop w:val="0"/>
          <w:marBottom w:val="0"/>
          <w:divBdr>
            <w:top w:val="none" w:sz="0" w:space="0" w:color="auto"/>
            <w:left w:val="none" w:sz="0" w:space="0" w:color="auto"/>
            <w:bottom w:val="none" w:sz="0" w:space="0" w:color="auto"/>
            <w:right w:val="none" w:sz="0" w:space="0" w:color="auto"/>
          </w:divBdr>
        </w:div>
        <w:div w:id="640890340">
          <w:marLeft w:val="0"/>
          <w:marRight w:val="0"/>
          <w:marTop w:val="0"/>
          <w:marBottom w:val="0"/>
          <w:divBdr>
            <w:top w:val="none" w:sz="0" w:space="0" w:color="auto"/>
            <w:left w:val="none" w:sz="0" w:space="0" w:color="auto"/>
            <w:bottom w:val="none" w:sz="0" w:space="0" w:color="auto"/>
            <w:right w:val="none" w:sz="0" w:space="0" w:color="auto"/>
          </w:divBdr>
        </w:div>
        <w:div w:id="641665182">
          <w:marLeft w:val="0"/>
          <w:marRight w:val="0"/>
          <w:marTop w:val="0"/>
          <w:marBottom w:val="0"/>
          <w:divBdr>
            <w:top w:val="none" w:sz="0" w:space="0" w:color="auto"/>
            <w:left w:val="none" w:sz="0" w:space="0" w:color="auto"/>
            <w:bottom w:val="none" w:sz="0" w:space="0" w:color="auto"/>
            <w:right w:val="none" w:sz="0" w:space="0" w:color="auto"/>
          </w:divBdr>
        </w:div>
        <w:div w:id="643313804">
          <w:marLeft w:val="0"/>
          <w:marRight w:val="0"/>
          <w:marTop w:val="0"/>
          <w:marBottom w:val="0"/>
          <w:divBdr>
            <w:top w:val="none" w:sz="0" w:space="0" w:color="auto"/>
            <w:left w:val="none" w:sz="0" w:space="0" w:color="auto"/>
            <w:bottom w:val="none" w:sz="0" w:space="0" w:color="auto"/>
            <w:right w:val="none" w:sz="0" w:space="0" w:color="auto"/>
          </w:divBdr>
        </w:div>
        <w:div w:id="644045209">
          <w:marLeft w:val="0"/>
          <w:marRight w:val="0"/>
          <w:marTop w:val="0"/>
          <w:marBottom w:val="0"/>
          <w:divBdr>
            <w:top w:val="none" w:sz="0" w:space="0" w:color="auto"/>
            <w:left w:val="none" w:sz="0" w:space="0" w:color="auto"/>
            <w:bottom w:val="none" w:sz="0" w:space="0" w:color="auto"/>
            <w:right w:val="none" w:sz="0" w:space="0" w:color="auto"/>
          </w:divBdr>
        </w:div>
        <w:div w:id="644355088">
          <w:marLeft w:val="0"/>
          <w:marRight w:val="0"/>
          <w:marTop w:val="0"/>
          <w:marBottom w:val="0"/>
          <w:divBdr>
            <w:top w:val="none" w:sz="0" w:space="0" w:color="auto"/>
            <w:left w:val="none" w:sz="0" w:space="0" w:color="auto"/>
            <w:bottom w:val="none" w:sz="0" w:space="0" w:color="auto"/>
            <w:right w:val="none" w:sz="0" w:space="0" w:color="auto"/>
          </w:divBdr>
        </w:div>
        <w:div w:id="646327612">
          <w:marLeft w:val="0"/>
          <w:marRight w:val="0"/>
          <w:marTop w:val="0"/>
          <w:marBottom w:val="0"/>
          <w:divBdr>
            <w:top w:val="none" w:sz="0" w:space="0" w:color="auto"/>
            <w:left w:val="none" w:sz="0" w:space="0" w:color="auto"/>
            <w:bottom w:val="none" w:sz="0" w:space="0" w:color="auto"/>
            <w:right w:val="none" w:sz="0" w:space="0" w:color="auto"/>
          </w:divBdr>
        </w:div>
        <w:div w:id="646474772">
          <w:marLeft w:val="0"/>
          <w:marRight w:val="0"/>
          <w:marTop w:val="0"/>
          <w:marBottom w:val="0"/>
          <w:divBdr>
            <w:top w:val="none" w:sz="0" w:space="0" w:color="auto"/>
            <w:left w:val="none" w:sz="0" w:space="0" w:color="auto"/>
            <w:bottom w:val="none" w:sz="0" w:space="0" w:color="auto"/>
            <w:right w:val="none" w:sz="0" w:space="0" w:color="auto"/>
          </w:divBdr>
        </w:div>
        <w:div w:id="649675434">
          <w:marLeft w:val="0"/>
          <w:marRight w:val="0"/>
          <w:marTop w:val="0"/>
          <w:marBottom w:val="0"/>
          <w:divBdr>
            <w:top w:val="none" w:sz="0" w:space="0" w:color="auto"/>
            <w:left w:val="none" w:sz="0" w:space="0" w:color="auto"/>
            <w:bottom w:val="none" w:sz="0" w:space="0" w:color="auto"/>
            <w:right w:val="none" w:sz="0" w:space="0" w:color="auto"/>
          </w:divBdr>
        </w:div>
        <w:div w:id="653487192">
          <w:marLeft w:val="0"/>
          <w:marRight w:val="0"/>
          <w:marTop w:val="0"/>
          <w:marBottom w:val="0"/>
          <w:divBdr>
            <w:top w:val="none" w:sz="0" w:space="0" w:color="auto"/>
            <w:left w:val="none" w:sz="0" w:space="0" w:color="auto"/>
            <w:bottom w:val="none" w:sz="0" w:space="0" w:color="auto"/>
            <w:right w:val="none" w:sz="0" w:space="0" w:color="auto"/>
          </w:divBdr>
        </w:div>
        <w:div w:id="653685042">
          <w:marLeft w:val="0"/>
          <w:marRight w:val="0"/>
          <w:marTop w:val="0"/>
          <w:marBottom w:val="0"/>
          <w:divBdr>
            <w:top w:val="none" w:sz="0" w:space="0" w:color="auto"/>
            <w:left w:val="none" w:sz="0" w:space="0" w:color="auto"/>
            <w:bottom w:val="none" w:sz="0" w:space="0" w:color="auto"/>
            <w:right w:val="none" w:sz="0" w:space="0" w:color="auto"/>
          </w:divBdr>
        </w:div>
        <w:div w:id="658852190">
          <w:marLeft w:val="0"/>
          <w:marRight w:val="0"/>
          <w:marTop w:val="0"/>
          <w:marBottom w:val="0"/>
          <w:divBdr>
            <w:top w:val="none" w:sz="0" w:space="0" w:color="auto"/>
            <w:left w:val="none" w:sz="0" w:space="0" w:color="auto"/>
            <w:bottom w:val="none" w:sz="0" w:space="0" w:color="auto"/>
            <w:right w:val="none" w:sz="0" w:space="0" w:color="auto"/>
          </w:divBdr>
        </w:div>
        <w:div w:id="665135714">
          <w:marLeft w:val="0"/>
          <w:marRight w:val="0"/>
          <w:marTop w:val="0"/>
          <w:marBottom w:val="0"/>
          <w:divBdr>
            <w:top w:val="none" w:sz="0" w:space="0" w:color="auto"/>
            <w:left w:val="none" w:sz="0" w:space="0" w:color="auto"/>
            <w:bottom w:val="none" w:sz="0" w:space="0" w:color="auto"/>
            <w:right w:val="none" w:sz="0" w:space="0" w:color="auto"/>
          </w:divBdr>
        </w:div>
        <w:div w:id="667248886">
          <w:marLeft w:val="0"/>
          <w:marRight w:val="0"/>
          <w:marTop w:val="0"/>
          <w:marBottom w:val="0"/>
          <w:divBdr>
            <w:top w:val="none" w:sz="0" w:space="0" w:color="auto"/>
            <w:left w:val="none" w:sz="0" w:space="0" w:color="auto"/>
            <w:bottom w:val="none" w:sz="0" w:space="0" w:color="auto"/>
            <w:right w:val="none" w:sz="0" w:space="0" w:color="auto"/>
          </w:divBdr>
        </w:div>
        <w:div w:id="667633665">
          <w:marLeft w:val="0"/>
          <w:marRight w:val="0"/>
          <w:marTop w:val="0"/>
          <w:marBottom w:val="0"/>
          <w:divBdr>
            <w:top w:val="none" w:sz="0" w:space="0" w:color="auto"/>
            <w:left w:val="none" w:sz="0" w:space="0" w:color="auto"/>
            <w:bottom w:val="none" w:sz="0" w:space="0" w:color="auto"/>
            <w:right w:val="none" w:sz="0" w:space="0" w:color="auto"/>
          </w:divBdr>
        </w:div>
        <w:div w:id="674308299">
          <w:marLeft w:val="0"/>
          <w:marRight w:val="0"/>
          <w:marTop w:val="0"/>
          <w:marBottom w:val="0"/>
          <w:divBdr>
            <w:top w:val="none" w:sz="0" w:space="0" w:color="auto"/>
            <w:left w:val="none" w:sz="0" w:space="0" w:color="auto"/>
            <w:bottom w:val="none" w:sz="0" w:space="0" w:color="auto"/>
            <w:right w:val="none" w:sz="0" w:space="0" w:color="auto"/>
          </w:divBdr>
        </w:div>
        <w:div w:id="676078040">
          <w:marLeft w:val="0"/>
          <w:marRight w:val="0"/>
          <w:marTop w:val="0"/>
          <w:marBottom w:val="0"/>
          <w:divBdr>
            <w:top w:val="none" w:sz="0" w:space="0" w:color="auto"/>
            <w:left w:val="none" w:sz="0" w:space="0" w:color="auto"/>
            <w:bottom w:val="none" w:sz="0" w:space="0" w:color="auto"/>
            <w:right w:val="none" w:sz="0" w:space="0" w:color="auto"/>
          </w:divBdr>
        </w:div>
        <w:div w:id="678776554">
          <w:marLeft w:val="0"/>
          <w:marRight w:val="0"/>
          <w:marTop w:val="0"/>
          <w:marBottom w:val="0"/>
          <w:divBdr>
            <w:top w:val="none" w:sz="0" w:space="0" w:color="auto"/>
            <w:left w:val="none" w:sz="0" w:space="0" w:color="auto"/>
            <w:bottom w:val="none" w:sz="0" w:space="0" w:color="auto"/>
            <w:right w:val="none" w:sz="0" w:space="0" w:color="auto"/>
          </w:divBdr>
        </w:div>
        <w:div w:id="683479093">
          <w:marLeft w:val="0"/>
          <w:marRight w:val="0"/>
          <w:marTop w:val="0"/>
          <w:marBottom w:val="0"/>
          <w:divBdr>
            <w:top w:val="none" w:sz="0" w:space="0" w:color="auto"/>
            <w:left w:val="none" w:sz="0" w:space="0" w:color="auto"/>
            <w:bottom w:val="none" w:sz="0" w:space="0" w:color="auto"/>
            <w:right w:val="none" w:sz="0" w:space="0" w:color="auto"/>
          </w:divBdr>
        </w:div>
        <w:div w:id="684287057">
          <w:marLeft w:val="0"/>
          <w:marRight w:val="0"/>
          <w:marTop w:val="0"/>
          <w:marBottom w:val="0"/>
          <w:divBdr>
            <w:top w:val="none" w:sz="0" w:space="0" w:color="auto"/>
            <w:left w:val="none" w:sz="0" w:space="0" w:color="auto"/>
            <w:bottom w:val="none" w:sz="0" w:space="0" w:color="auto"/>
            <w:right w:val="none" w:sz="0" w:space="0" w:color="auto"/>
          </w:divBdr>
        </w:div>
        <w:div w:id="705375918">
          <w:marLeft w:val="0"/>
          <w:marRight w:val="0"/>
          <w:marTop w:val="0"/>
          <w:marBottom w:val="0"/>
          <w:divBdr>
            <w:top w:val="none" w:sz="0" w:space="0" w:color="auto"/>
            <w:left w:val="none" w:sz="0" w:space="0" w:color="auto"/>
            <w:bottom w:val="none" w:sz="0" w:space="0" w:color="auto"/>
            <w:right w:val="none" w:sz="0" w:space="0" w:color="auto"/>
          </w:divBdr>
        </w:div>
        <w:div w:id="710610623">
          <w:marLeft w:val="0"/>
          <w:marRight w:val="0"/>
          <w:marTop w:val="0"/>
          <w:marBottom w:val="0"/>
          <w:divBdr>
            <w:top w:val="none" w:sz="0" w:space="0" w:color="auto"/>
            <w:left w:val="none" w:sz="0" w:space="0" w:color="auto"/>
            <w:bottom w:val="none" w:sz="0" w:space="0" w:color="auto"/>
            <w:right w:val="none" w:sz="0" w:space="0" w:color="auto"/>
          </w:divBdr>
        </w:div>
        <w:div w:id="713772854">
          <w:marLeft w:val="0"/>
          <w:marRight w:val="0"/>
          <w:marTop w:val="0"/>
          <w:marBottom w:val="0"/>
          <w:divBdr>
            <w:top w:val="none" w:sz="0" w:space="0" w:color="auto"/>
            <w:left w:val="none" w:sz="0" w:space="0" w:color="auto"/>
            <w:bottom w:val="none" w:sz="0" w:space="0" w:color="auto"/>
            <w:right w:val="none" w:sz="0" w:space="0" w:color="auto"/>
          </w:divBdr>
        </w:div>
        <w:div w:id="716469194">
          <w:marLeft w:val="0"/>
          <w:marRight w:val="0"/>
          <w:marTop w:val="0"/>
          <w:marBottom w:val="0"/>
          <w:divBdr>
            <w:top w:val="none" w:sz="0" w:space="0" w:color="auto"/>
            <w:left w:val="none" w:sz="0" w:space="0" w:color="auto"/>
            <w:bottom w:val="none" w:sz="0" w:space="0" w:color="auto"/>
            <w:right w:val="none" w:sz="0" w:space="0" w:color="auto"/>
          </w:divBdr>
        </w:div>
        <w:div w:id="717896124">
          <w:marLeft w:val="0"/>
          <w:marRight w:val="0"/>
          <w:marTop w:val="0"/>
          <w:marBottom w:val="0"/>
          <w:divBdr>
            <w:top w:val="none" w:sz="0" w:space="0" w:color="auto"/>
            <w:left w:val="none" w:sz="0" w:space="0" w:color="auto"/>
            <w:bottom w:val="none" w:sz="0" w:space="0" w:color="auto"/>
            <w:right w:val="none" w:sz="0" w:space="0" w:color="auto"/>
          </w:divBdr>
        </w:div>
        <w:div w:id="719205960">
          <w:marLeft w:val="0"/>
          <w:marRight w:val="0"/>
          <w:marTop w:val="0"/>
          <w:marBottom w:val="0"/>
          <w:divBdr>
            <w:top w:val="none" w:sz="0" w:space="0" w:color="auto"/>
            <w:left w:val="none" w:sz="0" w:space="0" w:color="auto"/>
            <w:bottom w:val="none" w:sz="0" w:space="0" w:color="auto"/>
            <w:right w:val="none" w:sz="0" w:space="0" w:color="auto"/>
          </w:divBdr>
        </w:div>
        <w:div w:id="719281920">
          <w:marLeft w:val="0"/>
          <w:marRight w:val="0"/>
          <w:marTop w:val="0"/>
          <w:marBottom w:val="0"/>
          <w:divBdr>
            <w:top w:val="none" w:sz="0" w:space="0" w:color="auto"/>
            <w:left w:val="none" w:sz="0" w:space="0" w:color="auto"/>
            <w:bottom w:val="none" w:sz="0" w:space="0" w:color="auto"/>
            <w:right w:val="none" w:sz="0" w:space="0" w:color="auto"/>
          </w:divBdr>
        </w:div>
        <w:div w:id="723452646">
          <w:marLeft w:val="0"/>
          <w:marRight w:val="0"/>
          <w:marTop w:val="0"/>
          <w:marBottom w:val="0"/>
          <w:divBdr>
            <w:top w:val="none" w:sz="0" w:space="0" w:color="auto"/>
            <w:left w:val="none" w:sz="0" w:space="0" w:color="auto"/>
            <w:bottom w:val="none" w:sz="0" w:space="0" w:color="auto"/>
            <w:right w:val="none" w:sz="0" w:space="0" w:color="auto"/>
          </w:divBdr>
        </w:div>
        <w:div w:id="723722361">
          <w:marLeft w:val="0"/>
          <w:marRight w:val="0"/>
          <w:marTop w:val="0"/>
          <w:marBottom w:val="0"/>
          <w:divBdr>
            <w:top w:val="none" w:sz="0" w:space="0" w:color="auto"/>
            <w:left w:val="none" w:sz="0" w:space="0" w:color="auto"/>
            <w:bottom w:val="none" w:sz="0" w:space="0" w:color="auto"/>
            <w:right w:val="none" w:sz="0" w:space="0" w:color="auto"/>
          </w:divBdr>
        </w:div>
        <w:div w:id="735279311">
          <w:marLeft w:val="0"/>
          <w:marRight w:val="0"/>
          <w:marTop w:val="0"/>
          <w:marBottom w:val="0"/>
          <w:divBdr>
            <w:top w:val="none" w:sz="0" w:space="0" w:color="auto"/>
            <w:left w:val="none" w:sz="0" w:space="0" w:color="auto"/>
            <w:bottom w:val="none" w:sz="0" w:space="0" w:color="auto"/>
            <w:right w:val="none" w:sz="0" w:space="0" w:color="auto"/>
          </w:divBdr>
        </w:div>
        <w:div w:id="735933176">
          <w:marLeft w:val="0"/>
          <w:marRight w:val="0"/>
          <w:marTop w:val="0"/>
          <w:marBottom w:val="0"/>
          <w:divBdr>
            <w:top w:val="none" w:sz="0" w:space="0" w:color="auto"/>
            <w:left w:val="none" w:sz="0" w:space="0" w:color="auto"/>
            <w:bottom w:val="none" w:sz="0" w:space="0" w:color="auto"/>
            <w:right w:val="none" w:sz="0" w:space="0" w:color="auto"/>
          </w:divBdr>
        </w:div>
        <w:div w:id="737946620">
          <w:marLeft w:val="0"/>
          <w:marRight w:val="0"/>
          <w:marTop w:val="0"/>
          <w:marBottom w:val="0"/>
          <w:divBdr>
            <w:top w:val="none" w:sz="0" w:space="0" w:color="auto"/>
            <w:left w:val="none" w:sz="0" w:space="0" w:color="auto"/>
            <w:bottom w:val="none" w:sz="0" w:space="0" w:color="auto"/>
            <w:right w:val="none" w:sz="0" w:space="0" w:color="auto"/>
          </w:divBdr>
        </w:div>
        <w:div w:id="741030576">
          <w:marLeft w:val="0"/>
          <w:marRight w:val="0"/>
          <w:marTop w:val="0"/>
          <w:marBottom w:val="0"/>
          <w:divBdr>
            <w:top w:val="none" w:sz="0" w:space="0" w:color="auto"/>
            <w:left w:val="none" w:sz="0" w:space="0" w:color="auto"/>
            <w:bottom w:val="none" w:sz="0" w:space="0" w:color="auto"/>
            <w:right w:val="none" w:sz="0" w:space="0" w:color="auto"/>
          </w:divBdr>
        </w:div>
        <w:div w:id="743141780">
          <w:marLeft w:val="0"/>
          <w:marRight w:val="0"/>
          <w:marTop w:val="0"/>
          <w:marBottom w:val="0"/>
          <w:divBdr>
            <w:top w:val="none" w:sz="0" w:space="0" w:color="auto"/>
            <w:left w:val="none" w:sz="0" w:space="0" w:color="auto"/>
            <w:bottom w:val="none" w:sz="0" w:space="0" w:color="auto"/>
            <w:right w:val="none" w:sz="0" w:space="0" w:color="auto"/>
          </w:divBdr>
        </w:div>
        <w:div w:id="747195811">
          <w:marLeft w:val="0"/>
          <w:marRight w:val="0"/>
          <w:marTop w:val="0"/>
          <w:marBottom w:val="0"/>
          <w:divBdr>
            <w:top w:val="none" w:sz="0" w:space="0" w:color="auto"/>
            <w:left w:val="none" w:sz="0" w:space="0" w:color="auto"/>
            <w:bottom w:val="none" w:sz="0" w:space="0" w:color="auto"/>
            <w:right w:val="none" w:sz="0" w:space="0" w:color="auto"/>
          </w:divBdr>
        </w:div>
        <w:div w:id="754977306">
          <w:marLeft w:val="0"/>
          <w:marRight w:val="0"/>
          <w:marTop w:val="0"/>
          <w:marBottom w:val="0"/>
          <w:divBdr>
            <w:top w:val="none" w:sz="0" w:space="0" w:color="auto"/>
            <w:left w:val="none" w:sz="0" w:space="0" w:color="auto"/>
            <w:bottom w:val="none" w:sz="0" w:space="0" w:color="auto"/>
            <w:right w:val="none" w:sz="0" w:space="0" w:color="auto"/>
          </w:divBdr>
        </w:div>
        <w:div w:id="755176344">
          <w:marLeft w:val="0"/>
          <w:marRight w:val="0"/>
          <w:marTop w:val="0"/>
          <w:marBottom w:val="0"/>
          <w:divBdr>
            <w:top w:val="none" w:sz="0" w:space="0" w:color="auto"/>
            <w:left w:val="none" w:sz="0" w:space="0" w:color="auto"/>
            <w:bottom w:val="none" w:sz="0" w:space="0" w:color="auto"/>
            <w:right w:val="none" w:sz="0" w:space="0" w:color="auto"/>
          </w:divBdr>
        </w:div>
        <w:div w:id="758796230">
          <w:marLeft w:val="0"/>
          <w:marRight w:val="0"/>
          <w:marTop w:val="0"/>
          <w:marBottom w:val="0"/>
          <w:divBdr>
            <w:top w:val="none" w:sz="0" w:space="0" w:color="auto"/>
            <w:left w:val="none" w:sz="0" w:space="0" w:color="auto"/>
            <w:bottom w:val="none" w:sz="0" w:space="0" w:color="auto"/>
            <w:right w:val="none" w:sz="0" w:space="0" w:color="auto"/>
          </w:divBdr>
        </w:div>
        <w:div w:id="764308736">
          <w:marLeft w:val="0"/>
          <w:marRight w:val="0"/>
          <w:marTop w:val="0"/>
          <w:marBottom w:val="0"/>
          <w:divBdr>
            <w:top w:val="none" w:sz="0" w:space="0" w:color="auto"/>
            <w:left w:val="none" w:sz="0" w:space="0" w:color="auto"/>
            <w:bottom w:val="none" w:sz="0" w:space="0" w:color="auto"/>
            <w:right w:val="none" w:sz="0" w:space="0" w:color="auto"/>
          </w:divBdr>
        </w:div>
        <w:div w:id="767577096">
          <w:marLeft w:val="0"/>
          <w:marRight w:val="0"/>
          <w:marTop w:val="0"/>
          <w:marBottom w:val="0"/>
          <w:divBdr>
            <w:top w:val="none" w:sz="0" w:space="0" w:color="auto"/>
            <w:left w:val="none" w:sz="0" w:space="0" w:color="auto"/>
            <w:bottom w:val="none" w:sz="0" w:space="0" w:color="auto"/>
            <w:right w:val="none" w:sz="0" w:space="0" w:color="auto"/>
          </w:divBdr>
        </w:div>
        <w:div w:id="774859361">
          <w:marLeft w:val="0"/>
          <w:marRight w:val="0"/>
          <w:marTop w:val="0"/>
          <w:marBottom w:val="0"/>
          <w:divBdr>
            <w:top w:val="none" w:sz="0" w:space="0" w:color="auto"/>
            <w:left w:val="none" w:sz="0" w:space="0" w:color="auto"/>
            <w:bottom w:val="none" w:sz="0" w:space="0" w:color="auto"/>
            <w:right w:val="none" w:sz="0" w:space="0" w:color="auto"/>
          </w:divBdr>
        </w:div>
        <w:div w:id="776406806">
          <w:marLeft w:val="0"/>
          <w:marRight w:val="0"/>
          <w:marTop w:val="0"/>
          <w:marBottom w:val="0"/>
          <w:divBdr>
            <w:top w:val="none" w:sz="0" w:space="0" w:color="auto"/>
            <w:left w:val="none" w:sz="0" w:space="0" w:color="auto"/>
            <w:bottom w:val="none" w:sz="0" w:space="0" w:color="auto"/>
            <w:right w:val="none" w:sz="0" w:space="0" w:color="auto"/>
          </w:divBdr>
        </w:div>
        <w:div w:id="777218621">
          <w:marLeft w:val="0"/>
          <w:marRight w:val="0"/>
          <w:marTop w:val="0"/>
          <w:marBottom w:val="0"/>
          <w:divBdr>
            <w:top w:val="none" w:sz="0" w:space="0" w:color="auto"/>
            <w:left w:val="none" w:sz="0" w:space="0" w:color="auto"/>
            <w:bottom w:val="none" w:sz="0" w:space="0" w:color="auto"/>
            <w:right w:val="none" w:sz="0" w:space="0" w:color="auto"/>
          </w:divBdr>
        </w:div>
        <w:div w:id="783305278">
          <w:marLeft w:val="0"/>
          <w:marRight w:val="0"/>
          <w:marTop w:val="0"/>
          <w:marBottom w:val="0"/>
          <w:divBdr>
            <w:top w:val="none" w:sz="0" w:space="0" w:color="auto"/>
            <w:left w:val="none" w:sz="0" w:space="0" w:color="auto"/>
            <w:bottom w:val="none" w:sz="0" w:space="0" w:color="auto"/>
            <w:right w:val="none" w:sz="0" w:space="0" w:color="auto"/>
          </w:divBdr>
        </w:div>
        <w:div w:id="788596003">
          <w:marLeft w:val="0"/>
          <w:marRight w:val="0"/>
          <w:marTop w:val="0"/>
          <w:marBottom w:val="0"/>
          <w:divBdr>
            <w:top w:val="none" w:sz="0" w:space="0" w:color="auto"/>
            <w:left w:val="none" w:sz="0" w:space="0" w:color="auto"/>
            <w:bottom w:val="none" w:sz="0" w:space="0" w:color="auto"/>
            <w:right w:val="none" w:sz="0" w:space="0" w:color="auto"/>
          </w:divBdr>
        </w:div>
        <w:div w:id="791703839">
          <w:marLeft w:val="0"/>
          <w:marRight w:val="0"/>
          <w:marTop w:val="0"/>
          <w:marBottom w:val="0"/>
          <w:divBdr>
            <w:top w:val="none" w:sz="0" w:space="0" w:color="auto"/>
            <w:left w:val="none" w:sz="0" w:space="0" w:color="auto"/>
            <w:bottom w:val="none" w:sz="0" w:space="0" w:color="auto"/>
            <w:right w:val="none" w:sz="0" w:space="0" w:color="auto"/>
          </w:divBdr>
        </w:div>
        <w:div w:id="791903487">
          <w:marLeft w:val="0"/>
          <w:marRight w:val="0"/>
          <w:marTop w:val="0"/>
          <w:marBottom w:val="0"/>
          <w:divBdr>
            <w:top w:val="none" w:sz="0" w:space="0" w:color="auto"/>
            <w:left w:val="none" w:sz="0" w:space="0" w:color="auto"/>
            <w:bottom w:val="none" w:sz="0" w:space="0" w:color="auto"/>
            <w:right w:val="none" w:sz="0" w:space="0" w:color="auto"/>
          </w:divBdr>
        </w:div>
        <w:div w:id="800416439">
          <w:marLeft w:val="0"/>
          <w:marRight w:val="0"/>
          <w:marTop w:val="0"/>
          <w:marBottom w:val="0"/>
          <w:divBdr>
            <w:top w:val="none" w:sz="0" w:space="0" w:color="auto"/>
            <w:left w:val="none" w:sz="0" w:space="0" w:color="auto"/>
            <w:bottom w:val="none" w:sz="0" w:space="0" w:color="auto"/>
            <w:right w:val="none" w:sz="0" w:space="0" w:color="auto"/>
          </w:divBdr>
        </w:div>
        <w:div w:id="804851645">
          <w:marLeft w:val="0"/>
          <w:marRight w:val="0"/>
          <w:marTop w:val="0"/>
          <w:marBottom w:val="0"/>
          <w:divBdr>
            <w:top w:val="none" w:sz="0" w:space="0" w:color="auto"/>
            <w:left w:val="none" w:sz="0" w:space="0" w:color="auto"/>
            <w:bottom w:val="none" w:sz="0" w:space="0" w:color="auto"/>
            <w:right w:val="none" w:sz="0" w:space="0" w:color="auto"/>
          </w:divBdr>
        </w:div>
        <w:div w:id="805319791">
          <w:marLeft w:val="0"/>
          <w:marRight w:val="0"/>
          <w:marTop w:val="0"/>
          <w:marBottom w:val="0"/>
          <w:divBdr>
            <w:top w:val="none" w:sz="0" w:space="0" w:color="auto"/>
            <w:left w:val="none" w:sz="0" w:space="0" w:color="auto"/>
            <w:bottom w:val="none" w:sz="0" w:space="0" w:color="auto"/>
            <w:right w:val="none" w:sz="0" w:space="0" w:color="auto"/>
          </w:divBdr>
        </w:div>
        <w:div w:id="805661783">
          <w:marLeft w:val="0"/>
          <w:marRight w:val="0"/>
          <w:marTop w:val="0"/>
          <w:marBottom w:val="0"/>
          <w:divBdr>
            <w:top w:val="none" w:sz="0" w:space="0" w:color="auto"/>
            <w:left w:val="none" w:sz="0" w:space="0" w:color="auto"/>
            <w:bottom w:val="none" w:sz="0" w:space="0" w:color="auto"/>
            <w:right w:val="none" w:sz="0" w:space="0" w:color="auto"/>
          </w:divBdr>
        </w:div>
        <w:div w:id="806625086">
          <w:marLeft w:val="0"/>
          <w:marRight w:val="0"/>
          <w:marTop w:val="0"/>
          <w:marBottom w:val="0"/>
          <w:divBdr>
            <w:top w:val="none" w:sz="0" w:space="0" w:color="auto"/>
            <w:left w:val="none" w:sz="0" w:space="0" w:color="auto"/>
            <w:bottom w:val="none" w:sz="0" w:space="0" w:color="auto"/>
            <w:right w:val="none" w:sz="0" w:space="0" w:color="auto"/>
          </w:divBdr>
        </w:div>
        <w:div w:id="808743232">
          <w:marLeft w:val="0"/>
          <w:marRight w:val="0"/>
          <w:marTop w:val="0"/>
          <w:marBottom w:val="0"/>
          <w:divBdr>
            <w:top w:val="none" w:sz="0" w:space="0" w:color="auto"/>
            <w:left w:val="none" w:sz="0" w:space="0" w:color="auto"/>
            <w:bottom w:val="none" w:sz="0" w:space="0" w:color="auto"/>
            <w:right w:val="none" w:sz="0" w:space="0" w:color="auto"/>
          </w:divBdr>
        </w:div>
        <w:div w:id="810559792">
          <w:marLeft w:val="0"/>
          <w:marRight w:val="0"/>
          <w:marTop w:val="0"/>
          <w:marBottom w:val="0"/>
          <w:divBdr>
            <w:top w:val="none" w:sz="0" w:space="0" w:color="auto"/>
            <w:left w:val="none" w:sz="0" w:space="0" w:color="auto"/>
            <w:bottom w:val="none" w:sz="0" w:space="0" w:color="auto"/>
            <w:right w:val="none" w:sz="0" w:space="0" w:color="auto"/>
          </w:divBdr>
        </w:div>
        <w:div w:id="814416999">
          <w:marLeft w:val="0"/>
          <w:marRight w:val="0"/>
          <w:marTop w:val="0"/>
          <w:marBottom w:val="0"/>
          <w:divBdr>
            <w:top w:val="none" w:sz="0" w:space="0" w:color="auto"/>
            <w:left w:val="none" w:sz="0" w:space="0" w:color="auto"/>
            <w:bottom w:val="none" w:sz="0" w:space="0" w:color="auto"/>
            <w:right w:val="none" w:sz="0" w:space="0" w:color="auto"/>
          </w:divBdr>
        </w:div>
        <w:div w:id="816921304">
          <w:marLeft w:val="0"/>
          <w:marRight w:val="0"/>
          <w:marTop w:val="0"/>
          <w:marBottom w:val="0"/>
          <w:divBdr>
            <w:top w:val="none" w:sz="0" w:space="0" w:color="auto"/>
            <w:left w:val="none" w:sz="0" w:space="0" w:color="auto"/>
            <w:bottom w:val="none" w:sz="0" w:space="0" w:color="auto"/>
            <w:right w:val="none" w:sz="0" w:space="0" w:color="auto"/>
          </w:divBdr>
        </w:div>
        <w:div w:id="819227670">
          <w:marLeft w:val="0"/>
          <w:marRight w:val="0"/>
          <w:marTop w:val="0"/>
          <w:marBottom w:val="0"/>
          <w:divBdr>
            <w:top w:val="none" w:sz="0" w:space="0" w:color="auto"/>
            <w:left w:val="none" w:sz="0" w:space="0" w:color="auto"/>
            <w:bottom w:val="none" w:sz="0" w:space="0" w:color="auto"/>
            <w:right w:val="none" w:sz="0" w:space="0" w:color="auto"/>
          </w:divBdr>
        </w:div>
        <w:div w:id="823282752">
          <w:marLeft w:val="0"/>
          <w:marRight w:val="0"/>
          <w:marTop w:val="0"/>
          <w:marBottom w:val="0"/>
          <w:divBdr>
            <w:top w:val="none" w:sz="0" w:space="0" w:color="auto"/>
            <w:left w:val="none" w:sz="0" w:space="0" w:color="auto"/>
            <w:bottom w:val="none" w:sz="0" w:space="0" w:color="auto"/>
            <w:right w:val="none" w:sz="0" w:space="0" w:color="auto"/>
          </w:divBdr>
        </w:div>
        <w:div w:id="823811398">
          <w:marLeft w:val="0"/>
          <w:marRight w:val="0"/>
          <w:marTop w:val="0"/>
          <w:marBottom w:val="0"/>
          <w:divBdr>
            <w:top w:val="none" w:sz="0" w:space="0" w:color="auto"/>
            <w:left w:val="none" w:sz="0" w:space="0" w:color="auto"/>
            <w:bottom w:val="none" w:sz="0" w:space="0" w:color="auto"/>
            <w:right w:val="none" w:sz="0" w:space="0" w:color="auto"/>
          </w:divBdr>
        </w:div>
        <w:div w:id="830222416">
          <w:marLeft w:val="0"/>
          <w:marRight w:val="0"/>
          <w:marTop w:val="0"/>
          <w:marBottom w:val="0"/>
          <w:divBdr>
            <w:top w:val="none" w:sz="0" w:space="0" w:color="auto"/>
            <w:left w:val="none" w:sz="0" w:space="0" w:color="auto"/>
            <w:bottom w:val="none" w:sz="0" w:space="0" w:color="auto"/>
            <w:right w:val="none" w:sz="0" w:space="0" w:color="auto"/>
          </w:divBdr>
        </w:div>
        <w:div w:id="830876544">
          <w:marLeft w:val="0"/>
          <w:marRight w:val="0"/>
          <w:marTop w:val="0"/>
          <w:marBottom w:val="0"/>
          <w:divBdr>
            <w:top w:val="none" w:sz="0" w:space="0" w:color="auto"/>
            <w:left w:val="none" w:sz="0" w:space="0" w:color="auto"/>
            <w:bottom w:val="none" w:sz="0" w:space="0" w:color="auto"/>
            <w:right w:val="none" w:sz="0" w:space="0" w:color="auto"/>
          </w:divBdr>
        </w:div>
        <w:div w:id="830948953">
          <w:marLeft w:val="0"/>
          <w:marRight w:val="0"/>
          <w:marTop w:val="0"/>
          <w:marBottom w:val="0"/>
          <w:divBdr>
            <w:top w:val="none" w:sz="0" w:space="0" w:color="auto"/>
            <w:left w:val="none" w:sz="0" w:space="0" w:color="auto"/>
            <w:bottom w:val="none" w:sz="0" w:space="0" w:color="auto"/>
            <w:right w:val="none" w:sz="0" w:space="0" w:color="auto"/>
          </w:divBdr>
        </w:div>
        <w:div w:id="832574921">
          <w:marLeft w:val="0"/>
          <w:marRight w:val="0"/>
          <w:marTop w:val="0"/>
          <w:marBottom w:val="0"/>
          <w:divBdr>
            <w:top w:val="none" w:sz="0" w:space="0" w:color="auto"/>
            <w:left w:val="none" w:sz="0" w:space="0" w:color="auto"/>
            <w:bottom w:val="none" w:sz="0" w:space="0" w:color="auto"/>
            <w:right w:val="none" w:sz="0" w:space="0" w:color="auto"/>
          </w:divBdr>
        </w:div>
        <w:div w:id="835727801">
          <w:marLeft w:val="0"/>
          <w:marRight w:val="0"/>
          <w:marTop w:val="0"/>
          <w:marBottom w:val="0"/>
          <w:divBdr>
            <w:top w:val="none" w:sz="0" w:space="0" w:color="auto"/>
            <w:left w:val="none" w:sz="0" w:space="0" w:color="auto"/>
            <w:bottom w:val="none" w:sz="0" w:space="0" w:color="auto"/>
            <w:right w:val="none" w:sz="0" w:space="0" w:color="auto"/>
          </w:divBdr>
        </w:div>
        <w:div w:id="840662983">
          <w:marLeft w:val="0"/>
          <w:marRight w:val="0"/>
          <w:marTop w:val="0"/>
          <w:marBottom w:val="0"/>
          <w:divBdr>
            <w:top w:val="none" w:sz="0" w:space="0" w:color="auto"/>
            <w:left w:val="none" w:sz="0" w:space="0" w:color="auto"/>
            <w:bottom w:val="none" w:sz="0" w:space="0" w:color="auto"/>
            <w:right w:val="none" w:sz="0" w:space="0" w:color="auto"/>
          </w:divBdr>
        </w:div>
        <w:div w:id="843738554">
          <w:marLeft w:val="0"/>
          <w:marRight w:val="0"/>
          <w:marTop w:val="0"/>
          <w:marBottom w:val="0"/>
          <w:divBdr>
            <w:top w:val="none" w:sz="0" w:space="0" w:color="auto"/>
            <w:left w:val="none" w:sz="0" w:space="0" w:color="auto"/>
            <w:bottom w:val="none" w:sz="0" w:space="0" w:color="auto"/>
            <w:right w:val="none" w:sz="0" w:space="0" w:color="auto"/>
          </w:divBdr>
        </w:div>
        <w:div w:id="844171760">
          <w:marLeft w:val="0"/>
          <w:marRight w:val="0"/>
          <w:marTop w:val="0"/>
          <w:marBottom w:val="0"/>
          <w:divBdr>
            <w:top w:val="none" w:sz="0" w:space="0" w:color="auto"/>
            <w:left w:val="none" w:sz="0" w:space="0" w:color="auto"/>
            <w:bottom w:val="none" w:sz="0" w:space="0" w:color="auto"/>
            <w:right w:val="none" w:sz="0" w:space="0" w:color="auto"/>
          </w:divBdr>
        </w:div>
        <w:div w:id="847209629">
          <w:marLeft w:val="0"/>
          <w:marRight w:val="0"/>
          <w:marTop w:val="0"/>
          <w:marBottom w:val="0"/>
          <w:divBdr>
            <w:top w:val="none" w:sz="0" w:space="0" w:color="auto"/>
            <w:left w:val="none" w:sz="0" w:space="0" w:color="auto"/>
            <w:bottom w:val="none" w:sz="0" w:space="0" w:color="auto"/>
            <w:right w:val="none" w:sz="0" w:space="0" w:color="auto"/>
          </w:divBdr>
        </w:div>
        <w:div w:id="849875721">
          <w:marLeft w:val="0"/>
          <w:marRight w:val="0"/>
          <w:marTop w:val="0"/>
          <w:marBottom w:val="0"/>
          <w:divBdr>
            <w:top w:val="none" w:sz="0" w:space="0" w:color="auto"/>
            <w:left w:val="none" w:sz="0" w:space="0" w:color="auto"/>
            <w:bottom w:val="none" w:sz="0" w:space="0" w:color="auto"/>
            <w:right w:val="none" w:sz="0" w:space="0" w:color="auto"/>
          </w:divBdr>
        </w:div>
        <w:div w:id="850022463">
          <w:marLeft w:val="0"/>
          <w:marRight w:val="0"/>
          <w:marTop w:val="0"/>
          <w:marBottom w:val="0"/>
          <w:divBdr>
            <w:top w:val="none" w:sz="0" w:space="0" w:color="auto"/>
            <w:left w:val="none" w:sz="0" w:space="0" w:color="auto"/>
            <w:bottom w:val="none" w:sz="0" w:space="0" w:color="auto"/>
            <w:right w:val="none" w:sz="0" w:space="0" w:color="auto"/>
          </w:divBdr>
        </w:div>
        <w:div w:id="851187369">
          <w:marLeft w:val="0"/>
          <w:marRight w:val="0"/>
          <w:marTop w:val="0"/>
          <w:marBottom w:val="0"/>
          <w:divBdr>
            <w:top w:val="none" w:sz="0" w:space="0" w:color="auto"/>
            <w:left w:val="none" w:sz="0" w:space="0" w:color="auto"/>
            <w:bottom w:val="none" w:sz="0" w:space="0" w:color="auto"/>
            <w:right w:val="none" w:sz="0" w:space="0" w:color="auto"/>
          </w:divBdr>
        </w:div>
        <w:div w:id="851526999">
          <w:marLeft w:val="0"/>
          <w:marRight w:val="0"/>
          <w:marTop w:val="0"/>
          <w:marBottom w:val="0"/>
          <w:divBdr>
            <w:top w:val="none" w:sz="0" w:space="0" w:color="auto"/>
            <w:left w:val="none" w:sz="0" w:space="0" w:color="auto"/>
            <w:bottom w:val="none" w:sz="0" w:space="0" w:color="auto"/>
            <w:right w:val="none" w:sz="0" w:space="0" w:color="auto"/>
          </w:divBdr>
        </w:div>
        <w:div w:id="852182722">
          <w:marLeft w:val="0"/>
          <w:marRight w:val="0"/>
          <w:marTop w:val="0"/>
          <w:marBottom w:val="0"/>
          <w:divBdr>
            <w:top w:val="none" w:sz="0" w:space="0" w:color="auto"/>
            <w:left w:val="none" w:sz="0" w:space="0" w:color="auto"/>
            <w:bottom w:val="none" w:sz="0" w:space="0" w:color="auto"/>
            <w:right w:val="none" w:sz="0" w:space="0" w:color="auto"/>
          </w:divBdr>
        </w:div>
        <w:div w:id="852719825">
          <w:marLeft w:val="0"/>
          <w:marRight w:val="0"/>
          <w:marTop w:val="0"/>
          <w:marBottom w:val="0"/>
          <w:divBdr>
            <w:top w:val="none" w:sz="0" w:space="0" w:color="auto"/>
            <w:left w:val="none" w:sz="0" w:space="0" w:color="auto"/>
            <w:bottom w:val="none" w:sz="0" w:space="0" w:color="auto"/>
            <w:right w:val="none" w:sz="0" w:space="0" w:color="auto"/>
          </w:divBdr>
        </w:div>
        <w:div w:id="854416120">
          <w:marLeft w:val="0"/>
          <w:marRight w:val="0"/>
          <w:marTop w:val="0"/>
          <w:marBottom w:val="0"/>
          <w:divBdr>
            <w:top w:val="none" w:sz="0" w:space="0" w:color="auto"/>
            <w:left w:val="none" w:sz="0" w:space="0" w:color="auto"/>
            <w:bottom w:val="none" w:sz="0" w:space="0" w:color="auto"/>
            <w:right w:val="none" w:sz="0" w:space="0" w:color="auto"/>
          </w:divBdr>
        </w:div>
        <w:div w:id="861941114">
          <w:marLeft w:val="0"/>
          <w:marRight w:val="0"/>
          <w:marTop w:val="0"/>
          <w:marBottom w:val="0"/>
          <w:divBdr>
            <w:top w:val="none" w:sz="0" w:space="0" w:color="auto"/>
            <w:left w:val="none" w:sz="0" w:space="0" w:color="auto"/>
            <w:bottom w:val="none" w:sz="0" w:space="0" w:color="auto"/>
            <w:right w:val="none" w:sz="0" w:space="0" w:color="auto"/>
          </w:divBdr>
        </w:div>
        <w:div w:id="864831957">
          <w:marLeft w:val="0"/>
          <w:marRight w:val="0"/>
          <w:marTop w:val="0"/>
          <w:marBottom w:val="0"/>
          <w:divBdr>
            <w:top w:val="none" w:sz="0" w:space="0" w:color="auto"/>
            <w:left w:val="none" w:sz="0" w:space="0" w:color="auto"/>
            <w:bottom w:val="none" w:sz="0" w:space="0" w:color="auto"/>
            <w:right w:val="none" w:sz="0" w:space="0" w:color="auto"/>
          </w:divBdr>
        </w:div>
        <w:div w:id="873735325">
          <w:marLeft w:val="0"/>
          <w:marRight w:val="0"/>
          <w:marTop w:val="0"/>
          <w:marBottom w:val="0"/>
          <w:divBdr>
            <w:top w:val="none" w:sz="0" w:space="0" w:color="auto"/>
            <w:left w:val="none" w:sz="0" w:space="0" w:color="auto"/>
            <w:bottom w:val="none" w:sz="0" w:space="0" w:color="auto"/>
            <w:right w:val="none" w:sz="0" w:space="0" w:color="auto"/>
          </w:divBdr>
        </w:div>
        <w:div w:id="874584123">
          <w:marLeft w:val="0"/>
          <w:marRight w:val="0"/>
          <w:marTop w:val="0"/>
          <w:marBottom w:val="0"/>
          <w:divBdr>
            <w:top w:val="none" w:sz="0" w:space="0" w:color="auto"/>
            <w:left w:val="none" w:sz="0" w:space="0" w:color="auto"/>
            <w:bottom w:val="none" w:sz="0" w:space="0" w:color="auto"/>
            <w:right w:val="none" w:sz="0" w:space="0" w:color="auto"/>
          </w:divBdr>
        </w:div>
        <w:div w:id="874852344">
          <w:marLeft w:val="0"/>
          <w:marRight w:val="0"/>
          <w:marTop w:val="0"/>
          <w:marBottom w:val="0"/>
          <w:divBdr>
            <w:top w:val="none" w:sz="0" w:space="0" w:color="auto"/>
            <w:left w:val="none" w:sz="0" w:space="0" w:color="auto"/>
            <w:bottom w:val="none" w:sz="0" w:space="0" w:color="auto"/>
            <w:right w:val="none" w:sz="0" w:space="0" w:color="auto"/>
          </w:divBdr>
        </w:div>
        <w:div w:id="878972750">
          <w:marLeft w:val="0"/>
          <w:marRight w:val="0"/>
          <w:marTop w:val="0"/>
          <w:marBottom w:val="0"/>
          <w:divBdr>
            <w:top w:val="none" w:sz="0" w:space="0" w:color="auto"/>
            <w:left w:val="none" w:sz="0" w:space="0" w:color="auto"/>
            <w:bottom w:val="none" w:sz="0" w:space="0" w:color="auto"/>
            <w:right w:val="none" w:sz="0" w:space="0" w:color="auto"/>
          </w:divBdr>
        </w:div>
        <w:div w:id="879173935">
          <w:marLeft w:val="0"/>
          <w:marRight w:val="0"/>
          <w:marTop w:val="0"/>
          <w:marBottom w:val="0"/>
          <w:divBdr>
            <w:top w:val="none" w:sz="0" w:space="0" w:color="auto"/>
            <w:left w:val="none" w:sz="0" w:space="0" w:color="auto"/>
            <w:bottom w:val="none" w:sz="0" w:space="0" w:color="auto"/>
            <w:right w:val="none" w:sz="0" w:space="0" w:color="auto"/>
          </w:divBdr>
        </w:div>
        <w:div w:id="884759480">
          <w:marLeft w:val="0"/>
          <w:marRight w:val="0"/>
          <w:marTop w:val="0"/>
          <w:marBottom w:val="0"/>
          <w:divBdr>
            <w:top w:val="none" w:sz="0" w:space="0" w:color="auto"/>
            <w:left w:val="none" w:sz="0" w:space="0" w:color="auto"/>
            <w:bottom w:val="none" w:sz="0" w:space="0" w:color="auto"/>
            <w:right w:val="none" w:sz="0" w:space="0" w:color="auto"/>
          </w:divBdr>
        </w:div>
        <w:div w:id="885750727">
          <w:marLeft w:val="0"/>
          <w:marRight w:val="0"/>
          <w:marTop w:val="0"/>
          <w:marBottom w:val="0"/>
          <w:divBdr>
            <w:top w:val="none" w:sz="0" w:space="0" w:color="auto"/>
            <w:left w:val="none" w:sz="0" w:space="0" w:color="auto"/>
            <w:bottom w:val="none" w:sz="0" w:space="0" w:color="auto"/>
            <w:right w:val="none" w:sz="0" w:space="0" w:color="auto"/>
          </w:divBdr>
        </w:div>
        <w:div w:id="886184580">
          <w:marLeft w:val="0"/>
          <w:marRight w:val="0"/>
          <w:marTop w:val="0"/>
          <w:marBottom w:val="0"/>
          <w:divBdr>
            <w:top w:val="none" w:sz="0" w:space="0" w:color="auto"/>
            <w:left w:val="none" w:sz="0" w:space="0" w:color="auto"/>
            <w:bottom w:val="none" w:sz="0" w:space="0" w:color="auto"/>
            <w:right w:val="none" w:sz="0" w:space="0" w:color="auto"/>
          </w:divBdr>
        </w:div>
        <w:div w:id="888566506">
          <w:marLeft w:val="0"/>
          <w:marRight w:val="0"/>
          <w:marTop w:val="0"/>
          <w:marBottom w:val="0"/>
          <w:divBdr>
            <w:top w:val="none" w:sz="0" w:space="0" w:color="auto"/>
            <w:left w:val="none" w:sz="0" w:space="0" w:color="auto"/>
            <w:bottom w:val="none" w:sz="0" w:space="0" w:color="auto"/>
            <w:right w:val="none" w:sz="0" w:space="0" w:color="auto"/>
          </w:divBdr>
        </w:div>
        <w:div w:id="895893161">
          <w:marLeft w:val="0"/>
          <w:marRight w:val="0"/>
          <w:marTop w:val="0"/>
          <w:marBottom w:val="0"/>
          <w:divBdr>
            <w:top w:val="none" w:sz="0" w:space="0" w:color="auto"/>
            <w:left w:val="none" w:sz="0" w:space="0" w:color="auto"/>
            <w:bottom w:val="none" w:sz="0" w:space="0" w:color="auto"/>
            <w:right w:val="none" w:sz="0" w:space="0" w:color="auto"/>
          </w:divBdr>
        </w:div>
        <w:div w:id="903446054">
          <w:marLeft w:val="0"/>
          <w:marRight w:val="0"/>
          <w:marTop w:val="0"/>
          <w:marBottom w:val="0"/>
          <w:divBdr>
            <w:top w:val="none" w:sz="0" w:space="0" w:color="auto"/>
            <w:left w:val="none" w:sz="0" w:space="0" w:color="auto"/>
            <w:bottom w:val="none" w:sz="0" w:space="0" w:color="auto"/>
            <w:right w:val="none" w:sz="0" w:space="0" w:color="auto"/>
          </w:divBdr>
        </w:div>
        <w:div w:id="906383687">
          <w:marLeft w:val="0"/>
          <w:marRight w:val="0"/>
          <w:marTop w:val="0"/>
          <w:marBottom w:val="0"/>
          <w:divBdr>
            <w:top w:val="none" w:sz="0" w:space="0" w:color="auto"/>
            <w:left w:val="none" w:sz="0" w:space="0" w:color="auto"/>
            <w:bottom w:val="none" w:sz="0" w:space="0" w:color="auto"/>
            <w:right w:val="none" w:sz="0" w:space="0" w:color="auto"/>
          </w:divBdr>
        </w:div>
        <w:div w:id="910233564">
          <w:marLeft w:val="0"/>
          <w:marRight w:val="0"/>
          <w:marTop w:val="0"/>
          <w:marBottom w:val="0"/>
          <w:divBdr>
            <w:top w:val="none" w:sz="0" w:space="0" w:color="auto"/>
            <w:left w:val="none" w:sz="0" w:space="0" w:color="auto"/>
            <w:bottom w:val="none" w:sz="0" w:space="0" w:color="auto"/>
            <w:right w:val="none" w:sz="0" w:space="0" w:color="auto"/>
          </w:divBdr>
        </w:div>
        <w:div w:id="916285312">
          <w:marLeft w:val="0"/>
          <w:marRight w:val="0"/>
          <w:marTop w:val="0"/>
          <w:marBottom w:val="0"/>
          <w:divBdr>
            <w:top w:val="none" w:sz="0" w:space="0" w:color="auto"/>
            <w:left w:val="none" w:sz="0" w:space="0" w:color="auto"/>
            <w:bottom w:val="none" w:sz="0" w:space="0" w:color="auto"/>
            <w:right w:val="none" w:sz="0" w:space="0" w:color="auto"/>
          </w:divBdr>
        </w:div>
        <w:div w:id="917516774">
          <w:marLeft w:val="0"/>
          <w:marRight w:val="0"/>
          <w:marTop w:val="0"/>
          <w:marBottom w:val="0"/>
          <w:divBdr>
            <w:top w:val="none" w:sz="0" w:space="0" w:color="auto"/>
            <w:left w:val="none" w:sz="0" w:space="0" w:color="auto"/>
            <w:bottom w:val="none" w:sz="0" w:space="0" w:color="auto"/>
            <w:right w:val="none" w:sz="0" w:space="0" w:color="auto"/>
          </w:divBdr>
        </w:div>
        <w:div w:id="925771919">
          <w:marLeft w:val="0"/>
          <w:marRight w:val="0"/>
          <w:marTop w:val="0"/>
          <w:marBottom w:val="0"/>
          <w:divBdr>
            <w:top w:val="none" w:sz="0" w:space="0" w:color="auto"/>
            <w:left w:val="none" w:sz="0" w:space="0" w:color="auto"/>
            <w:bottom w:val="none" w:sz="0" w:space="0" w:color="auto"/>
            <w:right w:val="none" w:sz="0" w:space="0" w:color="auto"/>
          </w:divBdr>
        </w:div>
        <w:div w:id="928659497">
          <w:marLeft w:val="0"/>
          <w:marRight w:val="0"/>
          <w:marTop w:val="0"/>
          <w:marBottom w:val="0"/>
          <w:divBdr>
            <w:top w:val="none" w:sz="0" w:space="0" w:color="auto"/>
            <w:left w:val="none" w:sz="0" w:space="0" w:color="auto"/>
            <w:bottom w:val="none" w:sz="0" w:space="0" w:color="auto"/>
            <w:right w:val="none" w:sz="0" w:space="0" w:color="auto"/>
          </w:divBdr>
        </w:div>
        <w:div w:id="930310126">
          <w:marLeft w:val="0"/>
          <w:marRight w:val="0"/>
          <w:marTop w:val="0"/>
          <w:marBottom w:val="0"/>
          <w:divBdr>
            <w:top w:val="none" w:sz="0" w:space="0" w:color="auto"/>
            <w:left w:val="none" w:sz="0" w:space="0" w:color="auto"/>
            <w:bottom w:val="none" w:sz="0" w:space="0" w:color="auto"/>
            <w:right w:val="none" w:sz="0" w:space="0" w:color="auto"/>
          </w:divBdr>
        </w:div>
        <w:div w:id="933634461">
          <w:marLeft w:val="0"/>
          <w:marRight w:val="0"/>
          <w:marTop w:val="0"/>
          <w:marBottom w:val="0"/>
          <w:divBdr>
            <w:top w:val="none" w:sz="0" w:space="0" w:color="auto"/>
            <w:left w:val="none" w:sz="0" w:space="0" w:color="auto"/>
            <w:bottom w:val="none" w:sz="0" w:space="0" w:color="auto"/>
            <w:right w:val="none" w:sz="0" w:space="0" w:color="auto"/>
          </w:divBdr>
        </w:div>
        <w:div w:id="936060946">
          <w:marLeft w:val="0"/>
          <w:marRight w:val="0"/>
          <w:marTop w:val="0"/>
          <w:marBottom w:val="0"/>
          <w:divBdr>
            <w:top w:val="none" w:sz="0" w:space="0" w:color="auto"/>
            <w:left w:val="none" w:sz="0" w:space="0" w:color="auto"/>
            <w:bottom w:val="none" w:sz="0" w:space="0" w:color="auto"/>
            <w:right w:val="none" w:sz="0" w:space="0" w:color="auto"/>
          </w:divBdr>
        </w:div>
        <w:div w:id="942881551">
          <w:marLeft w:val="0"/>
          <w:marRight w:val="0"/>
          <w:marTop w:val="0"/>
          <w:marBottom w:val="0"/>
          <w:divBdr>
            <w:top w:val="none" w:sz="0" w:space="0" w:color="auto"/>
            <w:left w:val="none" w:sz="0" w:space="0" w:color="auto"/>
            <w:bottom w:val="none" w:sz="0" w:space="0" w:color="auto"/>
            <w:right w:val="none" w:sz="0" w:space="0" w:color="auto"/>
          </w:divBdr>
        </w:div>
        <w:div w:id="948588874">
          <w:marLeft w:val="0"/>
          <w:marRight w:val="0"/>
          <w:marTop w:val="0"/>
          <w:marBottom w:val="0"/>
          <w:divBdr>
            <w:top w:val="none" w:sz="0" w:space="0" w:color="auto"/>
            <w:left w:val="none" w:sz="0" w:space="0" w:color="auto"/>
            <w:bottom w:val="none" w:sz="0" w:space="0" w:color="auto"/>
            <w:right w:val="none" w:sz="0" w:space="0" w:color="auto"/>
          </w:divBdr>
        </w:div>
        <w:div w:id="951059134">
          <w:marLeft w:val="0"/>
          <w:marRight w:val="0"/>
          <w:marTop w:val="0"/>
          <w:marBottom w:val="0"/>
          <w:divBdr>
            <w:top w:val="none" w:sz="0" w:space="0" w:color="auto"/>
            <w:left w:val="none" w:sz="0" w:space="0" w:color="auto"/>
            <w:bottom w:val="none" w:sz="0" w:space="0" w:color="auto"/>
            <w:right w:val="none" w:sz="0" w:space="0" w:color="auto"/>
          </w:divBdr>
        </w:div>
        <w:div w:id="952173841">
          <w:marLeft w:val="0"/>
          <w:marRight w:val="0"/>
          <w:marTop w:val="0"/>
          <w:marBottom w:val="0"/>
          <w:divBdr>
            <w:top w:val="none" w:sz="0" w:space="0" w:color="auto"/>
            <w:left w:val="none" w:sz="0" w:space="0" w:color="auto"/>
            <w:bottom w:val="none" w:sz="0" w:space="0" w:color="auto"/>
            <w:right w:val="none" w:sz="0" w:space="0" w:color="auto"/>
          </w:divBdr>
        </w:div>
        <w:div w:id="960381760">
          <w:marLeft w:val="0"/>
          <w:marRight w:val="0"/>
          <w:marTop w:val="0"/>
          <w:marBottom w:val="0"/>
          <w:divBdr>
            <w:top w:val="none" w:sz="0" w:space="0" w:color="auto"/>
            <w:left w:val="none" w:sz="0" w:space="0" w:color="auto"/>
            <w:bottom w:val="none" w:sz="0" w:space="0" w:color="auto"/>
            <w:right w:val="none" w:sz="0" w:space="0" w:color="auto"/>
          </w:divBdr>
        </w:div>
        <w:div w:id="961769418">
          <w:marLeft w:val="0"/>
          <w:marRight w:val="0"/>
          <w:marTop w:val="0"/>
          <w:marBottom w:val="0"/>
          <w:divBdr>
            <w:top w:val="none" w:sz="0" w:space="0" w:color="auto"/>
            <w:left w:val="none" w:sz="0" w:space="0" w:color="auto"/>
            <w:bottom w:val="none" w:sz="0" w:space="0" w:color="auto"/>
            <w:right w:val="none" w:sz="0" w:space="0" w:color="auto"/>
          </w:divBdr>
        </w:div>
        <w:div w:id="968123442">
          <w:marLeft w:val="0"/>
          <w:marRight w:val="0"/>
          <w:marTop w:val="0"/>
          <w:marBottom w:val="0"/>
          <w:divBdr>
            <w:top w:val="none" w:sz="0" w:space="0" w:color="auto"/>
            <w:left w:val="none" w:sz="0" w:space="0" w:color="auto"/>
            <w:bottom w:val="none" w:sz="0" w:space="0" w:color="auto"/>
            <w:right w:val="none" w:sz="0" w:space="0" w:color="auto"/>
          </w:divBdr>
        </w:div>
        <w:div w:id="972447262">
          <w:marLeft w:val="0"/>
          <w:marRight w:val="0"/>
          <w:marTop w:val="0"/>
          <w:marBottom w:val="0"/>
          <w:divBdr>
            <w:top w:val="none" w:sz="0" w:space="0" w:color="auto"/>
            <w:left w:val="none" w:sz="0" w:space="0" w:color="auto"/>
            <w:bottom w:val="none" w:sz="0" w:space="0" w:color="auto"/>
            <w:right w:val="none" w:sz="0" w:space="0" w:color="auto"/>
          </w:divBdr>
        </w:div>
        <w:div w:id="973945434">
          <w:marLeft w:val="0"/>
          <w:marRight w:val="0"/>
          <w:marTop w:val="0"/>
          <w:marBottom w:val="0"/>
          <w:divBdr>
            <w:top w:val="none" w:sz="0" w:space="0" w:color="auto"/>
            <w:left w:val="none" w:sz="0" w:space="0" w:color="auto"/>
            <w:bottom w:val="none" w:sz="0" w:space="0" w:color="auto"/>
            <w:right w:val="none" w:sz="0" w:space="0" w:color="auto"/>
          </w:divBdr>
        </w:div>
        <w:div w:id="978149725">
          <w:marLeft w:val="0"/>
          <w:marRight w:val="0"/>
          <w:marTop w:val="0"/>
          <w:marBottom w:val="0"/>
          <w:divBdr>
            <w:top w:val="none" w:sz="0" w:space="0" w:color="auto"/>
            <w:left w:val="none" w:sz="0" w:space="0" w:color="auto"/>
            <w:bottom w:val="none" w:sz="0" w:space="0" w:color="auto"/>
            <w:right w:val="none" w:sz="0" w:space="0" w:color="auto"/>
          </w:divBdr>
        </w:div>
        <w:div w:id="979959940">
          <w:marLeft w:val="0"/>
          <w:marRight w:val="0"/>
          <w:marTop w:val="0"/>
          <w:marBottom w:val="0"/>
          <w:divBdr>
            <w:top w:val="none" w:sz="0" w:space="0" w:color="auto"/>
            <w:left w:val="none" w:sz="0" w:space="0" w:color="auto"/>
            <w:bottom w:val="none" w:sz="0" w:space="0" w:color="auto"/>
            <w:right w:val="none" w:sz="0" w:space="0" w:color="auto"/>
          </w:divBdr>
        </w:div>
        <w:div w:id="984621641">
          <w:marLeft w:val="0"/>
          <w:marRight w:val="0"/>
          <w:marTop w:val="0"/>
          <w:marBottom w:val="0"/>
          <w:divBdr>
            <w:top w:val="none" w:sz="0" w:space="0" w:color="auto"/>
            <w:left w:val="none" w:sz="0" w:space="0" w:color="auto"/>
            <w:bottom w:val="none" w:sz="0" w:space="0" w:color="auto"/>
            <w:right w:val="none" w:sz="0" w:space="0" w:color="auto"/>
          </w:divBdr>
        </w:div>
        <w:div w:id="985207990">
          <w:marLeft w:val="0"/>
          <w:marRight w:val="0"/>
          <w:marTop w:val="0"/>
          <w:marBottom w:val="0"/>
          <w:divBdr>
            <w:top w:val="none" w:sz="0" w:space="0" w:color="auto"/>
            <w:left w:val="none" w:sz="0" w:space="0" w:color="auto"/>
            <w:bottom w:val="none" w:sz="0" w:space="0" w:color="auto"/>
            <w:right w:val="none" w:sz="0" w:space="0" w:color="auto"/>
          </w:divBdr>
        </w:div>
        <w:div w:id="1008677814">
          <w:marLeft w:val="0"/>
          <w:marRight w:val="0"/>
          <w:marTop w:val="0"/>
          <w:marBottom w:val="0"/>
          <w:divBdr>
            <w:top w:val="none" w:sz="0" w:space="0" w:color="auto"/>
            <w:left w:val="none" w:sz="0" w:space="0" w:color="auto"/>
            <w:bottom w:val="none" w:sz="0" w:space="0" w:color="auto"/>
            <w:right w:val="none" w:sz="0" w:space="0" w:color="auto"/>
          </w:divBdr>
        </w:div>
        <w:div w:id="1011444509">
          <w:marLeft w:val="0"/>
          <w:marRight w:val="0"/>
          <w:marTop w:val="0"/>
          <w:marBottom w:val="0"/>
          <w:divBdr>
            <w:top w:val="none" w:sz="0" w:space="0" w:color="auto"/>
            <w:left w:val="none" w:sz="0" w:space="0" w:color="auto"/>
            <w:bottom w:val="none" w:sz="0" w:space="0" w:color="auto"/>
            <w:right w:val="none" w:sz="0" w:space="0" w:color="auto"/>
          </w:divBdr>
        </w:div>
        <w:div w:id="1016614719">
          <w:marLeft w:val="0"/>
          <w:marRight w:val="0"/>
          <w:marTop w:val="0"/>
          <w:marBottom w:val="0"/>
          <w:divBdr>
            <w:top w:val="none" w:sz="0" w:space="0" w:color="auto"/>
            <w:left w:val="none" w:sz="0" w:space="0" w:color="auto"/>
            <w:bottom w:val="none" w:sz="0" w:space="0" w:color="auto"/>
            <w:right w:val="none" w:sz="0" w:space="0" w:color="auto"/>
          </w:divBdr>
        </w:div>
        <w:div w:id="1020006611">
          <w:marLeft w:val="0"/>
          <w:marRight w:val="0"/>
          <w:marTop w:val="0"/>
          <w:marBottom w:val="0"/>
          <w:divBdr>
            <w:top w:val="none" w:sz="0" w:space="0" w:color="auto"/>
            <w:left w:val="none" w:sz="0" w:space="0" w:color="auto"/>
            <w:bottom w:val="none" w:sz="0" w:space="0" w:color="auto"/>
            <w:right w:val="none" w:sz="0" w:space="0" w:color="auto"/>
          </w:divBdr>
        </w:div>
        <w:div w:id="1020743035">
          <w:marLeft w:val="0"/>
          <w:marRight w:val="0"/>
          <w:marTop w:val="0"/>
          <w:marBottom w:val="0"/>
          <w:divBdr>
            <w:top w:val="none" w:sz="0" w:space="0" w:color="auto"/>
            <w:left w:val="none" w:sz="0" w:space="0" w:color="auto"/>
            <w:bottom w:val="none" w:sz="0" w:space="0" w:color="auto"/>
            <w:right w:val="none" w:sz="0" w:space="0" w:color="auto"/>
          </w:divBdr>
        </w:div>
        <w:div w:id="1023823235">
          <w:marLeft w:val="0"/>
          <w:marRight w:val="0"/>
          <w:marTop w:val="0"/>
          <w:marBottom w:val="0"/>
          <w:divBdr>
            <w:top w:val="none" w:sz="0" w:space="0" w:color="auto"/>
            <w:left w:val="none" w:sz="0" w:space="0" w:color="auto"/>
            <w:bottom w:val="none" w:sz="0" w:space="0" w:color="auto"/>
            <w:right w:val="none" w:sz="0" w:space="0" w:color="auto"/>
          </w:divBdr>
        </w:div>
        <w:div w:id="1025447924">
          <w:marLeft w:val="0"/>
          <w:marRight w:val="0"/>
          <w:marTop w:val="0"/>
          <w:marBottom w:val="0"/>
          <w:divBdr>
            <w:top w:val="none" w:sz="0" w:space="0" w:color="auto"/>
            <w:left w:val="none" w:sz="0" w:space="0" w:color="auto"/>
            <w:bottom w:val="none" w:sz="0" w:space="0" w:color="auto"/>
            <w:right w:val="none" w:sz="0" w:space="0" w:color="auto"/>
          </w:divBdr>
        </w:div>
        <w:div w:id="1025715963">
          <w:marLeft w:val="0"/>
          <w:marRight w:val="0"/>
          <w:marTop w:val="0"/>
          <w:marBottom w:val="0"/>
          <w:divBdr>
            <w:top w:val="none" w:sz="0" w:space="0" w:color="auto"/>
            <w:left w:val="none" w:sz="0" w:space="0" w:color="auto"/>
            <w:bottom w:val="none" w:sz="0" w:space="0" w:color="auto"/>
            <w:right w:val="none" w:sz="0" w:space="0" w:color="auto"/>
          </w:divBdr>
        </w:div>
        <w:div w:id="1033730005">
          <w:marLeft w:val="0"/>
          <w:marRight w:val="0"/>
          <w:marTop w:val="0"/>
          <w:marBottom w:val="0"/>
          <w:divBdr>
            <w:top w:val="none" w:sz="0" w:space="0" w:color="auto"/>
            <w:left w:val="none" w:sz="0" w:space="0" w:color="auto"/>
            <w:bottom w:val="none" w:sz="0" w:space="0" w:color="auto"/>
            <w:right w:val="none" w:sz="0" w:space="0" w:color="auto"/>
          </w:divBdr>
        </w:div>
        <w:div w:id="1037121922">
          <w:marLeft w:val="0"/>
          <w:marRight w:val="0"/>
          <w:marTop w:val="0"/>
          <w:marBottom w:val="0"/>
          <w:divBdr>
            <w:top w:val="none" w:sz="0" w:space="0" w:color="auto"/>
            <w:left w:val="none" w:sz="0" w:space="0" w:color="auto"/>
            <w:bottom w:val="none" w:sz="0" w:space="0" w:color="auto"/>
            <w:right w:val="none" w:sz="0" w:space="0" w:color="auto"/>
          </w:divBdr>
        </w:div>
        <w:div w:id="1044259546">
          <w:marLeft w:val="0"/>
          <w:marRight w:val="0"/>
          <w:marTop w:val="0"/>
          <w:marBottom w:val="0"/>
          <w:divBdr>
            <w:top w:val="none" w:sz="0" w:space="0" w:color="auto"/>
            <w:left w:val="none" w:sz="0" w:space="0" w:color="auto"/>
            <w:bottom w:val="none" w:sz="0" w:space="0" w:color="auto"/>
            <w:right w:val="none" w:sz="0" w:space="0" w:color="auto"/>
          </w:divBdr>
        </w:div>
        <w:div w:id="1044523943">
          <w:marLeft w:val="0"/>
          <w:marRight w:val="0"/>
          <w:marTop w:val="0"/>
          <w:marBottom w:val="0"/>
          <w:divBdr>
            <w:top w:val="none" w:sz="0" w:space="0" w:color="auto"/>
            <w:left w:val="none" w:sz="0" w:space="0" w:color="auto"/>
            <w:bottom w:val="none" w:sz="0" w:space="0" w:color="auto"/>
            <w:right w:val="none" w:sz="0" w:space="0" w:color="auto"/>
          </w:divBdr>
        </w:div>
        <w:div w:id="1047342845">
          <w:marLeft w:val="0"/>
          <w:marRight w:val="0"/>
          <w:marTop w:val="0"/>
          <w:marBottom w:val="0"/>
          <w:divBdr>
            <w:top w:val="none" w:sz="0" w:space="0" w:color="auto"/>
            <w:left w:val="none" w:sz="0" w:space="0" w:color="auto"/>
            <w:bottom w:val="none" w:sz="0" w:space="0" w:color="auto"/>
            <w:right w:val="none" w:sz="0" w:space="0" w:color="auto"/>
          </w:divBdr>
        </w:div>
        <w:div w:id="1055197653">
          <w:marLeft w:val="0"/>
          <w:marRight w:val="0"/>
          <w:marTop w:val="0"/>
          <w:marBottom w:val="0"/>
          <w:divBdr>
            <w:top w:val="none" w:sz="0" w:space="0" w:color="auto"/>
            <w:left w:val="none" w:sz="0" w:space="0" w:color="auto"/>
            <w:bottom w:val="none" w:sz="0" w:space="0" w:color="auto"/>
            <w:right w:val="none" w:sz="0" w:space="0" w:color="auto"/>
          </w:divBdr>
        </w:div>
        <w:div w:id="1056465432">
          <w:marLeft w:val="0"/>
          <w:marRight w:val="0"/>
          <w:marTop w:val="0"/>
          <w:marBottom w:val="0"/>
          <w:divBdr>
            <w:top w:val="none" w:sz="0" w:space="0" w:color="auto"/>
            <w:left w:val="none" w:sz="0" w:space="0" w:color="auto"/>
            <w:bottom w:val="none" w:sz="0" w:space="0" w:color="auto"/>
            <w:right w:val="none" w:sz="0" w:space="0" w:color="auto"/>
          </w:divBdr>
        </w:div>
        <w:div w:id="1056590323">
          <w:marLeft w:val="0"/>
          <w:marRight w:val="0"/>
          <w:marTop w:val="0"/>
          <w:marBottom w:val="0"/>
          <w:divBdr>
            <w:top w:val="none" w:sz="0" w:space="0" w:color="auto"/>
            <w:left w:val="none" w:sz="0" w:space="0" w:color="auto"/>
            <w:bottom w:val="none" w:sz="0" w:space="0" w:color="auto"/>
            <w:right w:val="none" w:sz="0" w:space="0" w:color="auto"/>
          </w:divBdr>
        </w:div>
        <w:div w:id="1058548569">
          <w:marLeft w:val="0"/>
          <w:marRight w:val="0"/>
          <w:marTop w:val="0"/>
          <w:marBottom w:val="0"/>
          <w:divBdr>
            <w:top w:val="none" w:sz="0" w:space="0" w:color="auto"/>
            <w:left w:val="none" w:sz="0" w:space="0" w:color="auto"/>
            <w:bottom w:val="none" w:sz="0" w:space="0" w:color="auto"/>
            <w:right w:val="none" w:sz="0" w:space="0" w:color="auto"/>
          </w:divBdr>
        </w:div>
        <w:div w:id="1058555445">
          <w:marLeft w:val="0"/>
          <w:marRight w:val="0"/>
          <w:marTop w:val="0"/>
          <w:marBottom w:val="0"/>
          <w:divBdr>
            <w:top w:val="none" w:sz="0" w:space="0" w:color="auto"/>
            <w:left w:val="none" w:sz="0" w:space="0" w:color="auto"/>
            <w:bottom w:val="none" w:sz="0" w:space="0" w:color="auto"/>
            <w:right w:val="none" w:sz="0" w:space="0" w:color="auto"/>
          </w:divBdr>
        </w:div>
        <w:div w:id="1061170657">
          <w:marLeft w:val="0"/>
          <w:marRight w:val="0"/>
          <w:marTop w:val="0"/>
          <w:marBottom w:val="0"/>
          <w:divBdr>
            <w:top w:val="none" w:sz="0" w:space="0" w:color="auto"/>
            <w:left w:val="none" w:sz="0" w:space="0" w:color="auto"/>
            <w:bottom w:val="none" w:sz="0" w:space="0" w:color="auto"/>
            <w:right w:val="none" w:sz="0" w:space="0" w:color="auto"/>
          </w:divBdr>
        </w:div>
        <w:div w:id="1067727826">
          <w:marLeft w:val="0"/>
          <w:marRight w:val="0"/>
          <w:marTop w:val="0"/>
          <w:marBottom w:val="0"/>
          <w:divBdr>
            <w:top w:val="none" w:sz="0" w:space="0" w:color="auto"/>
            <w:left w:val="none" w:sz="0" w:space="0" w:color="auto"/>
            <w:bottom w:val="none" w:sz="0" w:space="0" w:color="auto"/>
            <w:right w:val="none" w:sz="0" w:space="0" w:color="auto"/>
          </w:divBdr>
        </w:div>
        <w:div w:id="1067997603">
          <w:marLeft w:val="0"/>
          <w:marRight w:val="0"/>
          <w:marTop w:val="0"/>
          <w:marBottom w:val="0"/>
          <w:divBdr>
            <w:top w:val="none" w:sz="0" w:space="0" w:color="auto"/>
            <w:left w:val="none" w:sz="0" w:space="0" w:color="auto"/>
            <w:bottom w:val="none" w:sz="0" w:space="0" w:color="auto"/>
            <w:right w:val="none" w:sz="0" w:space="0" w:color="auto"/>
          </w:divBdr>
        </w:div>
        <w:div w:id="1071348324">
          <w:marLeft w:val="0"/>
          <w:marRight w:val="0"/>
          <w:marTop w:val="0"/>
          <w:marBottom w:val="0"/>
          <w:divBdr>
            <w:top w:val="none" w:sz="0" w:space="0" w:color="auto"/>
            <w:left w:val="none" w:sz="0" w:space="0" w:color="auto"/>
            <w:bottom w:val="none" w:sz="0" w:space="0" w:color="auto"/>
            <w:right w:val="none" w:sz="0" w:space="0" w:color="auto"/>
          </w:divBdr>
        </w:div>
        <w:div w:id="1077509243">
          <w:marLeft w:val="0"/>
          <w:marRight w:val="0"/>
          <w:marTop w:val="0"/>
          <w:marBottom w:val="0"/>
          <w:divBdr>
            <w:top w:val="none" w:sz="0" w:space="0" w:color="auto"/>
            <w:left w:val="none" w:sz="0" w:space="0" w:color="auto"/>
            <w:bottom w:val="none" w:sz="0" w:space="0" w:color="auto"/>
            <w:right w:val="none" w:sz="0" w:space="0" w:color="auto"/>
          </w:divBdr>
        </w:div>
        <w:div w:id="1079523203">
          <w:marLeft w:val="0"/>
          <w:marRight w:val="0"/>
          <w:marTop w:val="0"/>
          <w:marBottom w:val="0"/>
          <w:divBdr>
            <w:top w:val="none" w:sz="0" w:space="0" w:color="auto"/>
            <w:left w:val="none" w:sz="0" w:space="0" w:color="auto"/>
            <w:bottom w:val="none" w:sz="0" w:space="0" w:color="auto"/>
            <w:right w:val="none" w:sz="0" w:space="0" w:color="auto"/>
          </w:divBdr>
        </w:div>
        <w:div w:id="1083838808">
          <w:marLeft w:val="0"/>
          <w:marRight w:val="0"/>
          <w:marTop w:val="0"/>
          <w:marBottom w:val="0"/>
          <w:divBdr>
            <w:top w:val="none" w:sz="0" w:space="0" w:color="auto"/>
            <w:left w:val="none" w:sz="0" w:space="0" w:color="auto"/>
            <w:bottom w:val="none" w:sz="0" w:space="0" w:color="auto"/>
            <w:right w:val="none" w:sz="0" w:space="0" w:color="auto"/>
          </w:divBdr>
        </w:div>
        <w:div w:id="1085493322">
          <w:marLeft w:val="0"/>
          <w:marRight w:val="0"/>
          <w:marTop w:val="0"/>
          <w:marBottom w:val="0"/>
          <w:divBdr>
            <w:top w:val="none" w:sz="0" w:space="0" w:color="auto"/>
            <w:left w:val="none" w:sz="0" w:space="0" w:color="auto"/>
            <w:bottom w:val="none" w:sz="0" w:space="0" w:color="auto"/>
            <w:right w:val="none" w:sz="0" w:space="0" w:color="auto"/>
          </w:divBdr>
        </w:div>
        <w:div w:id="1087770569">
          <w:marLeft w:val="0"/>
          <w:marRight w:val="0"/>
          <w:marTop w:val="0"/>
          <w:marBottom w:val="0"/>
          <w:divBdr>
            <w:top w:val="none" w:sz="0" w:space="0" w:color="auto"/>
            <w:left w:val="none" w:sz="0" w:space="0" w:color="auto"/>
            <w:bottom w:val="none" w:sz="0" w:space="0" w:color="auto"/>
            <w:right w:val="none" w:sz="0" w:space="0" w:color="auto"/>
          </w:divBdr>
        </w:div>
        <w:div w:id="1093088564">
          <w:marLeft w:val="0"/>
          <w:marRight w:val="0"/>
          <w:marTop w:val="0"/>
          <w:marBottom w:val="0"/>
          <w:divBdr>
            <w:top w:val="none" w:sz="0" w:space="0" w:color="auto"/>
            <w:left w:val="none" w:sz="0" w:space="0" w:color="auto"/>
            <w:bottom w:val="none" w:sz="0" w:space="0" w:color="auto"/>
            <w:right w:val="none" w:sz="0" w:space="0" w:color="auto"/>
          </w:divBdr>
        </w:div>
        <w:div w:id="1096246222">
          <w:marLeft w:val="0"/>
          <w:marRight w:val="0"/>
          <w:marTop w:val="0"/>
          <w:marBottom w:val="0"/>
          <w:divBdr>
            <w:top w:val="none" w:sz="0" w:space="0" w:color="auto"/>
            <w:left w:val="none" w:sz="0" w:space="0" w:color="auto"/>
            <w:bottom w:val="none" w:sz="0" w:space="0" w:color="auto"/>
            <w:right w:val="none" w:sz="0" w:space="0" w:color="auto"/>
          </w:divBdr>
        </w:div>
        <w:div w:id="1097601039">
          <w:marLeft w:val="0"/>
          <w:marRight w:val="0"/>
          <w:marTop w:val="0"/>
          <w:marBottom w:val="0"/>
          <w:divBdr>
            <w:top w:val="none" w:sz="0" w:space="0" w:color="auto"/>
            <w:left w:val="none" w:sz="0" w:space="0" w:color="auto"/>
            <w:bottom w:val="none" w:sz="0" w:space="0" w:color="auto"/>
            <w:right w:val="none" w:sz="0" w:space="0" w:color="auto"/>
          </w:divBdr>
        </w:div>
        <w:div w:id="1099839287">
          <w:marLeft w:val="0"/>
          <w:marRight w:val="0"/>
          <w:marTop w:val="0"/>
          <w:marBottom w:val="0"/>
          <w:divBdr>
            <w:top w:val="none" w:sz="0" w:space="0" w:color="auto"/>
            <w:left w:val="none" w:sz="0" w:space="0" w:color="auto"/>
            <w:bottom w:val="none" w:sz="0" w:space="0" w:color="auto"/>
            <w:right w:val="none" w:sz="0" w:space="0" w:color="auto"/>
          </w:divBdr>
        </w:div>
        <w:div w:id="1103572766">
          <w:marLeft w:val="0"/>
          <w:marRight w:val="0"/>
          <w:marTop w:val="0"/>
          <w:marBottom w:val="0"/>
          <w:divBdr>
            <w:top w:val="none" w:sz="0" w:space="0" w:color="auto"/>
            <w:left w:val="none" w:sz="0" w:space="0" w:color="auto"/>
            <w:bottom w:val="none" w:sz="0" w:space="0" w:color="auto"/>
            <w:right w:val="none" w:sz="0" w:space="0" w:color="auto"/>
          </w:divBdr>
        </w:div>
        <w:div w:id="1107457431">
          <w:marLeft w:val="0"/>
          <w:marRight w:val="0"/>
          <w:marTop w:val="0"/>
          <w:marBottom w:val="0"/>
          <w:divBdr>
            <w:top w:val="none" w:sz="0" w:space="0" w:color="auto"/>
            <w:left w:val="none" w:sz="0" w:space="0" w:color="auto"/>
            <w:bottom w:val="none" w:sz="0" w:space="0" w:color="auto"/>
            <w:right w:val="none" w:sz="0" w:space="0" w:color="auto"/>
          </w:divBdr>
        </w:div>
        <w:div w:id="1109004259">
          <w:marLeft w:val="0"/>
          <w:marRight w:val="0"/>
          <w:marTop w:val="0"/>
          <w:marBottom w:val="0"/>
          <w:divBdr>
            <w:top w:val="none" w:sz="0" w:space="0" w:color="auto"/>
            <w:left w:val="none" w:sz="0" w:space="0" w:color="auto"/>
            <w:bottom w:val="none" w:sz="0" w:space="0" w:color="auto"/>
            <w:right w:val="none" w:sz="0" w:space="0" w:color="auto"/>
          </w:divBdr>
        </w:div>
        <w:div w:id="1113398042">
          <w:marLeft w:val="0"/>
          <w:marRight w:val="0"/>
          <w:marTop w:val="0"/>
          <w:marBottom w:val="0"/>
          <w:divBdr>
            <w:top w:val="none" w:sz="0" w:space="0" w:color="auto"/>
            <w:left w:val="none" w:sz="0" w:space="0" w:color="auto"/>
            <w:bottom w:val="none" w:sz="0" w:space="0" w:color="auto"/>
            <w:right w:val="none" w:sz="0" w:space="0" w:color="auto"/>
          </w:divBdr>
        </w:div>
        <w:div w:id="1114592109">
          <w:marLeft w:val="0"/>
          <w:marRight w:val="0"/>
          <w:marTop w:val="0"/>
          <w:marBottom w:val="0"/>
          <w:divBdr>
            <w:top w:val="none" w:sz="0" w:space="0" w:color="auto"/>
            <w:left w:val="none" w:sz="0" w:space="0" w:color="auto"/>
            <w:bottom w:val="none" w:sz="0" w:space="0" w:color="auto"/>
            <w:right w:val="none" w:sz="0" w:space="0" w:color="auto"/>
          </w:divBdr>
        </w:div>
        <w:div w:id="1118639984">
          <w:marLeft w:val="0"/>
          <w:marRight w:val="0"/>
          <w:marTop w:val="0"/>
          <w:marBottom w:val="0"/>
          <w:divBdr>
            <w:top w:val="none" w:sz="0" w:space="0" w:color="auto"/>
            <w:left w:val="none" w:sz="0" w:space="0" w:color="auto"/>
            <w:bottom w:val="none" w:sz="0" w:space="0" w:color="auto"/>
            <w:right w:val="none" w:sz="0" w:space="0" w:color="auto"/>
          </w:divBdr>
        </w:div>
        <w:div w:id="1121266441">
          <w:marLeft w:val="0"/>
          <w:marRight w:val="0"/>
          <w:marTop w:val="0"/>
          <w:marBottom w:val="0"/>
          <w:divBdr>
            <w:top w:val="none" w:sz="0" w:space="0" w:color="auto"/>
            <w:left w:val="none" w:sz="0" w:space="0" w:color="auto"/>
            <w:bottom w:val="none" w:sz="0" w:space="0" w:color="auto"/>
            <w:right w:val="none" w:sz="0" w:space="0" w:color="auto"/>
          </w:divBdr>
        </w:div>
        <w:div w:id="1121534656">
          <w:marLeft w:val="0"/>
          <w:marRight w:val="0"/>
          <w:marTop w:val="0"/>
          <w:marBottom w:val="0"/>
          <w:divBdr>
            <w:top w:val="none" w:sz="0" w:space="0" w:color="auto"/>
            <w:left w:val="none" w:sz="0" w:space="0" w:color="auto"/>
            <w:bottom w:val="none" w:sz="0" w:space="0" w:color="auto"/>
            <w:right w:val="none" w:sz="0" w:space="0" w:color="auto"/>
          </w:divBdr>
        </w:div>
        <w:div w:id="1127621321">
          <w:marLeft w:val="0"/>
          <w:marRight w:val="0"/>
          <w:marTop w:val="0"/>
          <w:marBottom w:val="0"/>
          <w:divBdr>
            <w:top w:val="none" w:sz="0" w:space="0" w:color="auto"/>
            <w:left w:val="none" w:sz="0" w:space="0" w:color="auto"/>
            <w:bottom w:val="none" w:sz="0" w:space="0" w:color="auto"/>
            <w:right w:val="none" w:sz="0" w:space="0" w:color="auto"/>
          </w:divBdr>
        </w:div>
        <w:div w:id="1129590046">
          <w:marLeft w:val="0"/>
          <w:marRight w:val="0"/>
          <w:marTop w:val="0"/>
          <w:marBottom w:val="0"/>
          <w:divBdr>
            <w:top w:val="none" w:sz="0" w:space="0" w:color="auto"/>
            <w:left w:val="none" w:sz="0" w:space="0" w:color="auto"/>
            <w:bottom w:val="none" w:sz="0" w:space="0" w:color="auto"/>
            <w:right w:val="none" w:sz="0" w:space="0" w:color="auto"/>
          </w:divBdr>
        </w:div>
        <w:div w:id="1133136559">
          <w:marLeft w:val="0"/>
          <w:marRight w:val="0"/>
          <w:marTop w:val="0"/>
          <w:marBottom w:val="0"/>
          <w:divBdr>
            <w:top w:val="none" w:sz="0" w:space="0" w:color="auto"/>
            <w:left w:val="none" w:sz="0" w:space="0" w:color="auto"/>
            <w:bottom w:val="none" w:sz="0" w:space="0" w:color="auto"/>
            <w:right w:val="none" w:sz="0" w:space="0" w:color="auto"/>
          </w:divBdr>
        </w:div>
        <w:div w:id="1140004115">
          <w:marLeft w:val="0"/>
          <w:marRight w:val="0"/>
          <w:marTop w:val="0"/>
          <w:marBottom w:val="0"/>
          <w:divBdr>
            <w:top w:val="none" w:sz="0" w:space="0" w:color="auto"/>
            <w:left w:val="none" w:sz="0" w:space="0" w:color="auto"/>
            <w:bottom w:val="none" w:sz="0" w:space="0" w:color="auto"/>
            <w:right w:val="none" w:sz="0" w:space="0" w:color="auto"/>
          </w:divBdr>
        </w:div>
        <w:div w:id="1141850009">
          <w:marLeft w:val="0"/>
          <w:marRight w:val="0"/>
          <w:marTop w:val="0"/>
          <w:marBottom w:val="0"/>
          <w:divBdr>
            <w:top w:val="none" w:sz="0" w:space="0" w:color="auto"/>
            <w:left w:val="none" w:sz="0" w:space="0" w:color="auto"/>
            <w:bottom w:val="none" w:sz="0" w:space="0" w:color="auto"/>
            <w:right w:val="none" w:sz="0" w:space="0" w:color="auto"/>
          </w:divBdr>
        </w:div>
        <w:div w:id="1144855102">
          <w:marLeft w:val="0"/>
          <w:marRight w:val="0"/>
          <w:marTop w:val="0"/>
          <w:marBottom w:val="0"/>
          <w:divBdr>
            <w:top w:val="none" w:sz="0" w:space="0" w:color="auto"/>
            <w:left w:val="none" w:sz="0" w:space="0" w:color="auto"/>
            <w:bottom w:val="none" w:sz="0" w:space="0" w:color="auto"/>
            <w:right w:val="none" w:sz="0" w:space="0" w:color="auto"/>
          </w:divBdr>
        </w:div>
        <w:div w:id="1147937787">
          <w:marLeft w:val="0"/>
          <w:marRight w:val="0"/>
          <w:marTop w:val="0"/>
          <w:marBottom w:val="0"/>
          <w:divBdr>
            <w:top w:val="none" w:sz="0" w:space="0" w:color="auto"/>
            <w:left w:val="none" w:sz="0" w:space="0" w:color="auto"/>
            <w:bottom w:val="none" w:sz="0" w:space="0" w:color="auto"/>
            <w:right w:val="none" w:sz="0" w:space="0" w:color="auto"/>
          </w:divBdr>
        </w:div>
        <w:div w:id="1149830552">
          <w:marLeft w:val="0"/>
          <w:marRight w:val="0"/>
          <w:marTop w:val="0"/>
          <w:marBottom w:val="0"/>
          <w:divBdr>
            <w:top w:val="none" w:sz="0" w:space="0" w:color="auto"/>
            <w:left w:val="none" w:sz="0" w:space="0" w:color="auto"/>
            <w:bottom w:val="none" w:sz="0" w:space="0" w:color="auto"/>
            <w:right w:val="none" w:sz="0" w:space="0" w:color="auto"/>
          </w:divBdr>
        </w:div>
        <w:div w:id="1153523540">
          <w:marLeft w:val="0"/>
          <w:marRight w:val="0"/>
          <w:marTop w:val="0"/>
          <w:marBottom w:val="0"/>
          <w:divBdr>
            <w:top w:val="none" w:sz="0" w:space="0" w:color="auto"/>
            <w:left w:val="none" w:sz="0" w:space="0" w:color="auto"/>
            <w:bottom w:val="none" w:sz="0" w:space="0" w:color="auto"/>
            <w:right w:val="none" w:sz="0" w:space="0" w:color="auto"/>
          </w:divBdr>
        </w:div>
        <w:div w:id="1156647889">
          <w:marLeft w:val="0"/>
          <w:marRight w:val="0"/>
          <w:marTop w:val="0"/>
          <w:marBottom w:val="0"/>
          <w:divBdr>
            <w:top w:val="none" w:sz="0" w:space="0" w:color="auto"/>
            <w:left w:val="none" w:sz="0" w:space="0" w:color="auto"/>
            <w:bottom w:val="none" w:sz="0" w:space="0" w:color="auto"/>
            <w:right w:val="none" w:sz="0" w:space="0" w:color="auto"/>
          </w:divBdr>
        </w:div>
        <w:div w:id="1164051794">
          <w:marLeft w:val="0"/>
          <w:marRight w:val="0"/>
          <w:marTop w:val="0"/>
          <w:marBottom w:val="0"/>
          <w:divBdr>
            <w:top w:val="none" w:sz="0" w:space="0" w:color="auto"/>
            <w:left w:val="none" w:sz="0" w:space="0" w:color="auto"/>
            <w:bottom w:val="none" w:sz="0" w:space="0" w:color="auto"/>
            <w:right w:val="none" w:sz="0" w:space="0" w:color="auto"/>
          </w:divBdr>
        </w:div>
        <w:div w:id="1165366053">
          <w:marLeft w:val="0"/>
          <w:marRight w:val="0"/>
          <w:marTop w:val="0"/>
          <w:marBottom w:val="0"/>
          <w:divBdr>
            <w:top w:val="none" w:sz="0" w:space="0" w:color="auto"/>
            <w:left w:val="none" w:sz="0" w:space="0" w:color="auto"/>
            <w:bottom w:val="none" w:sz="0" w:space="0" w:color="auto"/>
            <w:right w:val="none" w:sz="0" w:space="0" w:color="auto"/>
          </w:divBdr>
        </w:div>
        <w:div w:id="1168255622">
          <w:marLeft w:val="0"/>
          <w:marRight w:val="0"/>
          <w:marTop w:val="0"/>
          <w:marBottom w:val="0"/>
          <w:divBdr>
            <w:top w:val="none" w:sz="0" w:space="0" w:color="auto"/>
            <w:left w:val="none" w:sz="0" w:space="0" w:color="auto"/>
            <w:bottom w:val="none" w:sz="0" w:space="0" w:color="auto"/>
            <w:right w:val="none" w:sz="0" w:space="0" w:color="auto"/>
          </w:divBdr>
        </w:div>
        <w:div w:id="1169835112">
          <w:marLeft w:val="0"/>
          <w:marRight w:val="0"/>
          <w:marTop w:val="0"/>
          <w:marBottom w:val="0"/>
          <w:divBdr>
            <w:top w:val="none" w:sz="0" w:space="0" w:color="auto"/>
            <w:left w:val="none" w:sz="0" w:space="0" w:color="auto"/>
            <w:bottom w:val="none" w:sz="0" w:space="0" w:color="auto"/>
            <w:right w:val="none" w:sz="0" w:space="0" w:color="auto"/>
          </w:divBdr>
        </w:div>
        <w:div w:id="1171679985">
          <w:marLeft w:val="0"/>
          <w:marRight w:val="0"/>
          <w:marTop w:val="0"/>
          <w:marBottom w:val="0"/>
          <w:divBdr>
            <w:top w:val="none" w:sz="0" w:space="0" w:color="auto"/>
            <w:left w:val="none" w:sz="0" w:space="0" w:color="auto"/>
            <w:bottom w:val="none" w:sz="0" w:space="0" w:color="auto"/>
            <w:right w:val="none" w:sz="0" w:space="0" w:color="auto"/>
          </w:divBdr>
        </w:div>
        <w:div w:id="1171874749">
          <w:marLeft w:val="0"/>
          <w:marRight w:val="0"/>
          <w:marTop w:val="0"/>
          <w:marBottom w:val="0"/>
          <w:divBdr>
            <w:top w:val="none" w:sz="0" w:space="0" w:color="auto"/>
            <w:left w:val="none" w:sz="0" w:space="0" w:color="auto"/>
            <w:bottom w:val="none" w:sz="0" w:space="0" w:color="auto"/>
            <w:right w:val="none" w:sz="0" w:space="0" w:color="auto"/>
          </w:divBdr>
        </w:div>
        <w:div w:id="1182746247">
          <w:marLeft w:val="0"/>
          <w:marRight w:val="0"/>
          <w:marTop w:val="0"/>
          <w:marBottom w:val="0"/>
          <w:divBdr>
            <w:top w:val="none" w:sz="0" w:space="0" w:color="auto"/>
            <w:left w:val="none" w:sz="0" w:space="0" w:color="auto"/>
            <w:bottom w:val="none" w:sz="0" w:space="0" w:color="auto"/>
            <w:right w:val="none" w:sz="0" w:space="0" w:color="auto"/>
          </w:divBdr>
        </w:div>
        <w:div w:id="1187716609">
          <w:marLeft w:val="0"/>
          <w:marRight w:val="0"/>
          <w:marTop w:val="0"/>
          <w:marBottom w:val="0"/>
          <w:divBdr>
            <w:top w:val="none" w:sz="0" w:space="0" w:color="auto"/>
            <w:left w:val="none" w:sz="0" w:space="0" w:color="auto"/>
            <w:bottom w:val="none" w:sz="0" w:space="0" w:color="auto"/>
            <w:right w:val="none" w:sz="0" w:space="0" w:color="auto"/>
          </w:divBdr>
        </w:div>
        <w:div w:id="1188329529">
          <w:marLeft w:val="0"/>
          <w:marRight w:val="0"/>
          <w:marTop w:val="0"/>
          <w:marBottom w:val="0"/>
          <w:divBdr>
            <w:top w:val="none" w:sz="0" w:space="0" w:color="auto"/>
            <w:left w:val="none" w:sz="0" w:space="0" w:color="auto"/>
            <w:bottom w:val="none" w:sz="0" w:space="0" w:color="auto"/>
            <w:right w:val="none" w:sz="0" w:space="0" w:color="auto"/>
          </w:divBdr>
        </w:div>
        <w:div w:id="1199079055">
          <w:marLeft w:val="0"/>
          <w:marRight w:val="0"/>
          <w:marTop w:val="0"/>
          <w:marBottom w:val="0"/>
          <w:divBdr>
            <w:top w:val="none" w:sz="0" w:space="0" w:color="auto"/>
            <w:left w:val="none" w:sz="0" w:space="0" w:color="auto"/>
            <w:bottom w:val="none" w:sz="0" w:space="0" w:color="auto"/>
            <w:right w:val="none" w:sz="0" w:space="0" w:color="auto"/>
          </w:divBdr>
        </w:div>
        <w:div w:id="1202203263">
          <w:marLeft w:val="0"/>
          <w:marRight w:val="0"/>
          <w:marTop w:val="0"/>
          <w:marBottom w:val="0"/>
          <w:divBdr>
            <w:top w:val="none" w:sz="0" w:space="0" w:color="auto"/>
            <w:left w:val="none" w:sz="0" w:space="0" w:color="auto"/>
            <w:bottom w:val="none" w:sz="0" w:space="0" w:color="auto"/>
            <w:right w:val="none" w:sz="0" w:space="0" w:color="auto"/>
          </w:divBdr>
        </w:div>
        <w:div w:id="1202594479">
          <w:marLeft w:val="0"/>
          <w:marRight w:val="0"/>
          <w:marTop w:val="0"/>
          <w:marBottom w:val="0"/>
          <w:divBdr>
            <w:top w:val="none" w:sz="0" w:space="0" w:color="auto"/>
            <w:left w:val="none" w:sz="0" w:space="0" w:color="auto"/>
            <w:bottom w:val="none" w:sz="0" w:space="0" w:color="auto"/>
            <w:right w:val="none" w:sz="0" w:space="0" w:color="auto"/>
          </w:divBdr>
        </w:div>
        <w:div w:id="1206605794">
          <w:marLeft w:val="0"/>
          <w:marRight w:val="0"/>
          <w:marTop w:val="0"/>
          <w:marBottom w:val="0"/>
          <w:divBdr>
            <w:top w:val="none" w:sz="0" w:space="0" w:color="auto"/>
            <w:left w:val="none" w:sz="0" w:space="0" w:color="auto"/>
            <w:bottom w:val="none" w:sz="0" w:space="0" w:color="auto"/>
            <w:right w:val="none" w:sz="0" w:space="0" w:color="auto"/>
          </w:divBdr>
        </w:div>
        <w:div w:id="1212958143">
          <w:marLeft w:val="0"/>
          <w:marRight w:val="0"/>
          <w:marTop w:val="0"/>
          <w:marBottom w:val="0"/>
          <w:divBdr>
            <w:top w:val="none" w:sz="0" w:space="0" w:color="auto"/>
            <w:left w:val="none" w:sz="0" w:space="0" w:color="auto"/>
            <w:bottom w:val="none" w:sz="0" w:space="0" w:color="auto"/>
            <w:right w:val="none" w:sz="0" w:space="0" w:color="auto"/>
          </w:divBdr>
        </w:div>
        <w:div w:id="1213662078">
          <w:marLeft w:val="0"/>
          <w:marRight w:val="0"/>
          <w:marTop w:val="0"/>
          <w:marBottom w:val="0"/>
          <w:divBdr>
            <w:top w:val="none" w:sz="0" w:space="0" w:color="auto"/>
            <w:left w:val="none" w:sz="0" w:space="0" w:color="auto"/>
            <w:bottom w:val="none" w:sz="0" w:space="0" w:color="auto"/>
            <w:right w:val="none" w:sz="0" w:space="0" w:color="auto"/>
          </w:divBdr>
        </w:div>
        <w:div w:id="1215039703">
          <w:marLeft w:val="0"/>
          <w:marRight w:val="0"/>
          <w:marTop w:val="0"/>
          <w:marBottom w:val="0"/>
          <w:divBdr>
            <w:top w:val="none" w:sz="0" w:space="0" w:color="auto"/>
            <w:left w:val="none" w:sz="0" w:space="0" w:color="auto"/>
            <w:bottom w:val="none" w:sz="0" w:space="0" w:color="auto"/>
            <w:right w:val="none" w:sz="0" w:space="0" w:color="auto"/>
          </w:divBdr>
        </w:div>
        <w:div w:id="1215895909">
          <w:marLeft w:val="0"/>
          <w:marRight w:val="0"/>
          <w:marTop w:val="0"/>
          <w:marBottom w:val="0"/>
          <w:divBdr>
            <w:top w:val="none" w:sz="0" w:space="0" w:color="auto"/>
            <w:left w:val="none" w:sz="0" w:space="0" w:color="auto"/>
            <w:bottom w:val="none" w:sz="0" w:space="0" w:color="auto"/>
            <w:right w:val="none" w:sz="0" w:space="0" w:color="auto"/>
          </w:divBdr>
        </w:div>
        <w:div w:id="1223174916">
          <w:marLeft w:val="0"/>
          <w:marRight w:val="0"/>
          <w:marTop w:val="0"/>
          <w:marBottom w:val="0"/>
          <w:divBdr>
            <w:top w:val="none" w:sz="0" w:space="0" w:color="auto"/>
            <w:left w:val="none" w:sz="0" w:space="0" w:color="auto"/>
            <w:bottom w:val="none" w:sz="0" w:space="0" w:color="auto"/>
            <w:right w:val="none" w:sz="0" w:space="0" w:color="auto"/>
          </w:divBdr>
        </w:div>
        <w:div w:id="1224218126">
          <w:marLeft w:val="0"/>
          <w:marRight w:val="0"/>
          <w:marTop w:val="0"/>
          <w:marBottom w:val="0"/>
          <w:divBdr>
            <w:top w:val="none" w:sz="0" w:space="0" w:color="auto"/>
            <w:left w:val="none" w:sz="0" w:space="0" w:color="auto"/>
            <w:bottom w:val="none" w:sz="0" w:space="0" w:color="auto"/>
            <w:right w:val="none" w:sz="0" w:space="0" w:color="auto"/>
          </w:divBdr>
        </w:div>
        <w:div w:id="1225026635">
          <w:marLeft w:val="0"/>
          <w:marRight w:val="0"/>
          <w:marTop w:val="0"/>
          <w:marBottom w:val="0"/>
          <w:divBdr>
            <w:top w:val="none" w:sz="0" w:space="0" w:color="auto"/>
            <w:left w:val="none" w:sz="0" w:space="0" w:color="auto"/>
            <w:bottom w:val="none" w:sz="0" w:space="0" w:color="auto"/>
            <w:right w:val="none" w:sz="0" w:space="0" w:color="auto"/>
          </w:divBdr>
        </w:div>
        <w:div w:id="1226137188">
          <w:marLeft w:val="0"/>
          <w:marRight w:val="0"/>
          <w:marTop w:val="0"/>
          <w:marBottom w:val="0"/>
          <w:divBdr>
            <w:top w:val="none" w:sz="0" w:space="0" w:color="auto"/>
            <w:left w:val="none" w:sz="0" w:space="0" w:color="auto"/>
            <w:bottom w:val="none" w:sz="0" w:space="0" w:color="auto"/>
            <w:right w:val="none" w:sz="0" w:space="0" w:color="auto"/>
          </w:divBdr>
        </w:div>
        <w:div w:id="1228766088">
          <w:marLeft w:val="0"/>
          <w:marRight w:val="0"/>
          <w:marTop w:val="0"/>
          <w:marBottom w:val="0"/>
          <w:divBdr>
            <w:top w:val="none" w:sz="0" w:space="0" w:color="auto"/>
            <w:left w:val="none" w:sz="0" w:space="0" w:color="auto"/>
            <w:bottom w:val="none" w:sz="0" w:space="0" w:color="auto"/>
            <w:right w:val="none" w:sz="0" w:space="0" w:color="auto"/>
          </w:divBdr>
        </w:div>
        <w:div w:id="1231037107">
          <w:marLeft w:val="0"/>
          <w:marRight w:val="0"/>
          <w:marTop w:val="0"/>
          <w:marBottom w:val="0"/>
          <w:divBdr>
            <w:top w:val="none" w:sz="0" w:space="0" w:color="auto"/>
            <w:left w:val="none" w:sz="0" w:space="0" w:color="auto"/>
            <w:bottom w:val="none" w:sz="0" w:space="0" w:color="auto"/>
            <w:right w:val="none" w:sz="0" w:space="0" w:color="auto"/>
          </w:divBdr>
        </w:div>
        <w:div w:id="1231581337">
          <w:marLeft w:val="0"/>
          <w:marRight w:val="0"/>
          <w:marTop w:val="0"/>
          <w:marBottom w:val="0"/>
          <w:divBdr>
            <w:top w:val="none" w:sz="0" w:space="0" w:color="auto"/>
            <w:left w:val="none" w:sz="0" w:space="0" w:color="auto"/>
            <w:bottom w:val="none" w:sz="0" w:space="0" w:color="auto"/>
            <w:right w:val="none" w:sz="0" w:space="0" w:color="auto"/>
          </w:divBdr>
        </w:div>
        <w:div w:id="1233008076">
          <w:marLeft w:val="0"/>
          <w:marRight w:val="0"/>
          <w:marTop w:val="0"/>
          <w:marBottom w:val="0"/>
          <w:divBdr>
            <w:top w:val="none" w:sz="0" w:space="0" w:color="auto"/>
            <w:left w:val="none" w:sz="0" w:space="0" w:color="auto"/>
            <w:bottom w:val="none" w:sz="0" w:space="0" w:color="auto"/>
            <w:right w:val="none" w:sz="0" w:space="0" w:color="auto"/>
          </w:divBdr>
        </w:div>
        <w:div w:id="1234701817">
          <w:marLeft w:val="0"/>
          <w:marRight w:val="0"/>
          <w:marTop w:val="0"/>
          <w:marBottom w:val="0"/>
          <w:divBdr>
            <w:top w:val="none" w:sz="0" w:space="0" w:color="auto"/>
            <w:left w:val="none" w:sz="0" w:space="0" w:color="auto"/>
            <w:bottom w:val="none" w:sz="0" w:space="0" w:color="auto"/>
            <w:right w:val="none" w:sz="0" w:space="0" w:color="auto"/>
          </w:divBdr>
        </w:div>
        <w:div w:id="1238055907">
          <w:marLeft w:val="0"/>
          <w:marRight w:val="0"/>
          <w:marTop w:val="0"/>
          <w:marBottom w:val="0"/>
          <w:divBdr>
            <w:top w:val="none" w:sz="0" w:space="0" w:color="auto"/>
            <w:left w:val="none" w:sz="0" w:space="0" w:color="auto"/>
            <w:bottom w:val="none" w:sz="0" w:space="0" w:color="auto"/>
            <w:right w:val="none" w:sz="0" w:space="0" w:color="auto"/>
          </w:divBdr>
        </w:div>
        <w:div w:id="1238444770">
          <w:marLeft w:val="0"/>
          <w:marRight w:val="0"/>
          <w:marTop w:val="0"/>
          <w:marBottom w:val="0"/>
          <w:divBdr>
            <w:top w:val="none" w:sz="0" w:space="0" w:color="auto"/>
            <w:left w:val="none" w:sz="0" w:space="0" w:color="auto"/>
            <w:bottom w:val="none" w:sz="0" w:space="0" w:color="auto"/>
            <w:right w:val="none" w:sz="0" w:space="0" w:color="auto"/>
          </w:divBdr>
        </w:div>
        <w:div w:id="1246066789">
          <w:marLeft w:val="0"/>
          <w:marRight w:val="0"/>
          <w:marTop w:val="0"/>
          <w:marBottom w:val="0"/>
          <w:divBdr>
            <w:top w:val="none" w:sz="0" w:space="0" w:color="auto"/>
            <w:left w:val="none" w:sz="0" w:space="0" w:color="auto"/>
            <w:bottom w:val="none" w:sz="0" w:space="0" w:color="auto"/>
            <w:right w:val="none" w:sz="0" w:space="0" w:color="auto"/>
          </w:divBdr>
        </w:div>
        <w:div w:id="1247766573">
          <w:marLeft w:val="0"/>
          <w:marRight w:val="0"/>
          <w:marTop w:val="0"/>
          <w:marBottom w:val="0"/>
          <w:divBdr>
            <w:top w:val="none" w:sz="0" w:space="0" w:color="auto"/>
            <w:left w:val="none" w:sz="0" w:space="0" w:color="auto"/>
            <w:bottom w:val="none" w:sz="0" w:space="0" w:color="auto"/>
            <w:right w:val="none" w:sz="0" w:space="0" w:color="auto"/>
          </w:divBdr>
        </w:div>
        <w:div w:id="1251818830">
          <w:marLeft w:val="0"/>
          <w:marRight w:val="0"/>
          <w:marTop w:val="0"/>
          <w:marBottom w:val="0"/>
          <w:divBdr>
            <w:top w:val="none" w:sz="0" w:space="0" w:color="auto"/>
            <w:left w:val="none" w:sz="0" w:space="0" w:color="auto"/>
            <w:bottom w:val="none" w:sz="0" w:space="0" w:color="auto"/>
            <w:right w:val="none" w:sz="0" w:space="0" w:color="auto"/>
          </w:divBdr>
        </w:div>
        <w:div w:id="1252591509">
          <w:marLeft w:val="0"/>
          <w:marRight w:val="0"/>
          <w:marTop w:val="0"/>
          <w:marBottom w:val="0"/>
          <w:divBdr>
            <w:top w:val="none" w:sz="0" w:space="0" w:color="auto"/>
            <w:left w:val="none" w:sz="0" w:space="0" w:color="auto"/>
            <w:bottom w:val="none" w:sz="0" w:space="0" w:color="auto"/>
            <w:right w:val="none" w:sz="0" w:space="0" w:color="auto"/>
          </w:divBdr>
        </w:div>
        <w:div w:id="1258948339">
          <w:marLeft w:val="0"/>
          <w:marRight w:val="0"/>
          <w:marTop w:val="0"/>
          <w:marBottom w:val="0"/>
          <w:divBdr>
            <w:top w:val="none" w:sz="0" w:space="0" w:color="auto"/>
            <w:left w:val="none" w:sz="0" w:space="0" w:color="auto"/>
            <w:bottom w:val="none" w:sz="0" w:space="0" w:color="auto"/>
            <w:right w:val="none" w:sz="0" w:space="0" w:color="auto"/>
          </w:divBdr>
        </w:div>
        <w:div w:id="1262108469">
          <w:marLeft w:val="0"/>
          <w:marRight w:val="0"/>
          <w:marTop w:val="0"/>
          <w:marBottom w:val="0"/>
          <w:divBdr>
            <w:top w:val="none" w:sz="0" w:space="0" w:color="auto"/>
            <w:left w:val="none" w:sz="0" w:space="0" w:color="auto"/>
            <w:bottom w:val="none" w:sz="0" w:space="0" w:color="auto"/>
            <w:right w:val="none" w:sz="0" w:space="0" w:color="auto"/>
          </w:divBdr>
        </w:div>
        <w:div w:id="1265189698">
          <w:marLeft w:val="0"/>
          <w:marRight w:val="0"/>
          <w:marTop w:val="0"/>
          <w:marBottom w:val="0"/>
          <w:divBdr>
            <w:top w:val="none" w:sz="0" w:space="0" w:color="auto"/>
            <w:left w:val="none" w:sz="0" w:space="0" w:color="auto"/>
            <w:bottom w:val="none" w:sz="0" w:space="0" w:color="auto"/>
            <w:right w:val="none" w:sz="0" w:space="0" w:color="auto"/>
          </w:divBdr>
        </w:div>
        <w:div w:id="1268151333">
          <w:marLeft w:val="0"/>
          <w:marRight w:val="0"/>
          <w:marTop w:val="0"/>
          <w:marBottom w:val="0"/>
          <w:divBdr>
            <w:top w:val="none" w:sz="0" w:space="0" w:color="auto"/>
            <w:left w:val="none" w:sz="0" w:space="0" w:color="auto"/>
            <w:bottom w:val="none" w:sz="0" w:space="0" w:color="auto"/>
            <w:right w:val="none" w:sz="0" w:space="0" w:color="auto"/>
          </w:divBdr>
        </w:div>
        <w:div w:id="1269191646">
          <w:marLeft w:val="0"/>
          <w:marRight w:val="0"/>
          <w:marTop w:val="0"/>
          <w:marBottom w:val="0"/>
          <w:divBdr>
            <w:top w:val="none" w:sz="0" w:space="0" w:color="auto"/>
            <w:left w:val="none" w:sz="0" w:space="0" w:color="auto"/>
            <w:bottom w:val="none" w:sz="0" w:space="0" w:color="auto"/>
            <w:right w:val="none" w:sz="0" w:space="0" w:color="auto"/>
          </w:divBdr>
        </w:div>
        <w:div w:id="1276406735">
          <w:marLeft w:val="0"/>
          <w:marRight w:val="0"/>
          <w:marTop w:val="0"/>
          <w:marBottom w:val="0"/>
          <w:divBdr>
            <w:top w:val="none" w:sz="0" w:space="0" w:color="auto"/>
            <w:left w:val="none" w:sz="0" w:space="0" w:color="auto"/>
            <w:bottom w:val="none" w:sz="0" w:space="0" w:color="auto"/>
            <w:right w:val="none" w:sz="0" w:space="0" w:color="auto"/>
          </w:divBdr>
        </w:div>
        <w:div w:id="1278027175">
          <w:marLeft w:val="0"/>
          <w:marRight w:val="0"/>
          <w:marTop w:val="0"/>
          <w:marBottom w:val="0"/>
          <w:divBdr>
            <w:top w:val="none" w:sz="0" w:space="0" w:color="auto"/>
            <w:left w:val="none" w:sz="0" w:space="0" w:color="auto"/>
            <w:bottom w:val="none" w:sz="0" w:space="0" w:color="auto"/>
            <w:right w:val="none" w:sz="0" w:space="0" w:color="auto"/>
          </w:divBdr>
        </w:div>
        <w:div w:id="1283147396">
          <w:marLeft w:val="0"/>
          <w:marRight w:val="0"/>
          <w:marTop w:val="0"/>
          <w:marBottom w:val="0"/>
          <w:divBdr>
            <w:top w:val="none" w:sz="0" w:space="0" w:color="auto"/>
            <w:left w:val="none" w:sz="0" w:space="0" w:color="auto"/>
            <w:bottom w:val="none" w:sz="0" w:space="0" w:color="auto"/>
            <w:right w:val="none" w:sz="0" w:space="0" w:color="auto"/>
          </w:divBdr>
        </w:div>
        <w:div w:id="1283415394">
          <w:marLeft w:val="0"/>
          <w:marRight w:val="0"/>
          <w:marTop w:val="0"/>
          <w:marBottom w:val="0"/>
          <w:divBdr>
            <w:top w:val="none" w:sz="0" w:space="0" w:color="auto"/>
            <w:left w:val="none" w:sz="0" w:space="0" w:color="auto"/>
            <w:bottom w:val="none" w:sz="0" w:space="0" w:color="auto"/>
            <w:right w:val="none" w:sz="0" w:space="0" w:color="auto"/>
          </w:divBdr>
        </w:div>
        <w:div w:id="1283654927">
          <w:marLeft w:val="0"/>
          <w:marRight w:val="0"/>
          <w:marTop w:val="0"/>
          <w:marBottom w:val="0"/>
          <w:divBdr>
            <w:top w:val="none" w:sz="0" w:space="0" w:color="auto"/>
            <w:left w:val="none" w:sz="0" w:space="0" w:color="auto"/>
            <w:bottom w:val="none" w:sz="0" w:space="0" w:color="auto"/>
            <w:right w:val="none" w:sz="0" w:space="0" w:color="auto"/>
          </w:divBdr>
        </w:div>
        <w:div w:id="1294679722">
          <w:marLeft w:val="0"/>
          <w:marRight w:val="0"/>
          <w:marTop w:val="0"/>
          <w:marBottom w:val="0"/>
          <w:divBdr>
            <w:top w:val="none" w:sz="0" w:space="0" w:color="auto"/>
            <w:left w:val="none" w:sz="0" w:space="0" w:color="auto"/>
            <w:bottom w:val="none" w:sz="0" w:space="0" w:color="auto"/>
            <w:right w:val="none" w:sz="0" w:space="0" w:color="auto"/>
          </w:divBdr>
        </w:div>
        <w:div w:id="1298341416">
          <w:marLeft w:val="0"/>
          <w:marRight w:val="0"/>
          <w:marTop w:val="0"/>
          <w:marBottom w:val="0"/>
          <w:divBdr>
            <w:top w:val="none" w:sz="0" w:space="0" w:color="auto"/>
            <w:left w:val="none" w:sz="0" w:space="0" w:color="auto"/>
            <w:bottom w:val="none" w:sz="0" w:space="0" w:color="auto"/>
            <w:right w:val="none" w:sz="0" w:space="0" w:color="auto"/>
          </w:divBdr>
        </w:div>
        <w:div w:id="1299071844">
          <w:marLeft w:val="0"/>
          <w:marRight w:val="0"/>
          <w:marTop w:val="0"/>
          <w:marBottom w:val="0"/>
          <w:divBdr>
            <w:top w:val="none" w:sz="0" w:space="0" w:color="auto"/>
            <w:left w:val="none" w:sz="0" w:space="0" w:color="auto"/>
            <w:bottom w:val="none" w:sz="0" w:space="0" w:color="auto"/>
            <w:right w:val="none" w:sz="0" w:space="0" w:color="auto"/>
          </w:divBdr>
        </w:div>
        <w:div w:id="1306351933">
          <w:marLeft w:val="0"/>
          <w:marRight w:val="0"/>
          <w:marTop w:val="0"/>
          <w:marBottom w:val="0"/>
          <w:divBdr>
            <w:top w:val="none" w:sz="0" w:space="0" w:color="auto"/>
            <w:left w:val="none" w:sz="0" w:space="0" w:color="auto"/>
            <w:bottom w:val="none" w:sz="0" w:space="0" w:color="auto"/>
            <w:right w:val="none" w:sz="0" w:space="0" w:color="auto"/>
          </w:divBdr>
        </w:div>
        <w:div w:id="1306396674">
          <w:marLeft w:val="0"/>
          <w:marRight w:val="0"/>
          <w:marTop w:val="0"/>
          <w:marBottom w:val="0"/>
          <w:divBdr>
            <w:top w:val="none" w:sz="0" w:space="0" w:color="auto"/>
            <w:left w:val="none" w:sz="0" w:space="0" w:color="auto"/>
            <w:bottom w:val="none" w:sz="0" w:space="0" w:color="auto"/>
            <w:right w:val="none" w:sz="0" w:space="0" w:color="auto"/>
          </w:divBdr>
        </w:div>
        <w:div w:id="1311130799">
          <w:marLeft w:val="0"/>
          <w:marRight w:val="0"/>
          <w:marTop w:val="0"/>
          <w:marBottom w:val="0"/>
          <w:divBdr>
            <w:top w:val="none" w:sz="0" w:space="0" w:color="auto"/>
            <w:left w:val="none" w:sz="0" w:space="0" w:color="auto"/>
            <w:bottom w:val="none" w:sz="0" w:space="0" w:color="auto"/>
            <w:right w:val="none" w:sz="0" w:space="0" w:color="auto"/>
          </w:divBdr>
        </w:div>
        <w:div w:id="1313481627">
          <w:marLeft w:val="0"/>
          <w:marRight w:val="0"/>
          <w:marTop w:val="0"/>
          <w:marBottom w:val="0"/>
          <w:divBdr>
            <w:top w:val="none" w:sz="0" w:space="0" w:color="auto"/>
            <w:left w:val="none" w:sz="0" w:space="0" w:color="auto"/>
            <w:bottom w:val="none" w:sz="0" w:space="0" w:color="auto"/>
            <w:right w:val="none" w:sz="0" w:space="0" w:color="auto"/>
          </w:divBdr>
        </w:div>
        <w:div w:id="1318534222">
          <w:marLeft w:val="0"/>
          <w:marRight w:val="0"/>
          <w:marTop w:val="0"/>
          <w:marBottom w:val="0"/>
          <w:divBdr>
            <w:top w:val="none" w:sz="0" w:space="0" w:color="auto"/>
            <w:left w:val="none" w:sz="0" w:space="0" w:color="auto"/>
            <w:bottom w:val="none" w:sz="0" w:space="0" w:color="auto"/>
            <w:right w:val="none" w:sz="0" w:space="0" w:color="auto"/>
          </w:divBdr>
        </w:div>
        <w:div w:id="1325740975">
          <w:marLeft w:val="0"/>
          <w:marRight w:val="0"/>
          <w:marTop w:val="0"/>
          <w:marBottom w:val="0"/>
          <w:divBdr>
            <w:top w:val="none" w:sz="0" w:space="0" w:color="auto"/>
            <w:left w:val="none" w:sz="0" w:space="0" w:color="auto"/>
            <w:bottom w:val="none" w:sz="0" w:space="0" w:color="auto"/>
            <w:right w:val="none" w:sz="0" w:space="0" w:color="auto"/>
          </w:divBdr>
        </w:div>
        <w:div w:id="1330786717">
          <w:marLeft w:val="0"/>
          <w:marRight w:val="0"/>
          <w:marTop w:val="0"/>
          <w:marBottom w:val="0"/>
          <w:divBdr>
            <w:top w:val="none" w:sz="0" w:space="0" w:color="auto"/>
            <w:left w:val="none" w:sz="0" w:space="0" w:color="auto"/>
            <w:bottom w:val="none" w:sz="0" w:space="0" w:color="auto"/>
            <w:right w:val="none" w:sz="0" w:space="0" w:color="auto"/>
          </w:divBdr>
        </w:div>
        <w:div w:id="1330980105">
          <w:marLeft w:val="0"/>
          <w:marRight w:val="0"/>
          <w:marTop w:val="0"/>
          <w:marBottom w:val="0"/>
          <w:divBdr>
            <w:top w:val="none" w:sz="0" w:space="0" w:color="auto"/>
            <w:left w:val="none" w:sz="0" w:space="0" w:color="auto"/>
            <w:bottom w:val="none" w:sz="0" w:space="0" w:color="auto"/>
            <w:right w:val="none" w:sz="0" w:space="0" w:color="auto"/>
          </w:divBdr>
        </w:div>
        <w:div w:id="1332560259">
          <w:marLeft w:val="0"/>
          <w:marRight w:val="0"/>
          <w:marTop w:val="0"/>
          <w:marBottom w:val="0"/>
          <w:divBdr>
            <w:top w:val="none" w:sz="0" w:space="0" w:color="auto"/>
            <w:left w:val="none" w:sz="0" w:space="0" w:color="auto"/>
            <w:bottom w:val="none" w:sz="0" w:space="0" w:color="auto"/>
            <w:right w:val="none" w:sz="0" w:space="0" w:color="auto"/>
          </w:divBdr>
        </w:div>
        <w:div w:id="1337154050">
          <w:marLeft w:val="0"/>
          <w:marRight w:val="0"/>
          <w:marTop w:val="0"/>
          <w:marBottom w:val="0"/>
          <w:divBdr>
            <w:top w:val="none" w:sz="0" w:space="0" w:color="auto"/>
            <w:left w:val="none" w:sz="0" w:space="0" w:color="auto"/>
            <w:bottom w:val="none" w:sz="0" w:space="0" w:color="auto"/>
            <w:right w:val="none" w:sz="0" w:space="0" w:color="auto"/>
          </w:divBdr>
        </w:div>
        <w:div w:id="1337802615">
          <w:marLeft w:val="0"/>
          <w:marRight w:val="0"/>
          <w:marTop w:val="0"/>
          <w:marBottom w:val="0"/>
          <w:divBdr>
            <w:top w:val="none" w:sz="0" w:space="0" w:color="auto"/>
            <w:left w:val="none" w:sz="0" w:space="0" w:color="auto"/>
            <w:bottom w:val="none" w:sz="0" w:space="0" w:color="auto"/>
            <w:right w:val="none" w:sz="0" w:space="0" w:color="auto"/>
          </w:divBdr>
        </w:div>
        <w:div w:id="1344867370">
          <w:marLeft w:val="0"/>
          <w:marRight w:val="0"/>
          <w:marTop w:val="0"/>
          <w:marBottom w:val="0"/>
          <w:divBdr>
            <w:top w:val="none" w:sz="0" w:space="0" w:color="auto"/>
            <w:left w:val="none" w:sz="0" w:space="0" w:color="auto"/>
            <w:bottom w:val="none" w:sz="0" w:space="0" w:color="auto"/>
            <w:right w:val="none" w:sz="0" w:space="0" w:color="auto"/>
          </w:divBdr>
        </w:div>
        <w:div w:id="1349526466">
          <w:marLeft w:val="0"/>
          <w:marRight w:val="0"/>
          <w:marTop w:val="0"/>
          <w:marBottom w:val="0"/>
          <w:divBdr>
            <w:top w:val="none" w:sz="0" w:space="0" w:color="auto"/>
            <w:left w:val="none" w:sz="0" w:space="0" w:color="auto"/>
            <w:bottom w:val="none" w:sz="0" w:space="0" w:color="auto"/>
            <w:right w:val="none" w:sz="0" w:space="0" w:color="auto"/>
          </w:divBdr>
        </w:div>
        <w:div w:id="1351712434">
          <w:marLeft w:val="0"/>
          <w:marRight w:val="0"/>
          <w:marTop w:val="0"/>
          <w:marBottom w:val="0"/>
          <w:divBdr>
            <w:top w:val="none" w:sz="0" w:space="0" w:color="auto"/>
            <w:left w:val="none" w:sz="0" w:space="0" w:color="auto"/>
            <w:bottom w:val="none" w:sz="0" w:space="0" w:color="auto"/>
            <w:right w:val="none" w:sz="0" w:space="0" w:color="auto"/>
          </w:divBdr>
        </w:div>
        <w:div w:id="1353531221">
          <w:marLeft w:val="0"/>
          <w:marRight w:val="0"/>
          <w:marTop w:val="0"/>
          <w:marBottom w:val="0"/>
          <w:divBdr>
            <w:top w:val="none" w:sz="0" w:space="0" w:color="auto"/>
            <w:left w:val="none" w:sz="0" w:space="0" w:color="auto"/>
            <w:bottom w:val="none" w:sz="0" w:space="0" w:color="auto"/>
            <w:right w:val="none" w:sz="0" w:space="0" w:color="auto"/>
          </w:divBdr>
        </w:div>
        <w:div w:id="1353801733">
          <w:marLeft w:val="0"/>
          <w:marRight w:val="0"/>
          <w:marTop w:val="0"/>
          <w:marBottom w:val="0"/>
          <w:divBdr>
            <w:top w:val="none" w:sz="0" w:space="0" w:color="auto"/>
            <w:left w:val="none" w:sz="0" w:space="0" w:color="auto"/>
            <w:bottom w:val="none" w:sz="0" w:space="0" w:color="auto"/>
            <w:right w:val="none" w:sz="0" w:space="0" w:color="auto"/>
          </w:divBdr>
        </w:div>
        <w:div w:id="1356417228">
          <w:marLeft w:val="0"/>
          <w:marRight w:val="0"/>
          <w:marTop w:val="0"/>
          <w:marBottom w:val="0"/>
          <w:divBdr>
            <w:top w:val="none" w:sz="0" w:space="0" w:color="auto"/>
            <w:left w:val="none" w:sz="0" w:space="0" w:color="auto"/>
            <w:bottom w:val="none" w:sz="0" w:space="0" w:color="auto"/>
            <w:right w:val="none" w:sz="0" w:space="0" w:color="auto"/>
          </w:divBdr>
        </w:div>
        <w:div w:id="1356807925">
          <w:marLeft w:val="0"/>
          <w:marRight w:val="0"/>
          <w:marTop w:val="0"/>
          <w:marBottom w:val="0"/>
          <w:divBdr>
            <w:top w:val="none" w:sz="0" w:space="0" w:color="auto"/>
            <w:left w:val="none" w:sz="0" w:space="0" w:color="auto"/>
            <w:bottom w:val="none" w:sz="0" w:space="0" w:color="auto"/>
            <w:right w:val="none" w:sz="0" w:space="0" w:color="auto"/>
          </w:divBdr>
        </w:div>
        <w:div w:id="1365446441">
          <w:marLeft w:val="0"/>
          <w:marRight w:val="0"/>
          <w:marTop w:val="0"/>
          <w:marBottom w:val="0"/>
          <w:divBdr>
            <w:top w:val="none" w:sz="0" w:space="0" w:color="auto"/>
            <w:left w:val="none" w:sz="0" w:space="0" w:color="auto"/>
            <w:bottom w:val="none" w:sz="0" w:space="0" w:color="auto"/>
            <w:right w:val="none" w:sz="0" w:space="0" w:color="auto"/>
          </w:divBdr>
        </w:div>
        <w:div w:id="1381593050">
          <w:marLeft w:val="0"/>
          <w:marRight w:val="0"/>
          <w:marTop w:val="0"/>
          <w:marBottom w:val="0"/>
          <w:divBdr>
            <w:top w:val="none" w:sz="0" w:space="0" w:color="auto"/>
            <w:left w:val="none" w:sz="0" w:space="0" w:color="auto"/>
            <w:bottom w:val="none" w:sz="0" w:space="0" w:color="auto"/>
            <w:right w:val="none" w:sz="0" w:space="0" w:color="auto"/>
          </w:divBdr>
        </w:div>
        <w:div w:id="1384596724">
          <w:marLeft w:val="0"/>
          <w:marRight w:val="0"/>
          <w:marTop w:val="0"/>
          <w:marBottom w:val="0"/>
          <w:divBdr>
            <w:top w:val="none" w:sz="0" w:space="0" w:color="auto"/>
            <w:left w:val="none" w:sz="0" w:space="0" w:color="auto"/>
            <w:bottom w:val="none" w:sz="0" w:space="0" w:color="auto"/>
            <w:right w:val="none" w:sz="0" w:space="0" w:color="auto"/>
          </w:divBdr>
        </w:div>
        <w:div w:id="1389575865">
          <w:marLeft w:val="0"/>
          <w:marRight w:val="0"/>
          <w:marTop w:val="0"/>
          <w:marBottom w:val="0"/>
          <w:divBdr>
            <w:top w:val="none" w:sz="0" w:space="0" w:color="auto"/>
            <w:left w:val="none" w:sz="0" w:space="0" w:color="auto"/>
            <w:bottom w:val="none" w:sz="0" w:space="0" w:color="auto"/>
            <w:right w:val="none" w:sz="0" w:space="0" w:color="auto"/>
          </w:divBdr>
        </w:div>
        <w:div w:id="1396927880">
          <w:marLeft w:val="0"/>
          <w:marRight w:val="0"/>
          <w:marTop w:val="0"/>
          <w:marBottom w:val="0"/>
          <w:divBdr>
            <w:top w:val="none" w:sz="0" w:space="0" w:color="auto"/>
            <w:left w:val="none" w:sz="0" w:space="0" w:color="auto"/>
            <w:bottom w:val="none" w:sz="0" w:space="0" w:color="auto"/>
            <w:right w:val="none" w:sz="0" w:space="0" w:color="auto"/>
          </w:divBdr>
        </w:div>
        <w:div w:id="1400598036">
          <w:marLeft w:val="0"/>
          <w:marRight w:val="0"/>
          <w:marTop w:val="0"/>
          <w:marBottom w:val="0"/>
          <w:divBdr>
            <w:top w:val="none" w:sz="0" w:space="0" w:color="auto"/>
            <w:left w:val="none" w:sz="0" w:space="0" w:color="auto"/>
            <w:bottom w:val="none" w:sz="0" w:space="0" w:color="auto"/>
            <w:right w:val="none" w:sz="0" w:space="0" w:color="auto"/>
          </w:divBdr>
        </w:div>
        <w:div w:id="1409578869">
          <w:marLeft w:val="0"/>
          <w:marRight w:val="0"/>
          <w:marTop w:val="0"/>
          <w:marBottom w:val="0"/>
          <w:divBdr>
            <w:top w:val="none" w:sz="0" w:space="0" w:color="auto"/>
            <w:left w:val="none" w:sz="0" w:space="0" w:color="auto"/>
            <w:bottom w:val="none" w:sz="0" w:space="0" w:color="auto"/>
            <w:right w:val="none" w:sz="0" w:space="0" w:color="auto"/>
          </w:divBdr>
        </w:div>
        <w:div w:id="1412586135">
          <w:marLeft w:val="0"/>
          <w:marRight w:val="0"/>
          <w:marTop w:val="0"/>
          <w:marBottom w:val="0"/>
          <w:divBdr>
            <w:top w:val="none" w:sz="0" w:space="0" w:color="auto"/>
            <w:left w:val="none" w:sz="0" w:space="0" w:color="auto"/>
            <w:bottom w:val="none" w:sz="0" w:space="0" w:color="auto"/>
            <w:right w:val="none" w:sz="0" w:space="0" w:color="auto"/>
          </w:divBdr>
        </w:div>
        <w:div w:id="1412896994">
          <w:marLeft w:val="0"/>
          <w:marRight w:val="0"/>
          <w:marTop w:val="0"/>
          <w:marBottom w:val="0"/>
          <w:divBdr>
            <w:top w:val="none" w:sz="0" w:space="0" w:color="auto"/>
            <w:left w:val="none" w:sz="0" w:space="0" w:color="auto"/>
            <w:bottom w:val="none" w:sz="0" w:space="0" w:color="auto"/>
            <w:right w:val="none" w:sz="0" w:space="0" w:color="auto"/>
          </w:divBdr>
        </w:div>
        <w:div w:id="1419643691">
          <w:marLeft w:val="0"/>
          <w:marRight w:val="0"/>
          <w:marTop w:val="0"/>
          <w:marBottom w:val="0"/>
          <w:divBdr>
            <w:top w:val="none" w:sz="0" w:space="0" w:color="auto"/>
            <w:left w:val="none" w:sz="0" w:space="0" w:color="auto"/>
            <w:bottom w:val="none" w:sz="0" w:space="0" w:color="auto"/>
            <w:right w:val="none" w:sz="0" w:space="0" w:color="auto"/>
          </w:divBdr>
        </w:div>
        <w:div w:id="1425609241">
          <w:marLeft w:val="0"/>
          <w:marRight w:val="0"/>
          <w:marTop w:val="0"/>
          <w:marBottom w:val="0"/>
          <w:divBdr>
            <w:top w:val="none" w:sz="0" w:space="0" w:color="auto"/>
            <w:left w:val="none" w:sz="0" w:space="0" w:color="auto"/>
            <w:bottom w:val="none" w:sz="0" w:space="0" w:color="auto"/>
            <w:right w:val="none" w:sz="0" w:space="0" w:color="auto"/>
          </w:divBdr>
        </w:div>
        <w:div w:id="1426800786">
          <w:marLeft w:val="0"/>
          <w:marRight w:val="0"/>
          <w:marTop w:val="0"/>
          <w:marBottom w:val="0"/>
          <w:divBdr>
            <w:top w:val="none" w:sz="0" w:space="0" w:color="auto"/>
            <w:left w:val="none" w:sz="0" w:space="0" w:color="auto"/>
            <w:bottom w:val="none" w:sz="0" w:space="0" w:color="auto"/>
            <w:right w:val="none" w:sz="0" w:space="0" w:color="auto"/>
          </w:divBdr>
        </w:div>
        <w:div w:id="1429425570">
          <w:marLeft w:val="0"/>
          <w:marRight w:val="0"/>
          <w:marTop w:val="0"/>
          <w:marBottom w:val="0"/>
          <w:divBdr>
            <w:top w:val="none" w:sz="0" w:space="0" w:color="auto"/>
            <w:left w:val="none" w:sz="0" w:space="0" w:color="auto"/>
            <w:bottom w:val="none" w:sz="0" w:space="0" w:color="auto"/>
            <w:right w:val="none" w:sz="0" w:space="0" w:color="auto"/>
          </w:divBdr>
        </w:div>
        <w:div w:id="1429496060">
          <w:marLeft w:val="0"/>
          <w:marRight w:val="0"/>
          <w:marTop w:val="0"/>
          <w:marBottom w:val="0"/>
          <w:divBdr>
            <w:top w:val="none" w:sz="0" w:space="0" w:color="auto"/>
            <w:left w:val="none" w:sz="0" w:space="0" w:color="auto"/>
            <w:bottom w:val="none" w:sz="0" w:space="0" w:color="auto"/>
            <w:right w:val="none" w:sz="0" w:space="0" w:color="auto"/>
          </w:divBdr>
        </w:div>
        <w:div w:id="1435588333">
          <w:marLeft w:val="0"/>
          <w:marRight w:val="0"/>
          <w:marTop w:val="0"/>
          <w:marBottom w:val="0"/>
          <w:divBdr>
            <w:top w:val="none" w:sz="0" w:space="0" w:color="auto"/>
            <w:left w:val="none" w:sz="0" w:space="0" w:color="auto"/>
            <w:bottom w:val="none" w:sz="0" w:space="0" w:color="auto"/>
            <w:right w:val="none" w:sz="0" w:space="0" w:color="auto"/>
          </w:divBdr>
        </w:div>
        <w:div w:id="1438254077">
          <w:marLeft w:val="0"/>
          <w:marRight w:val="0"/>
          <w:marTop w:val="0"/>
          <w:marBottom w:val="0"/>
          <w:divBdr>
            <w:top w:val="none" w:sz="0" w:space="0" w:color="auto"/>
            <w:left w:val="none" w:sz="0" w:space="0" w:color="auto"/>
            <w:bottom w:val="none" w:sz="0" w:space="0" w:color="auto"/>
            <w:right w:val="none" w:sz="0" w:space="0" w:color="auto"/>
          </w:divBdr>
        </w:div>
        <w:div w:id="1439908982">
          <w:marLeft w:val="0"/>
          <w:marRight w:val="0"/>
          <w:marTop w:val="0"/>
          <w:marBottom w:val="0"/>
          <w:divBdr>
            <w:top w:val="none" w:sz="0" w:space="0" w:color="auto"/>
            <w:left w:val="none" w:sz="0" w:space="0" w:color="auto"/>
            <w:bottom w:val="none" w:sz="0" w:space="0" w:color="auto"/>
            <w:right w:val="none" w:sz="0" w:space="0" w:color="auto"/>
          </w:divBdr>
        </w:div>
        <w:div w:id="1441955407">
          <w:marLeft w:val="0"/>
          <w:marRight w:val="0"/>
          <w:marTop w:val="0"/>
          <w:marBottom w:val="0"/>
          <w:divBdr>
            <w:top w:val="none" w:sz="0" w:space="0" w:color="auto"/>
            <w:left w:val="none" w:sz="0" w:space="0" w:color="auto"/>
            <w:bottom w:val="none" w:sz="0" w:space="0" w:color="auto"/>
            <w:right w:val="none" w:sz="0" w:space="0" w:color="auto"/>
          </w:divBdr>
        </w:div>
        <w:div w:id="1442186266">
          <w:marLeft w:val="0"/>
          <w:marRight w:val="0"/>
          <w:marTop w:val="0"/>
          <w:marBottom w:val="0"/>
          <w:divBdr>
            <w:top w:val="none" w:sz="0" w:space="0" w:color="auto"/>
            <w:left w:val="none" w:sz="0" w:space="0" w:color="auto"/>
            <w:bottom w:val="none" w:sz="0" w:space="0" w:color="auto"/>
            <w:right w:val="none" w:sz="0" w:space="0" w:color="auto"/>
          </w:divBdr>
        </w:div>
        <w:div w:id="1444497713">
          <w:marLeft w:val="0"/>
          <w:marRight w:val="0"/>
          <w:marTop w:val="0"/>
          <w:marBottom w:val="0"/>
          <w:divBdr>
            <w:top w:val="none" w:sz="0" w:space="0" w:color="auto"/>
            <w:left w:val="none" w:sz="0" w:space="0" w:color="auto"/>
            <w:bottom w:val="none" w:sz="0" w:space="0" w:color="auto"/>
            <w:right w:val="none" w:sz="0" w:space="0" w:color="auto"/>
          </w:divBdr>
        </w:div>
        <w:div w:id="1445072414">
          <w:marLeft w:val="0"/>
          <w:marRight w:val="0"/>
          <w:marTop w:val="0"/>
          <w:marBottom w:val="0"/>
          <w:divBdr>
            <w:top w:val="none" w:sz="0" w:space="0" w:color="auto"/>
            <w:left w:val="none" w:sz="0" w:space="0" w:color="auto"/>
            <w:bottom w:val="none" w:sz="0" w:space="0" w:color="auto"/>
            <w:right w:val="none" w:sz="0" w:space="0" w:color="auto"/>
          </w:divBdr>
        </w:div>
        <w:div w:id="1447507848">
          <w:marLeft w:val="0"/>
          <w:marRight w:val="0"/>
          <w:marTop w:val="0"/>
          <w:marBottom w:val="0"/>
          <w:divBdr>
            <w:top w:val="none" w:sz="0" w:space="0" w:color="auto"/>
            <w:left w:val="none" w:sz="0" w:space="0" w:color="auto"/>
            <w:bottom w:val="none" w:sz="0" w:space="0" w:color="auto"/>
            <w:right w:val="none" w:sz="0" w:space="0" w:color="auto"/>
          </w:divBdr>
        </w:div>
        <w:div w:id="1452094713">
          <w:marLeft w:val="0"/>
          <w:marRight w:val="0"/>
          <w:marTop w:val="0"/>
          <w:marBottom w:val="0"/>
          <w:divBdr>
            <w:top w:val="none" w:sz="0" w:space="0" w:color="auto"/>
            <w:left w:val="none" w:sz="0" w:space="0" w:color="auto"/>
            <w:bottom w:val="none" w:sz="0" w:space="0" w:color="auto"/>
            <w:right w:val="none" w:sz="0" w:space="0" w:color="auto"/>
          </w:divBdr>
        </w:div>
        <w:div w:id="1453205428">
          <w:marLeft w:val="0"/>
          <w:marRight w:val="0"/>
          <w:marTop w:val="0"/>
          <w:marBottom w:val="0"/>
          <w:divBdr>
            <w:top w:val="none" w:sz="0" w:space="0" w:color="auto"/>
            <w:left w:val="none" w:sz="0" w:space="0" w:color="auto"/>
            <w:bottom w:val="none" w:sz="0" w:space="0" w:color="auto"/>
            <w:right w:val="none" w:sz="0" w:space="0" w:color="auto"/>
          </w:divBdr>
        </w:div>
        <w:div w:id="1454517159">
          <w:marLeft w:val="0"/>
          <w:marRight w:val="0"/>
          <w:marTop w:val="0"/>
          <w:marBottom w:val="0"/>
          <w:divBdr>
            <w:top w:val="none" w:sz="0" w:space="0" w:color="auto"/>
            <w:left w:val="none" w:sz="0" w:space="0" w:color="auto"/>
            <w:bottom w:val="none" w:sz="0" w:space="0" w:color="auto"/>
            <w:right w:val="none" w:sz="0" w:space="0" w:color="auto"/>
          </w:divBdr>
        </w:div>
        <w:div w:id="1454522715">
          <w:marLeft w:val="0"/>
          <w:marRight w:val="0"/>
          <w:marTop w:val="0"/>
          <w:marBottom w:val="0"/>
          <w:divBdr>
            <w:top w:val="none" w:sz="0" w:space="0" w:color="auto"/>
            <w:left w:val="none" w:sz="0" w:space="0" w:color="auto"/>
            <w:bottom w:val="none" w:sz="0" w:space="0" w:color="auto"/>
            <w:right w:val="none" w:sz="0" w:space="0" w:color="auto"/>
          </w:divBdr>
        </w:div>
        <w:div w:id="1459764282">
          <w:marLeft w:val="0"/>
          <w:marRight w:val="0"/>
          <w:marTop w:val="0"/>
          <w:marBottom w:val="0"/>
          <w:divBdr>
            <w:top w:val="none" w:sz="0" w:space="0" w:color="auto"/>
            <w:left w:val="none" w:sz="0" w:space="0" w:color="auto"/>
            <w:bottom w:val="none" w:sz="0" w:space="0" w:color="auto"/>
            <w:right w:val="none" w:sz="0" w:space="0" w:color="auto"/>
          </w:divBdr>
        </w:div>
        <w:div w:id="1460223690">
          <w:marLeft w:val="0"/>
          <w:marRight w:val="0"/>
          <w:marTop w:val="0"/>
          <w:marBottom w:val="0"/>
          <w:divBdr>
            <w:top w:val="none" w:sz="0" w:space="0" w:color="auto"/>
            <w:left w:val="none" w:sz="0" w:space="0" w:color="auto"/>
            <w:bottom w:val="none" w:sz="0" w:space="0" w:color="auto"/>
            <w:right w:val="none" w:sz="0" w:space="0" w:color="auto"/>
          </w:divBdr>
        </w:div>
        <w:div w:id="1461798346">
          <w:marLeft w:val="0"/>
          <w:marRight w:val="0"/>
          <w:marTop w:val="0"/>
          <w:marBottom w:val="0"/>
          <w:divBdr>
            <w:top w:val="none" w:sz="0" w:space="0" w:color="auto"/>
            <w:left w:val="none" w:sz="0" w:space="0" w:color="auto"/>
            <w:bottom w:val="none" w:sz="0" w:space="0" w:color="auto"/>
            <w:right w:val="none" w:sz="0" w:space="0" w:color="auto"/>
          </w:divBdr>
        </w:div>
        <w:div w:id="1465392033">
          <w:marLeft w:val="0"/>
          <w:marRight w:val="0"/>
          <w:marTop w:val="0"/>
          <w:marBottom w:val="0"/>
          <w:divBdr>
            <w:top w:val="none" w:sz="0" w:space="0" w:color="auto"/>
            <w:left w:val="none" w:sz="0" w:space="0" w:color="auto"/>
            <w:bottom w:val="none" w:sz="0" w:space="0" w:color="auto"/>
            <w:right w:val="none" w:sz="0" w:space="0" w:color="auto"/>
          </w:divBdr>
        </w:div>
        <w:div w:id="1466199296">
          <w:marLeft w:val="0"/>
          <w:marRight w:val="0"/>
          <w:marTop w:val="0"/>
          <w:marBottom w:val="0"/>
          <w:divBdr>
            <w:top w:val="none" w:sz="0" w:space="0" w:color="auto"/>
            <w:left w:val="none" w:sz="0" w:space="0" w:color="auto"/>
            <w:bottom w:val="none" w:sz="0" w:space="0" w:color="auto"/>
            <w:right w:val="none" w:sz="0" w:space="0" w:color="auto"/>
          </w:divBdr>
        </w:div>
        <w:div w:id="1468353911">
          <w:marLeft w:val="0"/>
          <w:marRight w:val="0"/>
          <w:marTop w:val="0"/>
          <w:marBottom w:val="0"/>
          <w:divBdr>
            <w:top w:val="none" w:sz="0" w:space="0" w:color="auto"/>
            <w:left w:val="none" w:sz="0" w:space="0" w:color="auto"/>
            <w:bottom w:val="none" w:sz="0" w:space="0" w:color="auto"/>
            <w:right w:val="none" w:sz="0" w:space="0" w:color="auto"/>
          </w:divBdr>
        </w:div>
        <w:div w:id="1470587049">
          <w:marLeft w:val="0"/>
          <w:marRight w:val="0"/>
          <w:marTop w:val="0"/>
          <w:marBottom w:val="0"/>
          <w:divBdr>
            <w:top w:val="none" w:sz="0" w:space="0" w:color="auto"/>
            <w:left w:val="none" w:sz="0" w:space="0" w:color="auto"/>
            <w:bottom w:val="none" w:sz="0" w:space="0" w:color="auto"/>
            <w:right w:val="none" w:sz="0" w:space="0" w:color="auto"/>
          </w:divBdr>
        </w:div>
        <w:div w:id="1481456082">
          <w:marLeft w:val="0"/>
          <w:marRight w:val="0"/>
          <w:marTop w:val="0"/>
          <w:marBottom w:val="0"/>
          <w:divBdr>
            <w:top w:val="none" w:sz="0" w:space="0" w:color="auto"/>
            <w:left w:val="none" w:sz="0" w:space="0" w:color="auto"/>
            <w:bottom w:val="none" w:sz="0" w:space="0" w:color="auto"/>
            <w:right w:val="none" w:sz="0" w:space="0" w:color="auto"/>
          </w:divBdr>
        </w:div>
        <w:div w:id="1486504789">
          <w:marLeft w:val="0"/>
          <w:marRight w:val="0"/>
          <w:marTop w:val="0"/>
          <w:marBottom w:val="0"/>
          <w:divBdr>
            <w:top w:val="none" w:sz="0" w:space="0" w:color="auto"/>
            <w:left w:val="none" w:sz="0" w:space="0" w:color="auto"/>
            <w:bottom w:val="none" w:sz="0" w:space="0" w:color="auto"/>
            <w:right w:val="none" w:sz="0" w:space="0" w:color="auto"/>
          </w:divBdr>
        </w:div>
        <w:div w:id="1487740738">
          <w:marLeft w:val="0"/>
          <w:marRight w:val="0"/>
          <w:marTop w:val="0"/>
          <w:marBottom w:val="0"/>
          <w:divBdr>
            <w:top w:val="none" w:sz="0" w:space="0" w:color="auto"/>
            <w:left w:val="none" w:sz="0" w:space="0" w:color="auto"/>
            <w:bottom w:val="none" w:sz="0" w:space="0" w:color="auto"/>
            <w:right w:val="none" w:sz="0" w:space="0" w:color="auto"/>
          </w:divBdr>
        </w:div>
        <w:div w:id="1494177588">
          <w:marLeft w:val="0"/>
          <w:marRight w:val="0"/>
          <w:marTop w:val="0"/>
          <w:marBottom w:val="0"/>
          <w:divBdr>
            <w:top w:val="none" w:sz="0" w:space="0" w:color="auto"/>
            <w:left w:val="none" w:sz="0" w:space="0" w:color="auto"/>
            <w:bottom w:val="none" w:sz="0" w:space="0" w:color="auto"/>
            <w:right w:val="none" w:sz="0" w:space="0" w:color="auto"/>
          </w:divBdr>
        </w:div>
        <w:div w:id="1498569380">
          <w:marLeft w:val="0"/>
          <w:marRight w:val="0"/>
          <w:marTop w:val="0"/>
          <w:marBottom w:val="0"/>
          <w:divBdr>
            <w:top w:val="none" w:sz="0" w:space="0" w:color="auto"/>
            <w:left w:val="none" w:sz="0" w:space="0" w:color="auto"/>
            <w:bottom w:val="none" w:sz="0" w:space="0" w:color="auto"/>
            <w:right w:val="none" w:sz="0" w:space="0" w:color="auto"/>
          </w:divBdr>
        </w:div>
        <w:div w:id="1504708713">
          <w:marLeft w:val="0"/>
          <w:marRight w:val="0"/>
          <w:marTop w:val="0"/>
          <w:marBottom w:val="0"/>
          <w:divBdr>
            <w:top w:val="none" w:sz="0" w:space="0" w:color="auto"/>
            <w:left w:val="none" w:sz="0" w:space="0" w:color="auto"/>
            <w:bottom w:val="none" w:sz="0" w:space="0" w:color="auto"/>
            <w:right w:val="none" w:sz="0" w:space="0" w:color="auto"/>
          </w:divBdr>
        </w:div>
        <w:div w:id="1515069769">
          <w:marLeft w:val="0"/>
          <w:marRight w:val="0"/>
          <w:marTop w:val="0"/>
          <w:marBottom w:val="0"/>
          <w:divBdr>
            <w:top w:val="none" w:sz="0" w:space="0" w:color="auto"/>
            <w:left w:val="none" w:sz="0" w:space="0" w:color="auto"/>
            <w:bottom w:val="none" w:sz="0" w:space="0" w:color="auto"/>
            <w:right w:val="none" w:sz="0" w:space="0" w:color="auto"/>
          </w:divBdr>
        </w:div>
        <w:div w:id="1516505809">
          <w:marLeft w:val="0"/>
          <w:marRight w:val="0"/>
          <w:marTop w:val="0"/>
          <w:marBottom w:val="0"/>
          <w:divBdr>
            <w:top w:val="none" w:sz="0" w:space="0" w:color="auto"/>
            <w:left w:val="none" w:sz="0" w:space="0" w:color="auto"/>
            <w:bottom w:val="none" w:sz="0" w:space="0" w:color="auto"/>
            <w:right w:val="none" w:sz="0" w:space="0" w:color="auto"/>
          </w:divBdr>
        </w:div>
        <w:div w:id="1522162748">
          <w:marLeft w:val="0"/>
          <w:marRight w:val="0"/>
          <w:marTop w:val="0"/>
          <w:marBottom w:val="0"/>
          <w:divBdr>
            <w:top w:val="none" w:sz="0" w:space="0" w:color="auto"/>
            <w:left w:val="none" w:sz="0" w:space="0" w:color="auto"/>
            <w:bottom w:val="none" w:sz="0" w:space="0" w:color="auto"/>
            <w:right w:val="none" w:sz="0" w:space="0" w:color="auto"/>
          </w:divBdr>
        </w:div>
        <w:div w:id="1523516343">
          <w:marLeft w:val="0"/>
          <w:marRight w:val="0"/>
          <w:marTop w:val="0"/>
          <w:marBottom w:val="0"/>
          <w:divBdr>
            <w:top w:val="none" w:sz="0" w:space="0" w:color="auto"/>
            <w:left w:val="none" w:sz="0" w:space="0" w:color="auto"/>
            <w:bottom w:val="none" w:sz="0" w:space="0" w:color="auto"/>
            <w:right w:val="none" w:sz="0" w:space="0" w:color="auto"/>
          </w:divBdr>
        </w:div>
        <w:div w:id="1526289918">
          <w:marLeft w:val="0"/>
          <w:marRight w:val="0"/>
          <w:marTop w:val="0"/>
          <w:marBottom w:val="0"/>
          <w:divBdr>
            <w:top w:val="none" w:sz="0" w:space="0" w:color="auto"/>
            <w:left w:val="none" w:sz="0" w:space="0" w:color="auto"/>
            <w:bottom w:val="none" w:sz="0" w:space="0" w:color="auto"/>
            <w:right w:val="none" w:sz="0" w:space="0" w:color="auto"/>
          </w:divBdr>
        </w:div>
        <w:div w:id="1529946022">
          <w:marLeft w:val="0"/>
          <w:marRight w:val="0"/>
          <w:marTop w:val="0"/>
          <w:marBottom w:val="0"/>
          <w:divBdr>
            <w:top w:val="none" w:sz="0" w:space="0" w:color="auto"/>
            <w:left w:val="none" w:sz="0" w:space="0" w:color="auto"/>
            <w:bottom w:val="none" w:sz="0" w:space="0" w:color="auto"/>
            <w:right w:val="none" w:sz="0" w:space="0" w:color="auto"/>
          </w:divBdr>
        </w:div>
        <w:div w:id="1530527984">
          <w:marLeft w:val="0"/>
          <w:marRight w:val="0"/>
          <w:marTop w:val="0"/>
          <w:marBottom w:val="0"/>
          <w:divBdr>
            <w:top w:val="none" w:sz="0" w:space="0" w:color="auto"/>
            <w:left w:val="none" w:sz="0" w:space="0" w:color="auto"/>
            <w:bottom w:val="none" w:sz="0" w:space="0" w:color="auto"/>
            <w:right w:val="none" w:sz="0" w:space="0" w:color="auto"/>
          </w:divBdr>
        </w:div>
        <w:div w:id="1531336004">
          <w:marLeft w:val="0"/>
          <w:marRight w:val="0"/>
          <w:marTop w:val="0"/>
          <w:marBottom w:val="0"/>
          <w:divBdr>
            <w:top w:val="none" w:sz="0" w:space="0" w:color="auto"/>
            <w:left w:val="none" w:sz="0" w:space="0" w:color="auto"/>
            <w:bottom w:val="none" w:sz="0" w:space="0" w:color="auto"/>
            <w:right w:val="none" w:sz="0" w:space="0" w:color="auto"/>
          </w:divBdr>
        </w:div>
        <w:div w:id="1533611542">
          <w:marLeft w:val="0"/>
          <w:marRight w:val="0"/>
          <w:marTop w:val="0"/>
          <w:marBottom w:val="0"/>
          <w:divBdr>
            <w:top w:val="none" w:sz="0" w:space="0" w:color="auto"/>
            <w:left w:val="none" w:sz="0" w:space="0" w:color="auto"/>
            <w:bottom w:val="none" w:sz="0" w:space="0" w:color="auto"/>
            <w:right w:val="none" w:sz="0" w:space="0" w:color="auto"/>
          </w:divBdr>
        </w:div>
        <w:div w:id="1536233673">
          <w:marLeft w:val="0"/>
          <w:marRight w:val="0"/>
          <w:marTop w:val="0"/>
          <w:marBottom w:val="0"/>
          <w:divBdr>
            <w:top w:val="none" w:sz="0" w:space="0" w:color="auto"/>
            <w:left w:val="none" w:sz="0" w:space="0" w:color="auto"/>
            <w:bottom w:val="none" w:sz="0" w:space="0" w:color="auto"/>
            <w:right w:val="none" w:sz="0" w:space="0" w:color="auto"/>
          </w:divBdr>
        </w:div>
        <w:div w:id="1543128933">
          <w:marLeft w:val="0"/>
          <w:marRight w:val="0"/>
          <w:marTop w:val="0"/>
          <w:marBottom w:val="0"/>
          <w:divBdr>
            <w:top w:val="none" w:sz="0" w:space="0" w:color="auto"/>
            <w:left w:val="none" w:sz="0" w:space="0" w:color="auto"/>
            <w:bottom w:val="none" w:sz="0" w:space="0" w:color="auto"/>
            <w:right w:val="none" w:sz="0" w:space="0" w:color="auto"/>
          </w:divBdr>
        </w:div>
        <w:div w:id="1554342389">
          <w:marLeft w:val="0"/>
          <w:marRight w:val="0"/>
          <w:marTop w:val="0"/>
          <w:marBottom w:val="0"/>
          <w:divBdr>
            <w:top w:val="none" w:sz="0" w:space="0" w:color="auto"/>
            <w:left w:val="none" w:sz="0" w:space="0" w:color="auto"/>
            <w:bottom w:val="none" w:sz="0" w:space="0" w:color="auto"/>
            <w:right w:val="none" w:sz="0" w:space="0" w:color="auto"/>
          </w:divBdr>
        </w:div>
        <w:div w:id="1554998594">
          <w:marLeft w:val="0"/>
          <w:marRight w:val="0"/>
          <w:marTop w:val="0"/>
          <w:marBottom w:val="0"/>
          <w:divBdr>
            <w:top w:val="none" w:sz="0" w:space="0" w:color="auto"/>
            <w:left w:val="none" w:sz="0" w:space="0" w:color="auto"/>
            <w:bottom w:val="none" w:sz="0" w:space="0" w:color="auto"/>
            <w:right w:val="none" w:sz="0" w:space="0" w:color="auto"/>
          </w:divBdr>
        </w:div>
        <w:div w:id="1556119137">
          <w:marLeft w:val="0"/>
          <w:marRight w:val="0"/>
          <w:marTop w:val="0"/>
          <w:marBottom w:val="0"/>
          <w:divBdr>
            <w:top w:val="none" w:sz="0" w:space="0" w:color="auto"/>
            <w:left w:val="none" w:sz="0" w:space="0" w:color="auto"/>
            <w:bottom w:val="none" w:sz="0" w:space="0" w:color="auto"/>
            <w:right w:val="none" w:sz="0" w:space="0" w:color="auto"/>
          </w:divBdr>
        </w:div>
        <w:div w:id="1557542107">
          <w:marLeft w:val="0"/>
          <w:marRight w:val="0"/>
          <w:marTop w:val="0"/>
          <w:marBottom w:val="0"/>
          <w:divBdr>
            <w:top w:val="none" w:sz="0" w:space="0" w:color="auto"/>
            <w:left w:val="none" w:sz="0" w:space="0" w:color="auto"/>
            <w:bottom w:val="none" w:sz="0" w:space="0" w:color="auto"/>
            <w:right w:val="none" w:sz="0" w:space="0" w:color="auto"/>
          </w:divBdr>
        </w:div>
        <w:div w:id="1568687874">
          <w:marLeft w:val="0"/>
          <w:marRight w:val="0"/>
          <w:marTop w:val="0"/>
          <w:marBottom w:val="0"/>
          <w:divBdr>
            <w:top w:val="none" w:sz="0" w:space="0" w:color="auto"/>
            <w:left w:val="none" w:sz="0" w:space="0" w:color="auto"/>
            <w:bottom w:val="none" w:sz="0" w:space="0" w:color="auto"/>
            <w:right w:val="none" w:sz="0" w:space="0" w:color="auto"/>
          </w:divBdr>
        </w:div>
        <w:div w:id="1571425734">
          <w:marLeft w:val="0"/>
          <w:marRight w:val="0"/>
          <w:marTop w:val="0"/>
          <w:marBottom w:val="0"/>
          <w:divBdr>
            <w:top w:val="none" w:sz="0" w:space="0" w:color="auto"/>
            <w:left w:val="none" w:sz="0" w:space="0" w:color="auto"/>
            <w:bottom w:val="none" w:sz="0" w:space="0" w:color="auto"/>
            <w:right w:val="none" w:sz="0" w:space="0" w:color="auto"/>
          </w:divBdr>
        </w:div>
        <w:div w:id="1571622561">
          <w:marLeft w:val="0"/>
          <w:marRight w:val="0"/>
          <w:marTop w:val="0"/>
          <w:marBottom w:val="0"/>
          <w:divBdr>
            <w:top w:val="none" w:sz="0" w:space="0" w:color="auto"/>
            <w:left w:val="none" w:sz="0" w:space="0" w:color="auto"/>
            <w:bottom w:val="none" w:sz="0" w:space="0" w:color="auto"/>
            <w:right w:val="none" w:sz="0" w:space="0" w:color="auto"/>
          </w:divBdr>
        </w:div>
        <w:div w:id="1573585982">
          <w:marLeft w:val="0"/>
          <w:marRight w:val="0"/>
          <w:marTop w:val="0"/>
          <w:marBottom w:val="0"/>
          <w:divBdr>
            <w:top w:val="none" w:sz="0" w:space="0" w:color="auto"/>
            <w:left w:val="none" w:sz="0" w:space="0" w:color="auto"/>
            <w:bottom w:val="none" w:sz="0" w:space="0" w:color="auto"/>
            <w:right w:val="none" w:sz="0" w:space="0" w:color="auto"/>
          </w:divBdr>
        </w:div>
        <w:div w:id="1575699971">
          <w:marLeft w:val="0"/>
          <w:marRight w:val="0"/>
          <w:marTop w:val="0"/>
          <w:marBottom w:val="0"/>
          <w:divBdr>
            <w:top w:val="none" w:sz="0" w:space="0" w:color="auto"/>
            <w:left w:val="none" w:sz="0" w:space="0" w:color="auto"/>
            <w:bottom w:val="none" w:sz="0" w:space="0" w:color="auto"/>
            <w:right w:val="none" w:sz="0" w:space="0" w:color="auto"/>
          </w:divBdr>
        </w:div>
        <w:div w:id="1576665576">
          <w:marLeft w:val="0"/>
          <w:marRight w:val="0"/>
          <w:marTop w:val="0"/>
          <w:marBottom w:val="0"/>
          <w:divBdr>
            <w:top w:val="none" w:sz="0" w:space="0" w:color="auto"/>
            <w:left w:val="none" w:sz="0" w:space="0" w:color="auto"/>
            <w:bottom w:val="none" w:sz="0" w:space="0" w:color="auto"/>
            <w:right w:val="none" w:sz="0" w:space="0" w:color="auto"/>
          </w:divBdr>
        </w:div>
        <w:div w:id="1579637066">
          <w:marLeft w:val="0"/>
          <w:marRight w:val="0"/>
          <w:marTop w:val="0"/>
          <w:marBottom w:val="0"/>
          <w:divBdr>
            <w:top w:val="none" w:sz="0" w:space="0" w:color="auto"/>
            <w:left w:val="none" w:sz="0" w:space="0" w:color="auto"/>
            <w:bottom w:val="none" w:sz="0" w:space="0" w:color="auto"/>
            <w:right w:val="none" w:sz="0" w:space="0" w:color="auto"/>
          </w:divBdr>
        </w:div>
        <w:div w:id="1580286468">
          <w:marLeft w:val="0"/>
          <w:marRight w:val="0"/>
          <w:marTop w:val="0"/>
          <w:marBottom w:val="0"/>
          <w:divBdr>
            <w:top w:val="none" w:sz="0" w:space="0" w:color="auto"/>
            <w:left w:val="none" w:sz="0" w:space="0" w:color="auto"/>
            <w:bottom w:val="none" w:sz="0" w:space="0" w:color="auto"/>
            <w:right w:val="none" w:sz="0" w:space="0" w:color="auto"/>
          </w:divBdr>
        </w:div>
        <w:div w:id="1582525515">
          <w:marLeft w:val="0"/>
          <w:marRight w:val="0"/>
          <w:marTop w:val="0"/>
          <w:marBottom w:val="0"/>
          <w:divBdr>
            <w:top w:val="none" w:sz="0" w:space="0" w:color="auto"/>
            <w:left w:val="none" w:sz="0" w:space="0" w:color="auto"/>
            <w:bottom w:val="none" w:sz="0" w:space="0" w:color="auto"/>
            <w:right w:val="none" w:sz="0" w:space="0" w:color="auto"/>
          </w:divBdr>
        </w:div>
        <w:div w:id="1584294979">
          <w:marLeft w:val="0"/>
          <w:marRight w:val="0"/>
          <w:marTop w:val="0"/>
          <w:marBottom w:val="0"/>
          <w:divBdr>
            <w:top w:val="none" w:sz="0" w:space="0" w:color="auto"/>
            <w:left w:val="none" w:sz="0" w:space="0" w:color="auto"/>
            <w:bottom w:val="none" w:sz="0" w:space="0" w:color="auto"/>
            <w:right w:val="none" w:sz="0" w:space="0" w:color="auto"/>
          </w:divBdr>
        </w:div>
        <w:div w:id="1584491921">
          <w:marLeft w:val="0"/>
          <w:marRight w:val="0"/>
          <w:marTop w:val="0"/>
          <w:marBottom w:val="0"/>
          <w:divBdr>
            <w:top w:val="none" w:sz="0" w:space="0" w:color="auto"/>
            <w:left w:val="none" w:sz="0" w:space="0" w:color="auto"/>
            <w:bottom w:val="none" w:sz="0" w:space="0" w:color="auto"/>
            <w:right w:val="none" w:sz="0" w:space="0" w:color="auto"/>
          </w:divBdr>
        </w:div>
        <w:div w:id="1586109485">
          <w:marLeft w:val="0"/>
          <w:marRight w:val="0"/>
          <w:marTop w:val="0"/>
          <w:marBottom w:val="0"/>
          <w:divBdr>
            <w:top w:val="none" w:sz="0" w:space="0" w:color="auto"/>
            <w:left w:val="none" w:sz="0" w:space="0" w:color="auto"/>
            <w:bottom w:val="none" w:sz="0" w:space="0" w:color="auto"/>
            <w:right w:val="none" w:sz="0" w:space="0" w:color="auto"/>
          </w:divBdr>
        </w:div>
        <w:div w:id="1590655044">
          <w:marLeft w:val="0"/>
          <w:marRight w:val="0"/>
          <w:marTop w:val="0"/>
          <w:marBottom w:val="0"/>
          <w:divBdr>
            <w:top w:val="none" w:sz="0" w:space="0" w:color="auto"/>
            <w:left w:val="none" w:sz="0" w:space="0" w:color="auto"/>
            <w:bottom w:val="none" w:sz="0" w:space="0" w:color="auto"/>
            <w:right w:val="none" w:sz="0" w:space="0" w:color="auto"/>
          </w:divBdr>
        </w:div>
        <w:div w:id="1593396171">
          <w:marLeft w:val="0"/>
          <w:marRight w:val="0"/>
          <w:marTop w:val="0"/>
          <w:marBottom w:val="0"/>
          <w:divBdr>
            <w:top w:val="none" w:sz="0" w:space="0" w:color="auto"/>
            <w:left w:val="none" w:sz="0" w:space="0" w:color="auto"/>
            <w:bottom w:val="none" w:sz="0" w:space="0" w:color="auto"/>
            <w:right w:val="none" w:sz="0" w:space="0" w:color="auto"/>
          </w:divBdr>
        </w:div>
        <w:div w:id="1595481175">
          <w:marLeft w:val="0"/>
          <w:marRight w:val="0"/>
          <w:marTop w:val="0"/>
          <w:marBottom w:val="0"/>
          <w:divBdr>
            <w:top w:val="none" w:sz="0" w:space="0" w:color="auto"/>
            <w:left w:val="none" w:sz="0" w:space="0" w:color="auto"/>
            <w:bottom w:val="none" w:sz="0" w:space="0" w:color="auto"/>
            <w:right w:val="none" w:sz="0" w:space="0" w:color="auto"/>
          </w:divBdr>
        </w:div>
        <w:div w:id="1598639600">
          <w:marLeft w:val="0"/>
          <w:marRight w:val="0"/>
          <w:marTop w:val="0"/>
          <w:marBottom w:val="0"/>
          <w:divBdr>
            <w:top w:val="none" w:sz="0" w:space="0" w:color="auto"/>
            <w:left w:val="none" w:sz="0" w:space="0" w:color="auto"/>
            <w:bottom w:val="none" w:sz="0" w:space="0" w:color="auto"/>
            <w:right w:val="none" w:sz="0" w:space="0" w:color="auto"/>
          </w:divBdr>
        </w:div>
        <w:div w:id="1602303042">
          <w:marLeft w:val="0"/>
          <w:marRight w:val="0"/>
          <w:marTop w:val="0"/>
          <w:marBottom w:val="0"/>
          <w:divBdr>
            <w:top w:val="none" w:sz="0" w:space="0" w:color="auto"/>
            <w:left w:val="none" w:sz="0" w:space="0" w:color="auto"/>
            <w:bottom w:val="none" w:sz="0" w:space="0" w:color="auto"/>
            <w:right w:val="none" w:sz="0" w:space="0" w:color="auto"/>
          </w:divBdr>
        </w:div>
        <w:div w:id="1611890098">
          <w:marLeft w:val="0"/>
          <w:marRight w:val="0"/>
          <w:marTop w:val="0"/>
          <w:marBottom w:val="0"/>
          <w:divBdr>
            <w:top w:val="none" w:sz="0" w:space="0" w:color="auto"/>
            <w:left w:val="none" w:sz="0" w:space="0" w:color="auto"/>
            <w:bottom w:val="none" w:sz="0" w:space="0" w:color="auto"/>
            <w:right w:val="none" w:sz="0" w:space="0" w:color="auto"/>
          </w:divBdr>
        </w:div>
        <w:div w:id="1616709776">
          <w:marLeft w:val="0"/>
          <w:marRight w:val="0"/>
          <w:marTop w:val="0"/>
          <w:marBottom w:val="0"/>
          <w:divBdr>
            <w:top w:val="none" w:sz="0" w:space="0" w:color="auto"/>
            <w:left w:val="none" w:sz="0" w:space="0" w:color="auto"/>
            <w:bottom w:val="none" w:sz="0" w:space="0" w:color="auto"/>
            <w:right w:val="none" w:sz="0" w:space="0" w:color="auto"/>
          </w:divBdr>
        </w:div>
        <w:div w:id="1628008729">
          <w:marLeft w:val="0"/>
          <w:marRight w:val="0"/>
          <w:marTop w:val="0"/>
          <w:marBottom w:val="0"/>
          <w:divBdr>
            <w:top w:val="none" w:sz="0" w:space="0" w:color="auto"/>
            <w:left w:val="none" w:sz="0" w:space="0" w:color="auto"/>
            <w:bottom w:val="none" w:sz="0" w:space="0" w:color="auto"/>
            <w:right w:val="none" w:sz="0" w:space="0" w:color="auto"/>
          </w:divBdr>
        </w:div>
        <w:div w:id="1628242513">
          <w:marLeft w:val="0"/>
          <w:marRight w:val="0"/>
          <w:marTop w:val="0"/>
          <w:marBottom w:val="0"/>
          <w:divBdr>
            <w:top w:val="none" w:sz="0" w:space="0" w:color="auto"/>
            <w:left w:val="none" w:sz="0" w:space="0" w:color="auto"/>
            <w:bottom w:val="none" w:sz="0" w:space="0" w:color="auto"/>
            <w:right w:val="none" w:sz="0" w:space="0" w:color="auto"/>
          </w:divBdr>
        </w:div>
        <w:div w:id="1628703118">
          <w:marLeft w:val="0"/>
          <w:marRight w:val="0"/>
          <w:marTop w:val="0"/>
          <w:marBottom w:val="0"/>
          <w:divBdr>
            <w:top w:val="none" w:sz="0" w:space="0" w:color="auto"/>
            <w:left w:val="none" w:sz="0" w:space="0" w:color="auto"/>
            <w:bottom w:val="none" w:sz="0" w:space="0" w:color="auto"/>
            <w:right w:val="none" w:sz="0" w:space="0" w:color="auto"/>
          </w:divBdr>
        </w:div>
        <w:div w:id="1628848678">
          <w:marLeft w:val="0"/>
          <w:marRight w:val="0"/>
          <w:marTop w:val="0"/>
          <w:marBottom w:val="0"/>
          <w:divBdr>
            <w:top w:val="none" w:sz="0" w:space="0" w:color="auto"/>
            <w:left w:val="none" w:sz="0" w:space="0" w:color="auto"/>
            <w:bottom w:val="none" w:sz="0" w:space="0" w:color="auto"/>
            <w:right w:val="none" w:sz="0" w:space="0" w:color="auto"/>
          </w:divBdr>
        </w:div>
        <w:div w:id="1639072780">
          <w:marLeft w:val="0"/>
          <w:marRight w:val="0"/>
          <w:marTop w:val="0"/>
          <w:marBottom w:val="0"/>
          <w:divBdr>
            <w:top w:val="none" w:sz="0" w:space="0" w:color="auto"/>
            <w:left w:val="none" w:sz="0" w:space="0" w:color="auto"/>
            <w:bottom w:val="none" w:sz="0" w:space="0" w:color="auto"/>
            <w:right w:val="none" w:sz="0" w:space="0" w:color="auto"/>
          </w:divBdr>
        </w:div>
        <w:div w:id="1642877863">
          <w:marLeft w:val="0"/>
          <w:marRight w:val="0"/>
          <w:marTop w:val="0"/>
          <w:marBottom w:val="0"/>
          <w:divBdr>
            <w:top w:val="none" w:sz="0" w:space="0" w:color="auto"/>
            <w:left w:val="none" w:sz="0" w:space="0" w:color="auto"/>
            <w:bottom w:val="none" w:sz="0" w:space="0" w:color="auto"/>
            <w:right w:val="none" w:sz="0" w:space="0" w:color="auto"/>
          </w:divBdr>
        </w:div>
        <w:div w:id="1642996937">
          <w:marLeft w:val="0"/>
          <w:marRight w:val="0"/>
          <w:marTop w:val="0"/>
          <w:marBottom w:val="0"/>
          <w:divBdr>
            <w:top w:val="none" w:sz="0" w:space="0" w:color="auto"/>
            <w:left w:val="none" w:sz="0" w:space="0" w:color="auto"/>
            <w:bottom w:val="none" w:sz="0" w:space="0" w:color="auto"/>
            <w:right w:val="none" w:sz="0" w:space="0" w:color="auto"/>
          </w:divBdr>
        </w:div>
        <w:div w:id="1644770583">
          <w:marLeft w:val="0"/>
          <w:marRight w:val="0"/>
          <w:marTop w:val="0"/>
          <w:marBottom w:val="0"/>
          <w:divBdr>
            <w:top w:val="none" w:sz="0" w:space="0" w:color="auto"/>
            <w:left w:val="none" w:sz="0" w:space="0" w:color="auto"/>
            <w:bottom w:val="none" w:sz="0" w:space="0" w:color="auto"/>
            <w:right w:val="none" w:sz="0" w:space="0" w:color="auto"/>
          </w:divBdr>
        </w:div>
        <w:div w:id="1649481562">
          <w:marLeft w:val="0"/>
          <w:marRight w:val="0"/>
          <w:marTop w:val="0"/>
          <w:marBottom w:val="0"/>
          <w:divBdr>
            <w:top w:val="none" w:sz="0" w:space="0" w:color="auto"/>
            <w:left w:val="none" w:sz="0" w:space="0" w:color="auto"/>
            <w:bottom w:val="none" w:sz="0" w:space="0" w:color="auto"/>
            <w:right w:val="none" w:sz="0" w:space="0" w:color="auto"/>
          </w:divBdr>
        </w:div>
        <w:div w:id="1650330890">
          <w:marLeft w:val="0"/>
          <w:marRight w:val="0"/>
          <w:marTop w:val="0"/>
          <w:marBottom w:val="0"/>
          <w:divBdr>
            <w:top w:val="none" w:sz="0" w:space="0" w:color="auto"/>
            <w:left w:val="none" w:sz="0" w:space="0" w:color="auto"/>
            <w:bottom w:val="none" w:sz="0" w:space="0" w:color="auto"/>
            <w:right w:val="none" w:sz="0" w:space="0" w:color="auto"/>
          </w:divBdr>
        </w:div>
        <w:div w:id="1653023267">
          <w:marLeft w:val="0"/>
          <w:marRight w:val="0"/>
          <w:marTop w:val="0"/>
          <w:marBottom w:val="0"/>
          <w:divBdr>
            <w:top w:val="none" w:sz="0" w:space="0" w:color="auto"/>
            <w:left w:val="none" w:sz="0" w:space="0" w:color="auto"/>
            <w:bottom w:val="none" w:sz="0" w:space="0" w:color="auto"/>
            <w:right w:val="none" w:sz="0" w:space="0" w:color="auto"/>
          </w:divBdr>
        </w:div>
        <w:div w:id="1659725938">
          <w:marLeft w:val="0"/>
          <w:marRight w:val="0"/>
          <w:marTop w:val="0"/>
          <w:marBottom w:val="0"/>
          <w:divBdr>
            <w:top w:val="none" w:sz="0" w:space="0" w:color="auto"/>
            <w:left w:val="none" w:sz="0" w:space="0" w:color="auto"/>
            <w:bottom w:val="none" w:sz="0" w:space="0" w:color="auto"/>
            <w:right w:val="none" w:sz="0" w:space="0" w:color="auto"/>
          </w:divBdr>
        </w:div>
        <w:div w:id="1661882268">
          <w:marLeft w:val="0"/>
          <w:marRight w:val="0"/>
          <w:marTop w:val="0"/>
          <w:marBottom w:val="0"/>
          <w:divBdr>
            <w:top w:val="none" w:sz="0" w:space="0" w:color="auto"/>
            <w:left w:val="none" w:sz="0" w:space="0" w:color="auto"/>
            <w:bottom w:val="none" w:sz="0" w:space="0" w:color="auto"/>
            <w:right w:val="none" w:sz="0" w:space="0" w:color="auto"/>
          </w:divBdr>
        </w:div>
        <w:div w:id="1665400980">
          <w:marLeft w:val="0"/>
          <w:marRight w:val="0"/>
          <w:marTop w:val="0"/>
          <w:marBottom w:val="0"/>
          <w:divBdr>
            <w:top w:val="none" w:sz="0" w:space="0" w:color="auto"/>
            <w:left w:val="none" w:sz="0" w:space="0" w:color="auto"/>
            <w:bottom w:val="none" w:sz="0" w:space="0" w:color="auto"/>
            <w:right w:val="none" w:sz="0" w:space="0" w:color="auto"/>
          </w:divBdr>
        </w:div>
        <w:div w:id="1670864886">
          <w:marLeft w:val="0"/>
          <w:marRight w:val="0"/>
          <w:marTop w:val="0"/>
          <w:marBottom w:val="0"/>
          <w:divBdr>
            <w:top w:val="none" w:sz="0" w:space="0" w:color="auto"/>
            <w:left w:val="none" w:sz="0" w:space="0" w:color="auto"/>
            <w:bottom w:val="none" w:sz="0" w:space="0" w:color="auto"/>
            <w:right w:val="none" w:sz="0" w:space="0" w:color="auto"/>
          </w:divBdr>
        </w:div>
        <w:div w:id="1674532677">
          <w:marLeft w:val="0"/>
          <w:marRight w:val="0"/>
          <w:marTop w:val="0"/>
          <w:marBottom w:val="0"/>
          <w:divBdr>
            <w:top w:val="none" w:sz="0" w:space="0" w:color="auto"/>
            <w:left w:val="none" w:sz="0" w:space="0" w:color="auto"/>
            <w:bottom w:val="none" w:sz="0" w:space="0" w:color="auto"/>
            <w:right w:val="none" w:sz="0" w:space="0" w:color="auto"/>
          </w:divBdr>
        </w:div>
        <w:div w:id="1675720965">
          <w:marLeft w:val="0"/>
          <w:marRight w:val="0"/>
          <w:marTop w:val="0"/>
          <w:marBottom w:val="0"/>
          <w:divBdr>
            <w:top w:val="none" w:sz="0" w:space="0" w:color="auto"/>
            <w:left w:val="none" w:sz="0" w:space="0" w:color="auto"/>
            <w:bottom w:val="none" w:sz="0" w:space="0" w:color="auto"/>
            <w:right w:val="none" w:sz="0" w:space="0" w:color="auto"/>
          </w:divBdr>
        </w:div>
        <w:div w:id="1675764512">
          <w:marLeft w:val="0"/>
          <w:marRight w:val="0"/>
          <w:marTop w:val="0"/>
          <w:marBottom w:val="0"/>
          <w:divBdr>
            <w:top w:val="none" w:sz="0" w:space="0" w:color="auto"/>
            <w:left w:val="none" w:sz="0" w:space="0" w:color="auto"/>
            <w:bottom w:val="none" w:sz="0" w:space="0" w:color="auto"/>
            <w:right w:val="none" w:sz="0" w:space="0" w:color="auto"/>
          </w:divBdr>
        </w:div>
        <w:div w:id="1688407791">
          <w:marLeft w:val="0"/>
          <w:marRight w:val="0"/>
          <w:marTop w:val="0"/>
          <w:marBottom w:val="0"/>
          <w:divBdr>
            <w:top w:val="none" w:sz="0" w:space="0" w:color="auto"/>
            <w:left w:val="none" w:sz="0" w:space="0" w:color="auto"/>
            <w:bottom w:val="none" w:sz="0" w:space="0" w:color="auto"/>
            <w:right w:val="none" w:sz="0" w:space="0" w:color="auto"/>
          </w:divBdr>
        </w:div>
        <w:div w:id="1689941988">
          <w:marLeft w:val="0"/>
          <w:marRight w:val="0"/>
          <w:marTop w:val="0"/>
          <w:marBottom w:val="0"/>
          <w:divBdr>
            <w:top w:val="none" w:sz="0" w:space="0" w:color="auto"/>
            <w:left w:val="none" w:sz="0" w:space="0" w:color="auto"/>
            <w:bottom w:val="none" w:sz="0" w:space="0" w:color="auto"/>
            <w:right w:val="none" w:sz="0" w:space="0" w:color="auto"/>
          </w:divBdr>
        </w:div>
        <w:div w:id="1694263717">
          <w:marLeft w:val="0"/>
          <w:marRight w:val="0"/>
          <w:marTop w:val="0"/>
          <w:marBottom w:val="0"/>
          <w:divBdr>
            <w:top w:val="none" w:sz="0" w:space="0" w:color="auto"/>
            <w:left w:val="none" w:sz="0" w:space="0" w:color="auto"/>
            <w:bottom w:val="none" w:sz="0" w:space="0" w:color="auto"/>
            <w:right w:val="none" w:sz="0" w:space="0" w:color="auto"/>
          </w:divBdr>
        </w:div>
        <w:div w:id="1698769061">
          <w:marLeft w:val="0"/>
          <w:marRight w:val="0"/>
          <w:marTop w:val="0"/>
          <w:marBottom w:val="0"/>
          <w:divBdr>
            <w:top w:val="none" w:sz="0" w:space="0" w:color="auto"/>
            <w:left w:val="none" w:sz="0" w:space="0" w:color="auto"/>
            <w:bottom w:val="none" w:sz="0" w:space="0" w:color="auto"/>
            <w:right w:val="none" w:sz="0" w:space="0" w:color="auto"/>
          </w:divBdr>
        </w:div>
        <w:div w:id="1704286497">
          <w:marLeft w:val="0"/>
          <w:marRight w:val="0"/>
          <w:marTop w:val="0"/>
          <w:marBottom w:val="0"/>
          <w:divBdr>
            <w:top w:val="none" w:sz="0" w:space="0" w:color="auto"/>
            <w:left w:val="none" w:sz="0" w:space="0" w:color="auto"/>
            <w:bottom w:val="none" w:sz="0" w:space="0" w:color="auto"/>
            <w:right w:val="none" w:sz="0" w:space="0" w:color="auto"/>
          </w:divBdr>
        </w:div>
        <w:div w:id="1707102279">
          <w:marLeft w:val="0"/>
          <w:marRight w:val="0"/>
          <w:marTop w:val="0"/>
          <w:marBottom w:val="0"/>
          <w:divBdr>
            <w:top w:val="none" w:sz="0" w:space="0" w:color="auto"/>
            <w:left w:val="none" w:sz="0" w:space="0" w:color="auto"/>
            <w:bottom w:val="none" w:sz="0" w:space="0" w:color="auto"/>
            <w:right w:val="none" w:sz="0" w:space="0" w:color="auto"/>
          </w:divBdr>
        </w:div>
        <w:div w:id="1708599511">
          <w:marLeft w:val="0"/>
          <w:marRight w:val="0"/>
          <w:marTop w:val="0"/>
          <w:marBottom w:val="0"/>
          <w:divBdr>
            <w:top w:val="none" w:sz="0" w:space="0" w:color="auto"/>
            <w:left w:val="none" w:sz="0" w:space="0" w:color="auto"/>
            <w:bottom w:val="none" w:sz="0" w:space="0" w:color="auto"/>
            <w:right w:val="none" w:sz="0" w:space="0" w:color="auto"/>
          </w:divBdr>
        </w:div>
        <w:div w:id="1710298881">
          <w:marLeft w:val="0"/>
          <w:marRight w:val="0"/>
          <w:marTop w:val="0"/>
          <w:marBottom w:val="0"/>
          <w:divBdr>
            <w:top w:val="none" w:sz="0" w:space="0" w:color="auto"/>
            <w:left w:val="none" w:sz="0" w:space="0" w:color="auto"/>
            <w:bottom w:val="none" w:sz="0" w:space="0" w:color="auto"/>
            <w:right w:val="none" w:sz="0" w:space="0" w:color="auto"/>
          </w:divBdr>
        </w:div>
        <w:div w:id="1712337042">
          <w:marLeft w:val="0"/>
          <w:marRight w:val="0"/>
          <w:marTop w:val="0"/>
          <w:marBottom w:val="0"/>
          <w:divBdr>
            <w:top w:val="none" w:sz="0" w:space="0" w:color="auto"/>
            <w:left w:val="none" w:sz="0" w:space="0" w:color="auto"/>
            <w:bottom w:val="none" w:sz="0" w:space="0" w:color="auto"/>
            <w:right w:val="none" w:sz="0" w:space="0" w:color="auto"/>
          </w:divBdr>
        </w:div>
        <w:div w:id="1712801183">
          <w:marLeft w:val="0"/>
          <w:marRight w:val="0"/>
          <w:marTop w:val="0"/>
          <w:marBottom w:val="0"/>
          <w:divBdr>
            <w:top w:val="none" w:sz="0" w:space="0" w:color="auto"/>
            <w:left w:val="none" w:sz="0" w:space="0" w:color="auto"/>
            <w:bottom w:val="none" w:sz="0" w:space="0" w:color="auto"/>
            <w:right w:val="none" w:sz="0" w:space="0" w:color="auto"/>
          </w:divBdr>
        </w:div>
        <w:div w:id="1713071883">
          <w:marLeft w:val="0"/>
          <w:marRight w:val="0"/>
          <w:marTop w:val="0"/>
          <w:marBottom w:val="0"/>
          <w:divBdr>
            <w:top w:val="none" w:sz="0" w:space="0" w:color="auto"/>
            <w:left w:val="none" w:sz="0" w:space="0" w:color="auto"/>
            <w:bottom w:val="none" w:sz="0" w:space="0" w:color="auto"/>
            <w:right w:val="none" w:sz="0" w:space="0" w:color="auto"/>
          </w:divBdr>
        </w:div>
        <w:div w:id="1714622715">
          <w:marLeft w:val="0"/>
          <w:marRight w:val="0"/>
          <w:marTop w:val="0"/>
          <w:marBottom w:val="0"/>
          <w:divBdr>
            <w:top w:val="none" w:sz="0" w:space="0" w:color="auto"/>
            <w:left w:val="none" w:sz="0" w:space="0" w:color="auto"/>
            <w:bottom w:val="none" w:sz="0" w:space="0" w:color="auto"/>
            <w:right w:val="none" w:sz="0" w:space="0" w:color="auto"/>
          </w:divBdr>
        </w:div>
        <w:div w:id="1717730616">
          <w:marLeft w:val="0"/>
          <w:marRight w:val="0"/>
          <w:marTop w:val="0"/>
          <w:marBottom w:val="0"/>
          <w:divBdr>
            <w:top w:val="none" w:sz="0" w:space="0" w:color="auto"/>
            <w:left w:val="none" w:sz="0" w:space="0" w:color="auto"/>
            <w:bottom w:val="none" w:sz="0" w:space="0" w:color="auto"/>
            <w:right w:val="none" w:sz="0" w:space="0" w:color="auto"/>
          </w:divBdr>
        </w:div>
        <w:div w:id="1719427006">
          <w:marLeft w:val="0"/>
          <w:marRight w:val="0"/>
          <w:marTop w:val="0"/>
          <w:marBottom w:val="0"/>
          <w:divBdr>
            <w:top w:val="none" w:sz="0" w:space="0" w:color="auto"/>
            <w:left w:val="none" w:sz="0" w:space="0" w:color="auto"/>
            <w:bottom w:val="none" w:sz="0" w:space="0" w:color="auto"/>
            <w:right w:val="none" w:sz="0" w:space="0" w:color="auto"/>
          </w:divBdr>
        </w:div>
        <w:div w:id="1723672527">
          <w:marLeft w:val="0"/>
          <w:marRight w:val="0"/>
          <w:marTop w:val="0"/>
          <w:marBottom w:val="0"/>
          <w:divBdr>
            <w:top w:val="none" w:sz="0" w:space="0" w:color="auto"/>
            <w:left w:val="none" w:sz="0" w:space="0" w:color="auto"/>
            <w:bottom w:val="none" w:sz="0" w:space="0" w:color="auto"/>
            <w:right w:val="none" w:sz="0" w:space="0" w:color="auto"/>
          </w:divBdr>
        </w:div>
        <w:div w:id="1725905707">
          <w:marLeft w:val="0"/>
          <w:marRight w:val="0"/>
          <w:marTop w:val="0"/>
          <w:marBottom w:val="0"/>
          <w:divBdr>
            <w:top w:val="none" w:sz="0" w:space="0" w:color="auto"/>
            <w:left w:val="none" w:sz="0" w:space="0" w:color="auto"/>
            <w:bottom w:val="none" w:sz="0" w:space="0" w:color="auto"/>
            <w:right w:val="none" w:sz="0" w:space="0" w:color="auto"/>
          </w:divBdr>
        </w:div>
        <w:div w:id="1728841965">
          <w:marLeft w:val="0"/>
          <w:marRight w:val="0"/>
          <w:marTop w:val="0"/>
          <w:marBottom w:val="0"/>
          <w:divBdr>
            <w:top w:val="none" w:sz="0" w:space="0" w:color="auto"/>
            <w:left w:val="none" w:sz="0" w:space="0" w:color="auto"/>
            <w:bottom w:val="none" w:sz="0" w:space="0" w:color="auto"/>
            <w:right w:val="none" w:sz="0" w:space="0" w:color="auto"/>
          </w:divBdr>
        </w:div>
        <w:div w:id="1728869518">
          <w:marLeft w:val="0"/>
          <w:marRight w:val="0"/>
          <w:marTop w:val="0"/>
          <w:marBottom w:val="0"/>
          <w:divBdr>
            <w:top w:val="none" w:sz="0" w:space="0" w:color="auto"/>
            <w:left w:val="none" w:sz="0" w:space="0" w:color="auto"/>
            <w:bottom w:val="none" w:sz="0" w:space="0" w:color="auto"/>
            <w:right w:val="none" w:sz="0" w:space="0" w:color="auto"/>
          </w:divBdr>
        </w:div>
        <w:div w:id="1729181664">
          <w:marLeft w:val="0"/>
          <w:marRight w:val="0"/>
          <w:marTop w:val="0"/>
          <w:marBottom w:val="0"/>
          <w:divBdr>
            <w:top w:val="none" w:sz="0" w:space="0" w:color="auto"/>
            <w:left w:val="none" w:sz="0" w:space="0" w:color="auto"/>
            <w:bottom w:val="none" w:sz="0" w:space="0" w:color="auto"/>
            <w:right w:val="none" w:sz="0" w:space="0" w:color="auto"/>
          </w:divBdr>
        </w:div>
        <w:div w:id="1731541187">
          <w:marLeft w:val="0"/>
          <w:marRight w:val="0"/>
          <w:marTop w:val="0"/>
          <w:marBottom w:val="0"/>
          <w:divBdr>
            <w:top w:val="none" w:sz="0" w:space="0" w:color="auto"/>
            <w:left w:val="none" w:sz="0" w:space="0" w:color="auto"/>
            <w:bottom w:val="none" w:sz="0" w:space="0" w:color="auto"/>
            <w:right w:val="none" w:sz="0" w:space="0" w:color="auto"/>
          </w:divBdr>
        </w:div>
        <w:div w:id="1734154546">
          <w:marLeft w:val="0"/>
          <w:marRight w:val="0"/>
          <w:marTop w:val="0"/>
          <w:marBottom w:val="0"/>
          <w:divBdr>
            <w:top w:val="none" w:sz="0" w:space="0" w:color="auto"/>
            <w:left w:val="none" w:sz="0" w:space="0" w:color="auto"/>
            <w:bottom w:val="none" w:sz="0" w:space="0" w:color="auto"/>
            <w:right w:val="none" w:sz="0" w:space="0" w:color="auto"/>
          </w:divBdr>
        </w:div>
        <w:div w:id="1734310560">
          <w:marLeft w:val="0"/>
          <w:marRight w:val="0"/>
          <w:marTop w:val="0"/>
          <w:marBottom w:val="0"/>
          <w:divBdr>
            <w:top w:val="none" w:sz="0" w:space="0" w:color="auto"/>
            <w:left w:val="none" w:sz="0" w:space="0" w:color="auto"/>
            <w:bottom w:val="none" w:sz="0" w:space="0" w:color="auto"/>
            <w:right w:val="none" w:sz="0" w:space="0" w:color="auto"/>
          </w:divBdr>
        </w:div>
        <w:div w:id="1734506374">
          <w:marLeft w:val="0"/>
          <w:marRight w:val="0"/>
          <w:marTop w:val="0"/>
          <w:marBottom w:val="0"/>
          <w:divBdr>
            <w:top w:val="none" w:sz="0" w:space="0" w:color="auto"/>
            <w:left w:val="none" w:sz="0" w:space="0" w:color="auto"/>
            <w:bottom w:val="none" w:sz="0" w:space="0" w:color="auto"/>
            <w:right w:val="none" w:sz="0" w:space="0" w:color="auto"/>
          </w:divBdr>
        </w:div>
        <w:div w:id="1738898748">
          <w:marLeft w:val="0"/>
          <w:marRight w:val="0"/>
          <w:marTop w:val="0"/>
          <w:marBottom w:val="0"/>
          <w:divBdr>
            <w:top w:val="none" w:sz="0" w:space="0" w:color="auto"/>
            <w:left w:val="none" w:sz="0" w:space="0" w:color="auto"/>
            <w:bottom w:val="none" w:sz="0" w:space="0" w:color="auto"/>
            <w:right w:val="none" w:sz="0" w:space="0" w:color="auto"/>
          </w:divBdr>
        </w:div>
        <w:div w:id="1739788024">
          <w:marLeft w:val="0"/>
          <w:marRight w:val="0"/>
          <w:marTop w:val="0"/>
          <w:marBottom w:val="0"/>
          <w:divBdr>
            <w:top w:val="none" w:sz="0" w:space="0" w:color="auto"/>
            <w:left w:val="none" w:sz="0" w:space="0" w:color="auto"/>
            <w:bottom w:val="none" w:sz="0" w:space="0" w:color="auto"/>
            <w:right w:val="none" w:sz="0" w:space="0" w:color="auto"/>
          </w:divBdr>
        </w:div>
        <w:div w:id="1747612182">
          <w:marLeft w:val="0"/>
          <w:marRight w:val="0"/>
          <w:marTop w:val="0"/>
          <w:marBottom w:val="0"/>
          <w:divBdr>
            <w:top w:val="none" w:sz="0" w:space="0" w:color="auto"/>
            <w:left w:val="none" w:sz="0" w:space="0" w:color="auto"/>
            <w:bottom w:val="none" w:sz="0" w:space="0" w:color="auto"/>
            <w:right w:val="none" w:sz="0" w:space="0" w:color="auto"/>
          </w:divBdr>
        </w:div>
        <w:div w:id="1749617832">
          <w:marLeft w:val="0"/>
          <w:marRight w:val="0"/>
          <w:marTop w:val="0"/>
          <w:marBottom w:val="0"/>
          <w:divBdr>
            <w:top w:val="none" w:sz="0" w:space="0" w:color="auto"/>
            <w:left w:val="none" w:sz="0" w:space="0" w:color="auto"/>
            <w:bottom w:val="none" w:sz="0" w:space="0" w:color="auto"/>
            <w:right w:val="none" w:sz="0" w:space="0" w:color="auto"/>
          </w:divBdr>
        </w:div>
        <w:div w:id="1755322202">
          <w:marLeft w:val="0"/>
          <w:marRight w:val="0"/>
          <w:marTop w:val="0"/>
          <w:marBottom w:val="0"/>
          <w:divBdr>
            <w:top w:val="none" w:sz="0" w:space="0" w:color="auto"/>
            <w:left w:val="none" w:sz="0" w:space="0" w:color="auto"/>
            <w:bottom w:val="none" w:sz="0" w:space="0" w:color="auto"/>
            <w:right w:val="none" w:sz="0" w:space="0" w:color="auto"/>
          </w:divBdr>
        </w:div>
        <w:div w:id="1757242469">
          <w:marLeft w:val="0"/>
          <w:marRight w:val="0"/>
          <w:marTop w:val="0"/>
          <w:marBottom w:val="0"/>
          <w:divBdr>
            <w:top w:val="none" w:sz="0" w:space="0" w:color="auto"/>
            <w:left w:val="none" w:sz="0" w:space="0" w:color="auto"/>
            <w:bottom w:val="none" w:sz="0" w:space="0" w:color="auto"/>
            <w:right w:val="none" w:sz="0" w:space="0" w:color="auto"/>
          </w:divBdr>
        </w:div>
        <w:div w:id="1763381243">
          <w:marLeft w:val="0"/>
          <w:marRight w:val="0"/>
          <w:marTop w:val="0"/>
          <w:marBottom w:val="0"/>
          <w:divBdr>
            <w:top w:val="none" w:sz="0" w:space="0" w:color="auto"/>
            <w:left w:val="none" w:sz="0" w:space="0" w:color="auto"/>
            <w:bottom w:val="none" w:sz="0" w:space="0" w:color="auto"/>
            <w:right w:val="none" w:sz="0" w:space="0" w:color="auto"/>
          </w:divBdr>
        </w:div>
        <w:div w:id="1766150442">
          <w:marLeft w:val="0"/>
          <w:marRight w:val="0"/>
          <w:marTop w:val="0"/>
          <w:marBottom w:val="0"/>
          <w:divBdr>
            <w:top w:val="none" w:sz="0" w:space="0" w:color="auto"/>
            <w:left w:val="none" w:sz="0" w:space="0" w:color="auto"/>
            <w:bottom w:val="none" w:sz="0" w:space="0" w:color="auto"/>
            <w:right w:val="none" w:sz="0" w:space="0" w:color="auto"/>
          </w:divBdr>
        </w:div>
        <w:div w:id="1766225741">
          <w:marLeft w:val="0"/>
          <w:marRight w:val="0"/>
          <w:marTop w:val="0"/>
          <w:marBottom w:val="0"/>
          <w:divBdr>
            <w:top w:val="none" w:sz="0" w:space="0" w:color="auto"/>
            <w:left w:val="none" w:sz="0" w:space="0" w:color="auto"/>
            <w:bottom w:val="none" w:sz="0" w:space="0" w:color="auto"/>
            <w:right w:val="none" w:sz="0" w:space="0" w:color="auto"/>
          </w:divBdr>
        </w:div>
        <w:div w:id="1768309578">
          <w:marLeft w:val="0"/>
          <w:marRight w:val="0"/>
          <w:marTop w:val="0"/>
          <w:marBottom w:val="0"/>
          <w:divBdr>
            <w:top w:val="none" w:sz="0" w:space="0" w:color="auto"/>
            <w:left w:val="none" w:sz="0" w:space="0" w:color="auto"/>
            <w:bottom w:val="none" w:sz="0" w:space="0" w:color="auto"/>
            <w:right w:val="none" w:sz="0" w:space="0" w:color="auto"/>
          </w:divBdr>
        </w:div>
        <w:div w:id="1768425492">
          <w:marLeft w:val="0"/>
          <w:marRight w:val="0"/>
          <w:marTop w:val="0"/>
          <w:marBottom w:val="0"/>
          <w:divBdr>
            <w:top w:val="none" w:sz="0" w:space="0" w:color="auto"/>
            <w:left w:val="none" w:sz="0" w:space="0" w:color="auto"/>
            <w:bottom w:val="none" w:sz="0" w:space="0" w:color="auto"/>
            <w:right w:val="none" w:sz="0" w:space="0" w:color="auto"/>
          </w:divBdr>
        </w:div>
        <w:div w:id="1769499242">
          <w:marLeft w:val="0"/>
          <w:marRight w:val="0"/>
          <w:marTop w:val="0"/>
          <w:marBottom w:val="0"/>
          <w:divBdr>
            <w:top w:val="none" w:sz="0" w:space="0" w:color="auto"/>
            <w:left w:val="none" w:sz="0" w:space="0" w:color="auto"/>
            <w:bottom w:val="none" w:sz="0" w:space="0" w:color="auto"/>
            <w:right w:val="none" w:sz="0" w:space="0" w:color="auto"/>
          </w:divBdr>
        </w:div>
        <w:div w:id="1774011298">
          <w:marLeft w:val="0"/>
          <w:marRight w:val="0"/>
          <w:marTop w:val="0"/>
          <w:marBottom w:val="0"/>
          <w:divBdr>
            <w:top w:val="none" w:sz="0" w:space="0" w:color="auto"/>
            <w:left w:val="none" w:sz="0" w:space="0" w:color="auto"/>
            <w:bottom w:val="none" w:sz="0" w:space="0" w:color="auto"/>
            <w:right w:val="none" w:sz="0" w:space="0" w:color="auto"/>
          </w:divBdr>
        </w:div>
        <w:div w:id="1777555372">
          <w:marLeft w:val="0"/>
          <w:marRight w:val="0"/>
          <w:marTop w:val="0"/>
          <w:marBottom w:val="0"/>
          <w:divBdr>
            <w:top w:val="none" w:sz="0" w:space="0" w:color="auto"/>
            <w:left w:val="none" w:sz="0" w:space="0" w:color="auto"/>
            <w:bottom w:val="none" w:sz="0" w:space="0" w:color="auto"/>
            <w:right w:val="none" w:sz="0" w:space="0" w:color="auto"/>
          </w:divBdr>
        </w:div>
        <w:div w:id="1780223502">
          <w:marLeft w:val="0"/>
          <w:marRight w:val="0"/>
          <w:marTop w:val="0"/>
          <w:marBottom w:val="0"/>
          <w:divBdr>
            <w:top w:val="none" w:sz="0" w:space="0" w:color="auto"/>
            <w:left w:val="none" w:sz="0" w:space="0" w:color="auto"/>
            <w:bottom w:val="none" w:sz="0" w:space="0" w:color="auto"/>
            <w:right w:val="none" w:sz="0" w:space="0" w:color="auto"/>
          </w:divBdr>
        </w:div>
        <w:div w:id="1781606809">
          <w:marLeft w:val="0"/>
          <w:marRight w:val="0"/>
          <w:marTop w:val="0"/>
          <w:marBottom w:val="0"/>
          <w:divBdr>
            <w:top w:val="none" w:sz="0" w:space="0" w:color="auto"/>
            <w:left w:val="none" w:sz="0" w:space="0" w:color="auto"/>
            <w:bottom w:val="none" w:sz="0" w:space="0" w:color="auto"/>
            <w:right w:val="none" w:sz="0" w:space="0" w:color="auto"/>
          </w:divBdr>
        </w:div>
        <w:div w:id="1785154180">
          <w:marLeft w:val="0"/>
          <w:marRight w:val="0"/>
          <w:marTop w:val="0"/>
          <w:marBottom w:val="0"/>
          <w:divBdr>
            <w:top w:val="none" w:sz="0" w:space="0" w:color="auto"/>
            <w:left w:val="none" w:sz="0" w:space="0" w:color="auto"/>
            <w:bottom w:val="none" w:sz="0" w:space="0" w:color="auto"/>
            <w:right w:val="none" w:sz="0" w:space="0" w:color="auto"/>
          </w:divBdr>
        </w:div>
        <w:div w:id="1797796998">
          <w:marLeft w:val="0"/>
          <w:marRight w:val="0"/>
          <w:marTop w:val="0"/>
          <w:marBottom w:val="0"/>
          <w:divBdr>
            <w:top w:val="none" w:sz="0" w:space="0" w:color="auto"/>
            <w:left w:val="none" w:sz="0" w:space="0" w:color="auto"/>
            <w:bottom w:val="none" w:sz="0" w:space="0" w:color="auto"/>
            <w:right w:val="none" w:sz="0" w:space="0" w:color="auto"/>
          </w:divBdr>
        </w:div>
        <w:div w:id="1805150893">
          <w:marLeft w:val="0"/>
          <w:marRight w:val="0"/>
          <w:marTop w:val="0"/>
          <w:marBottom w:val="0"/>
          <w:divBdr>
            <w:top w:val="none" w:sz="0" w:space="0" w:color="auto"/>
            <w:left w:val="none" w:sz="0" w:space="0" w:color="auto"/>
            <w:bottom w:val="none" w:sz="0" w:space="0" w:color="auto"/>
            <w:right w:val="none" w:sz="0" w:space="0" w:color="auto"/>
          </w:divBdr>
        </w:div>
        <w:div w:id="1805731370">
          <w:marLeft w:val="0"/>
          <w:marRight w:val="0"/>
          <w:marTop w:val="0"/>
          <w:marBottom w:val="0"/>
          <w:divBdr>
            <w:top w:val="none" w:sz="0" w:space="0" w:color="auto"/>
            <w:left w:val="none" w:sz="0" w:space="0" w:color="auto"/>
            <w:bottom w:val="none" w:sz="0" w:space="0" w:color="auto"/>
            <w:right w:val="none" w:sz="0" w:space="0" w:color="auto"/>
          </w:divBdr>
        </w:div>
        <w:div w:id="1811052299">
          <w:marLeft w:val="0"/>
          <w:marRight w:val="0"/>
          <w:marTop w:val="0"/>
          <w:marBottom w:val="0"/>
          <w:divBdr>
            <w:top w:val="none" w:sz="0" w:space="0" w:color="auto"/>
            <w:left w:val="none" w:sz="0" w:space="0" w:color="auto"/>
            <w:bottom w:val="none" w:sz="0" w:space="0" w:color="auto"/>
            <w:right w:val="none" w:sz="0" w:space="0" w:color="auto"/>
          </w:divBdr>
        </w:div>
        <w:div w:id="1815220702">
          <w:marLeft w:val="0"/>
          <w:marRight w:val="0"/>
          <w:marTop w:val="0"/>
          <w:marBottom w:val="0"/>
          <w:divBdr>
            <w:top w:val="none" w:sz="0" w:space="0" w:color="auto"/>
            <w:left w:val="none" w:sz="0" w:space="0" w:color="auto"/>
            <w:bottom w:val="none" w:sz="0" w:space="0" w:color="auto"/>
            <w:right w:val="none" w:sz="0" w:space="0" w:color="auto"/>
          </w:divBdr>
        </w:div>
        <w:div w:id="1817448226">
          <w:marLeft w:val="0"/>
          <w:marRight w:val="0"/>
          <w:marTop w:val="0"/>
          <w:marBottom w:val="0"/>
          <w:divBdr>
            <w:top w:val="none" w:sz="0" w:space="0" w:color="auto"/>
            <w:left w:val="none" w:sz="0" w:space="0" w:color="auto"/>
            <w:bottom w:val="none" w:sz="0" w:space="0" w:color="auto"/>
            <w:right w:val="none" w:sz="0" w:space="0" w:color="auto"/>
          </w:divBdr>
        </w:div>
        <w:div w:id="1819305178">
          <w:marLeft w:val="0"/>
          <w:marRight w:val="0"/>
          <w:marTop w:val="0"/>
          <w:marBottom w:val="0"/>
          <w:divBdr>
            <w:top w:val="none" w:sz="0" w:space="0" w:color="auto"/>
            <w:left w:val="none" w:sz="0" w:space="0" w:color="auto"/>
            <w:bottom w:val="none" w:sz="0" w:space="0" w:color="auto"/>
            <w:right w:val="none" w:sz="0" w:space="0" w:color="auto"/>
          </w:divBdr>
        </w:div>
        <w:div w:id="1824422354">
          <w:marLeft w:val="0"/>
          <w:marRight w:val="0"/>
          <w:marTop w:val="0"/>
          <w:marBottom w:val="0"/>
          <w:divBdr>
            <w:top w:val="none" w:sz="0" w:space="0" w:color="auto"/>
            <w:left w:val="none" w:sz="0" w:space="0" w:color="auto"/>
            <w:bottom w:val="none" w:sz="0" w:space="0" w:color="auto"/>
            <w:right w:val="none" w:sz="0" w:space="0" w:color="auto"/>
          </w:divBdr>
        </w:div>
        <w:div w:id="1832477310">
          <w:marLeft w:val="0"/>
          <w:marRight w:val="0"/>
          <w:marTop w:val="0"/>
          <w:marBottom w:val="0"/>
          <w:divBdr>
            <w:top w:val="none" w:sz="0" w:space="0" w:color="auto"/>
            <w:left w:val="none" w:sz="0" w:space="0" w:color="auto"/>
            <w:bottom w:val="none" w:sz="0" w:space="0" w:color="auto"/>
            <w:right w:val="none" w:sz="0" w:space="0" w:color="auto"/>
          </w:divBdr>
        </w:div>
        <w:div w:id="1832479289">
          <w:marLeft w:val="0"/>
          <w:marRight w:val="0"/>
          <w:marTop w:val="0"/>
          <w:marBottom w:val="0"/>
          <w:divBdr>
            <w:top w:val="none" w:sz="0" w:space="0" w:color="auto"/>
            <w:left w:val="none" w:sz="0" w:space="0" w:color="auto"/>
            <w:bottom w:val="none" w:sz="0" w:space="0" w:color="auto"/>
            <w:right w:val="none" w:sz="0" w:space="0" w:color="auto"/>
          </w:divBdr>
        </w:div>
        <w:div w:id="1832715077">
          <w:marLeft w:val="0"/>
          <w:marRight w:val="0"/>
          <w:marTop w:val="0"/>
          <w:marBottom w:val="0"/>
          <w:divBdr>
            <w:top w:val="none" w:sz="0" w:space="0" w:color="auto"/>
            <w:left w:val="none" w:sz="0" w:space="0" w:color="auto"/>
            <w:bottom w:val="none" w:sz="0" w:space="0" w:color="auto"/>
            <w:right w:val="none" w:sz="0" w:space="0" w:color="auto"/>
          </w:divBdr>
        </w:div>
        <w:div w:id="1839230629">
          <w:marLeft w:val="0"/>
          <w:marRight w:val="0"/>
          <w:marTop w:val="0"/>
          <w:marBottom w:val="0"/>
          <w:divBdr>
            <w:top w:val="none" w:sz="0" w:space="0" w:color="auto"/>
            <w:left w:val="none" w:sz="0" w:space="0" w:color="auto"/>
            <w:bottom w:val="none" w:sz="0" w:space="0" w:color="auto"/>
            <w:right w:val="none" w:sz="0" w:space="0" w:color="auto"/>
          </w:divBdr>
        </w:div>
        <w:div w:id="1840192141">
          <w:marLeft w:val="0"/>
          <w:marRight w:val="0"/>
          <w:marTop w:val="0"/>
          <w:marBottom w:val="0"/>
          <w:divBdr>
            <w:top w:val="none" w:sz="0" w:space="0" w:color="auto"/>
            <w:left w:val="none" w:sz="0" w:space="0" w:color="auto"/>
            <w:bottom w:val="none" w:sz="0" w:space="0" w:color="auto"/>
            <w:right w:val="none" w:sz="0" w:space="0" w:color="auto"/>
          </w:divBdr>
        </w:div>
        <w:div w:id="1840463195">
          <w:marLeft w:val="0"/>
          <w:marRight w:val="0"/>
          <w:marTop w:val="0"/>
          <w:marBottom w:val="0"/>
          <w:divBdr>
            <w:top w:val="none" w:sz="0" w:space="0" w:color="auto"/>
            <w:left w:val="none" w:sz="0" w:space="0" w:color="auto"/>
            <w:bottom w:val="none" w:sz="0" w:space="0" w:color="auto"/>
            <w:right w:val="none" w:sz="0" w:space="0" w:color="auto"/>
          </w:divBdr>
        </w:div>
        <w:div w:id="1840845502">
          <w:marLeft w:val="0"/>
          <w:marRight w:val="0"/>
          <w:marTop w:val="0"/>
          <w:marBottom w:val="0"/>
          <w:divBdr>
            <w:top w:val="none" w:sz="0" w:space="0" w:color="auto"/>
            <w:left w:val="none" w:sz="0" w:space="0" w:color="auto"/>
            <w:bottom w:val="none" w:sz="0" w:space="0" w:color="auto"/>
            <w:right w:val="none" w:sz="0" w:space="0" w:color="auto"/>
          </w:divBdr>
        </w:div>
        <w:div w:id="1844314416">
          <w:marLeft w:val="0"/>
          <w:marRight w:val="0"/>
          <w:marTop w:val="0"/>
          <w:marBottom w:val="0"/>
          <w:divBdr>
            <w:top w:val="none" w:sz="0" w:space="0" w:color="auto"/>
            <w:left w:val="none" w:sz="0" w:space="0" w:color="auto"/>
            <w:bottom w:val="none" w:sz="0" w:space="0" w:color="auto"/>
            <w:right w:val="none" w:sz="0" w:space="0" w:color="auto"/>
          </w:divBdr>
        </w:div>
        <w:div w:id="1844737186">
          <w:marLeft w:val="0"/>
          <w:marRight w:val="0"/>
          <w:marTop w:val="0"/>
          <w:marBottom w:val="0"/>
          <w:divBdr>
            <w:top w:val="none" w:sz="0" w:space="0" w:color="auto"/>
            <w:left w:val="none" w:sz="0" w:space="0" w:color="auto"/>
            <w:bottom w:val="none" w:sz="0" w:space="0" w:color="auto"/>
            <w:right w:val="none" w:sz="0" w:space="0" w:color="auto"/>
          </w:divBdr>
        </w:div>
        <w:div w:id="1847547867">
          <w:marLeft w:val="0"/>
          <w:marRight w:val="0"/>
          <w:marTop w:val="0"/>
          <w:marBottom w:val="0"/>
          <w:divBdr>
            <w:top w:val="none" w:sz="0" w:space="0" w:color="auto"/>
            <w:left w:val="none" w:sz="0" w:space="0" w:color="auto"/>
            <w:bottom w:val="none" w:sz="0" w:space="0" w:color="auto"/>
            <w:right w:val="none" w:sz="0" w:space="0" w:color="auto"/>
          </w:divBdr>
        </w:div>
        <w:div w:id="1847599730">
          <w:marLeft w:val="0"/>
          <w:marRight w:val="0"/>
          <w:marTop w:val="0"/>
          <w:marBottom w:val="0"/>
          <w:divBdr>
            <w:top w:val="none" w:sz="0" w:space="0" w:color="auto"/>
            <w:left w:val="none" w:sz="0" w:space="0" w:color="auto"/>
            <w:bottom w:val="none" w:sz="0" w:space="0" w:color="auto"/>
            <w:right w:val="none" w:sz="0" w:space="0" w:color="auto"/>
          </w:divBdr>
        </w:div>
        <w:div w:id="1848519763">
          <w:marLeft w:val="0"/>
          <w:marRight w:val="0"/>
          <w:marTop w:val="0"/>
          <w:marBottom w:val="0"/>
          <w:divBdr>
            <w:top w:val="none" w:sz="0" w:space="0" w:color="auto"/>
            <w:left w:val="none" w:sz="0" w:space="0" w:color="auto"/>
            <w:bottom w:val="none" w:sz="0" w:space="0" w:color="auto"/>
            <w:right w:val="none" w:sz="0" w:space="0" w:color="auto"/>
          </w:divBdr>
        </w:div>
        <w:div w:id="1848589862">
          <w:marLeft w:val="0"/>
          <w:marRight w:val="0"/>
          <w:marTop w:val="0"/>
          <w:marBottom w:val="0"/>
          <w:divBdr>
            <w:top w:val="none" w:sz="0" w:space="0" w:color="auto"/>
            <w:left w:val="none" w:sz="0" w:space="0" w:color="auto"/>
            <w:bottom w:val="none" w:sz="0" w:space="0" w:color="auto"/>
            <w:right w:val="none" w:sz="0" w:space="0" w:color="auto"/>
          </w:divBdr>
        </w:div>
        <w:div w:id="1849053483">
          <w:marLeft w:val="0"/>
          <w:marRight w:val="0"/>
          <w:marTop w:val="0"/>
          <w:marBottom w:val="0"/>
          <w:divBdr>
            <w:top w:val="none" w:sz="0" w:space="0" w:color="auto"/>
            <w:left w:val="none" w:sz="0" w:space="0" w:color="auto"/>
            <w:bottom w:val="none" w:sz="0" w:space="0" w:color="auto"/>
            <w:right w:val="none" w:sz="0" w:space="0" w:color="auto"/>
          </w:divBdr>
        </w:div>
        <w:div w:id="1851019077">
          <w:marLeft w:val="0"/>
          <w:marRight w:val="0"/>
          <w:marTop w:val="0"/>
          <w:marBottom w:val="0"/>
          <w:divBdr>
            <w:top w:val="none" w:sz="0" w:space="0" w:color="auto"/>
            <w:left w:val="none" w:sz="0" w:space="0" w:color="auto"/>
            <w:bottom w:val="none" w:sz="0" w:space="0" w:color="auto"/>
            <w:right w:val="none" w:sz="0" w:space="0" w:color="auto"/>
          </w:divBdr>
        </w:div>
        <w:div w:id="1854613733">
          <w:marLeft w:val="0"/>
          <w:marRight w:val="0"/>
          <w:marTop w:val="0"/>
          <w:marBottom w:val="0"/>
          <w:divBdr>
            <w:top w:val="none" w:sz="0" w:space="0" w:color="auto"/>
            <w:left w:val="none" w:sz="0" w:space="0" w:color="auto"/>
            <w:bottom w:val="none" w:sz="0" w:space="0" w:color="auto"/>
            <w:right w:val="none" w:sz="0" w:space="0" w:color="auto"/>
          </w:divBdr>
        </w:div>
        <w:div w:id="1859000130">
          <w:marLeft w:val="0"/>
          <w:marRight w:val="0"/>
          <w:marTop w:val="0"/>
          <w:marBottom w:val="0"/>
          <w:divBdr>
            <w:top w:val="none" w:sz="0" w:space="0" w:color="auto"/>
            <w:left w:val="none" w:sz="0" w:space="0" w:color="auto"/>
            <w:bottom w:val="none" w:sz="0" w:space="0" w:color="auto"/>
            <w:right w:val="none" w:sz="0" w:space="0" w:color="auto"/>
          </w:divBdr>
        </w:div>
        <w:div w:id="1865828636">
          <w:marLeft w:val="0"/>
          <w:marRight w:val="0"/>
          <w:marTop w:val="0"/>
          <w:marBottom w:val="0"/>
          <w:divBdr>
            <w:top w:val="none" w:sz="0" w:space="0" w:color="auto"/>
            <w:left w:val="none" w:sz="0" w:space="0" w:color="auto"/>
            <w:bottom w:val="none" w:sz="0" w:space="0" w:color="auto"/>
            <w:right w:val="none" w:sz="0" w:space="0" w:color="auto"/>
          </w:divBdr>
        </w:div>
        <w:div w:id="1868328822">
          <w:marLeft w:val="0"/>
          <w:marRight w:val="0"/>
          <w:marTop w:val="0"/>
          <w:marBottom w:val="0"/>
          <w:divBdr>
            <w:top w:val="none" w:sz="0" w:space="0" w:color="auto"/>
            <w:left w:val="none" w:sz="0" w:space="0" w:color="auto"/>
            <w:bottom w:val="none" w:sz="0" w:space="0" w:color="auto"/>
            <w:right w:val="none" w:sz="0" w:space="0" w:color="auto"/>
          </w:divBdr>
        </w:div>
        <w:div w:id="1869756483">
          <w:marLeft w:val="0"/>
          <w:marRight w:val="0"/>
          <w:marTop w:val="0"/>
          <w:marBottom w:val="0"/>
          <w:divBdr>
            <w:top w:val="none" w:sz="0" w:space="0" w:color="auto"/>
            <w:left w:val="none" w:sz="0" w:space="0" w:color="auto"/>
            <w:bottom w:val="none" w:sz="0" w:space="0" w:color="auto"/>
            <w:right w:val="none" w:sz="0" w:space="0" w:color="auto"/>
          </w:divBdr>
        </w:div>
        <w:div w:id="1869832205">
          <w:marLeft w:val="0"/>
          <w:marRight w:val="0"/>
          <w:marTop w:val="0"/>
          <w:marBottom w:val="0"/>
          <w:divBdr>
            <w:top w:val="none" w:sz="0" w:space="0" w:color="auto"/>
            <w:left w:val="none" w:sz="0" w:space="0" w:color="auto"/>
            <w:bottom w:val="none" w:sz="0" w:space="0" w:color="auto"/>
            <w:right w:val="none" w:sz="0" w:space="0" w:color="auto"/>
          </w:divBdr>
        </w:div>
        <w:div w:id="1876961812">
          <w:marLeft w:val="0"/>
          <w:marRight w:val="0"/>
          <w:marTop w:val="0"/>
          <w:marBottom w:val="0"/>
          <w:divBdr>
            <w:top w:val="none" w:sz="0" w:space="0" w:color="auto"/>
            <w:left w:val="none" w:sz="0" w:space="0" w:color="auto"/>
            <w:bottom w:val="none" w:sz="0" w:space="0" w:color="auto"/>
            <w:right w:val="none" w:sz="0" w:space="0" w:color="auto"/>
          </w:divBdr>
        </w:div>
        <w:div w:id="1878932785">
          <w:marLeft w:val="0"/>
          <w:marRight w:val="0"/>
          <w:marTop w:val="0"/>
          <w:marBottom w:val="0"/>
          <w:divBdr>
            <w:top w:val="none" w:sz="0" w:space="0" w:color="auto"/>
            <w:left w:val="none" w:sz="0" w:space="0" w:color="auto"/>
            <w:bottom w:val="none" w:sz="0" w:space="0" w:color="auto"/>
            <w:right w:val="none" w:sz="0" w:space="0" w:color="auto"/>
          </w:divBdr>
        </w:div>
        <w:div w:id="1885211678">
          <w:marLeft w:val="0"/>
          <w:marRight w:val="0"/>
          <w:marTop w:val="0"/>
          <w:marBottom w:val="0"/>
          <w:divBdr>
            <w:top w:val="none" w:sz="0" w:space="0" w:color="auto"/>
            <w:left w:val="none" w:sz="0" w:space="0" w:color="auto"/>
            <w:bottom w:val="none" w:sz="0" w:space="0" w:color="auto"/>
            <w:right w:val="none" w:sz="0" w:space="0" w:color="auto"/>
          </w:divBdr>
        </w:div>
        <w:div w:id="1885482641">
          <w:marLeft w:val="0"/>
          <w:marRight w:val="0"/>
          <w:marTop w:val="0"/>
          <w:marBottom w:val="0"/>
          <w:divBdr>
            <w:top w:val="none" w:sz="0" w:space="0" w:color="auto"/>
            <w:left w:val="none" w:sz="0" w:space="0" w:color="auto"/>
            <w:bottom w:val="none" w:sz="0" w:space="0" w:color="auto"/>
            <w:right w:val="none" w:sz="0" w:space="0" w:color="auto"/>
          </w:divBdr>
        </w:div>
        <w:div w:id="1887520288">
          <w:marLeft w:val="0"/>
          <w:marRight w:val="0"/>
          <w:marTop w:val="0"/>
          <w:marBottom w:val="0"/>
          <w:divBdr>
            <w:top w:val="none" w:sz="0" w:space="0" w:color="auto"/>
            <w:left w:val="none" w:sz="0" w:space="0" w:color="auto"/>
            <w:bottom w:val="none" w:sz="0" w:space="0" w:color="auto"/>
            <w:right w:val="none" w:sz="0" w:space="0" w:color="auto"/>
          </w:divBdr>
        </w:div>
        <w:div w:id="1890259436">
          <w:marLeft w:val="0"/>
          <w:marRight w:val="0"/>
          <w:marTop w:val="0"/>
          <w:marBottom w:val="0"/>
          <w:divBdr>
            <w:top w:val="none" w:sz="0" w:space="0" w:color="auto"/>
            <w:left w:val="none" w:sz="0" w:space="0" w:color="auto"/>
            <w:bottom w:val="none" w:sz="0" w:space="0" w:color="auto"/>
            <w:right w:val="none" w:sz="0" w:space="0" w:color="auto"/>
          </w:divBdr>
        </w:div>
        <w:div w:id="1901670394">
          <w:marLeft w:val="0"/>
          <w:marRight w:val="0"/>
          <w:marTop w:val="0"/>
          <w:marBottom w:val="0"/>
          <w:divBdr>
            <w:top w:val="none" w:sz="0" w:space="0" w:color="auto"/>
            <w:left w:val="none" w:sz="0" w:space="0" w:color="auto"/>
            <w:bottom w:val="none" w:sz="0" w:space="0" w:color="auto"/>
            <w:right w:val="none" w:sz="0" w:space="0" w:color="auto"/>
          </w:divBdr>
        </w:div>
        <w:div w:id="1903641231">
          <w:marLeft w:val="0"/>
          <w:marRight w:val="0"/>
          <w:marTop w:val="0"/>
          <w:marBottom w:val="0"/>
          <w:divBdr>
            <w:top w:val="none" w:sz="0" w:space="0" w:color="auto"/>
            <w:left w:val="none" w:sz="0" w:space="0" w:color="auto"/>
            <w:bottom w:val="none" w:sz="0" w:space="0" w:color="auto"/>
            <w:right w:val="none" w:sz="0" w:space="0" w:color="auto"/>
          </w:divBdr>
        </w:div>
        <w:div w:id="1906799211">
          <w:marLeft w:val="0"/>
          <w:marRight w:val="0"/>
          <w:marTop w:val="0"/>
          <w:marBottom w:val="0"/>
          <w:divBdr>
            <w:top w:val="none" w:sz="0" w:space="0" w:color="auto"/>
            <w:left w:val="none" w:sz="0" w:space="0" w:color="auto"/>
            <w:bottom w:val="none" w:sz="0" w:space="0" w:color="auto"/>
            <w:right w:val="none" w:sz="0" w:space="0" w:color="auto"/>
          </w:divBdr>
        </w:div>
        <w:div w:id="1910384101">
          <w:marLeft w:val="0"/>
          <w:marRight w:val="0"/>
          <w:marTop w:val="0"/>
          <w:marBottom w:val="0"/>
          <w:divBdr>
            <w:top w:val="none" w:sz="0" w:space="0" w:color="auto"/>
            <w:left w:val="none" w:sz="0" w:space="0" w:color="auto"/>
            <w:bottom w:val="none" w:sz="0" w:space="0" w:color="auto"/>
            <w:right w:val="none" w:sz="0" w:space="0" w:color="auto"/>
          </w:divBdr>
        </w:div>
        <w:div w:id="1913005468">
          <w:marLeft w:val="0"/>
          <w:marRight w:val="0"/>
          <w:marTop w:val="0"/>
          <w:marBottom w:val="0"/>
          <w:divBdr>
            <w:top w:val="none" w:sz="0" w:space="0" w:color="auto"/>
            <w:left w:val="none" w:sz="0" w:space="0" w:color="auto"/>
            <w:bottom w:val="none" w:sz="0" w:space="0" w:color="auto"/>
            <w:right w:val="none" w:sz="0" w:space="0" w:color="auto"/>
          </w:divBdr>
        </w:div>
        <w:div w:id="1918398180">
          <w:marLeft w:val="0"/>
          <w:marRight w:val="0"/>
          <w:marTop w:val="0"/>
          <w:marBottom w:val="0"/>
          <w:divBdr>
            <w:top w:val="none" w:sz="0" w:space="0" w:color="auto"/>
            <w:left w:val="none" w:sz="0" w:space="0" w:color="auto"/>
            <w:bottom w:val="none" w:sz="0" w:space="0" w:color="auto"/>
            <w:right w:val="none" w:sz="0" w:space="0" w:color="auto"/>
          </w:divBdr>
        </w:div>
        <w:div w:id="1920409076">
          <w:marLeft w:val="0"/>
          <w:marRight w:val="0"/>
          <w:marTop w:val="0"/>
          <w:marBottom w:val="0"/>
          <w:divBdr>
            <w:top w:val="none" w:sz="0" w:space="0" w:color="auto"/>
            <w:left w:val="none" w:sz="0" w:space="0" w:color="auto"/>
            <w:bottom w:val="none" w:sz="0" w:space="0" w:color="auto"/>
            <w:right w:val="none" w:sz="0" w:space="0" w:color="auto"/>
          </w:divBdr>
        </w:div>
        <w:div w:id="1921450393">
          <w:marLeft w:val="0"/>
          <w:marRight w:val="0"/>
          <w:marTop w:val="0"/>
          <w:marBottom w:val="0"/>
          <w:divBdr>
            <w:top w:val="none" w:sz="0" w:space="0" w:color="auto"/>
            <w:left w:val="none" w:sz="0" w:space="0" w:color="auto"/>
            <w:bottom w:val="none" w:sz="0" w:space="0" w:color="auto"/>
            <w:right w:val="none" w:sz="0" w:space="0" w:color="auto"/>
          </w:divBdr>
        </w:div>
        <w:div w:id="1923417300">
          <w:marLeft w:val="0"/>
          <w:marRight w:val="0"/>
          <w:marTop w:val="0"/>
          <w:marBottom w:val="0"/>
          <w:divBdr>
            <w:top w:val="none" w:sz="0" w:space="0" w:color="auto"/>
            <w:left w:val="none" w:sz="0" w:space="0" w:color="auto"/>
            <w:bottom w:val="none" w:sz="0" w:space="0" w:color="auto"/>
            <w:right w:val="none" w:sz="0" w:space="0" w:color="auto"/>
          </w:divBdr>
        </w:div>
        <w:div w:id="1923828595">
          <w:marLeft w:val="0"/>
          <w:marRight w:val="0"/>
          <w:marTop w:val="0"/>
          <w:marBottom w:val="0"/>
          <w:divBdr>
            <w:top w:val="none" w:sz="0" w:space="0" w:color="auto"/>
            <w:left w:val="none" w:sz="0" w:space="0" w:color="auto"/>
            <w:bottom w:val="none" w:sz="0" w:space="0" w:color="auto"/>
            <w:right w:val="none" w:sz="0" w:space="0" w:color="auto"/>
          </w:divBdr>
        </w:div>
        <w:div w:id="1925800833">
          <w:marLeft w:val="0"/>
          <w:marRight w:val="0"/>
          <w:marTop w:val="0"/>
          <w:marBottom w:val="0"/>
          <w:divBdr>
            <w:top w:val="none" w:sz="0" w:space="0" w:color="auto"/>
            <w:left w:val="none" w:sz="0" w:space="0" w:color="auto"/>
            <w:bottom w:val="none" w:sz="0" w:space="0" w:color="auto"/>
            <w:right w:val="none" w:sz="0" w:space="0" w:color="auto"/>
          </w:divBdr>
        </w:div>
        <w:div w:id="1928538625">
          <w:marLeft w:val="0"/>
          <w:marRight w:val="0"/>
          <w:marTop w:val="0"/>
          <w:marBottom w:val="0"/>
          <w:divBdr>
            <w:top w:val="none" w:sz="0" w:space="0" w:color="auto"/>
            <w:left w:val="none" w:sz="0" w:space="0" w:color="auto"/>
            <w:bottom w:val="none" w:sz="0" w:space="0" w:color="auto"/>
            <w:right w:val="none" w:sz="0" w:space="0" w:color="auto"/>
          </w:divBdr>
        </w:div>
        <w:div w:id="1928612698">
          <w:marLeft w:val="0"/>
          <w:marRight w:val="0"/>
          <w:marTop w:val="0"/>
          <w:marBottom w:val="0"/>
          <w:divBdr>
            <w:top w:val="none" w:sz="0" w:space="0" w:color="auto"/>
            <w:left w:val="none" w:sz="0" w:space="0" w:color="auto"/>
            <w:bottom w:val="none" w:sz="0" w:space="0" w:color="auto"/>
            <w:right w:val="none" w:sz="0" w:space="0" w:color="auto"/>
          </w:divBdr>
        </w:div>
        <w:div w:id="1932354404">
          <w:marLeft w:val="0"/>
          <w:marRight w:val="0"/>
          <w:marTop w:val="0"/>
          <w:marBottom w:val="0"/>
          <w:divBdr>
            <w:top w:val="none" w:sz="0" w:space="0" w:color="auto"/>
            <w:left w:val="none" w:sz="0" w:space="0" w:color="auto"/>
            <w:bottom w:val="none" w:sz="0" w:space="0" w:color="auto"/>
            <w:right w:val="none" w:sz="0" w:space="0" w:color="auto"/>
          </w:divBdr>
        </w:div>
        <w:div w:id="1934314438">
          <w:marLeft w:val="0"/>
          <w:marRight w:val="0"/>
          <w:marTop w:val="0"/>
          <w:marBottom w:val="0"/>
          <w:divBdr>
            <w:top w:val="none" w:sz="0" w:space="0" w:color="auto"/>
            <w:left w:val="none" w:sz="0" w:space="0" w:color="auto"/>
            <w:bottom w:val="none" w:sz="0" w:space="0" w:color="auto"/>
            <w:right w:val="none" w:sz="0" w:space="0" w:color="auto"/>
          </w:divBdr>
        </w:div>
        <w:div w:id="1944914290">
          <w:marLeft w:val="0"/>
          <w:marRight w:val="0"/>
          <w:marTop w:val="0"/>
          <w:marBottom w:val="0"/>
          <w:divBdr>
            <w:top w:val="none" w:sz="0" w:space="0" w:color="auto"/>
            <w:left w:val="none" w:sz="0" w:space="0" w:color="auto"/>
            <w:bottom w:val="none" w:sz="0" w:space="0" w:color="auto"/>
            <w:right w:val="none" w:sz="0" w:space="0" w:color="auto"/>
          </w:divBdr>
        </w:div>
        <w:div w:id="1950315164">
          <w:marLeft w:val="0"/>
          <w:marRight w:val="0"/>
          <w:marTop w:val="0"/>
          <w:marBottom w:val="0"/>
          <w:divBdr>
            <w:top w:val="none" w:sz="0" w:space="0" w:color="auto"/>
            <w:left w:val="none" w:sz="0" w:space="0" w:color="auto"/>
            <w:bottom w:val="none" w:sz="0" w:space="0" w:color="auto"/>
            <w:right w:val="none" w:sz="0" w:space="0" w:color="auto"/>
          </w:divBdr>
        </w:div>
        <w:div w:id="1955209008">
          <w:marLeft w:val="0"/>
          <w:marRight w:val="0"/>
          <w:marTop w:val="0"/>
          <w:marBottom w:val="0"/>
          <w:divBdr>
            <w:top w:val="none" w:sz="0" w:space="0" w:color="auto"/>
            <w:left w:val="none" w:sz="0" w:space="0" w:color="auto"/>
            <w:bottom w:val="none" w:sz="0" w:space="0" w:color="auto"/>
            <w:right w:val="none" w:sz="0" w:space="0" w:color="auto"/>
          </w:divBdr>
        </w:div>
        <w:div w:id="1955211575">
          <w:marLeft w:val="0"/>
          <w:marRight w:val="0"/>
          <w:marTop w:val="0"/>
          <w:marBottom w:val="0"/>
          <w:divBdr>
            <w:top w:val="none" w:sz="0" w:space="0" w:color="auto"/>
            <w:left w:val="none" w:sz="0" w:space="0" w:color="auto"/>
            <w:bottom w:val="none" w:sz="0" w:space="0" w:color="auto"/>
            <w:right w:val="none" w:sz="0" w:space="0" w:color="auto"/>
          </w:divBdr>
        </w:div>
        <w:div w:id="1955362936">
          <w:marLeft w:val="0"/>
          <w:marRight w:val="0"/>
          <w:marTop w:val="0"/>
          <w:marBottom w:val="0"/>
          <w:divBdr>
            <w:top w:val="none" w:sz="0" w:space="0" w:color="auto"/>
            <w:left w:val="none" w:sz="0" w:space="0" w:color="auto"/>
            <w:bottom w:val="none" w:sz="0" w:space="0" w:color="auto"/>
            <w:right w:val="none" w:sz="0" w:space="0" w:color="auto"/>
          </w:divBdr>
        </w:div>
        <w:div w:id="1955556484">
          <w:marLeft w:val="0"/>
          <w:marRight w:val="0"/>
          <w:marTop w:val="0"/>
          <w:marBottom w:val="0"/>
          <w:divBdr>
            <w:top w:val="none" w:sz="0" w:space="0" w:color="auto"/>
            <w:left w:val="none" w:sz="0" w:space="0" w:color="auto"/>
            <w:bottom w:val="none" w:sz="0" w:space="0" w:color="auto"/>
            <w:right w:val="none" w:sz="0" w:space="0" w:color="auto"/>
          </w:divBdr>
        </w:div>
        <w:div w:id="1957128367">
          <w:marLeft w:val="0"/>
          <w:marRight w:val="0"/>
          <w:marTop w:val="0"/>
          <w:marBottom w:val="0"/>
          <w:divBdr>
            <w:top w:val="none" w:sz="0" w:space="0" w:color="auto"/>
            <w:left w:val="none" w:sz="0" w:space="0" w:color="auto"/>
            <w:bottom w:val="none" w:sz="0" w:space="0" w:color="auto"/>
            <w:right w:val="none" w:sz="0" w:space="0" w:color="auto"/>
          </w:divBdr>
        </w:div>
        <w:div w:id="1967537317">
          <w:marLeft w:val="0"/>
          <w:marRight w:val="0"/>
          <w:marTop w:val="0"/>
          <w:marBottom w:val="0"/>
          <w:divBdr>
            <w:top w:val="none" w:sz="0" w:space="0" w:color="auto"/>
            <w:left w:val="none" w:sz="0" w:space="0" w:color="auto"/>
            <w:bottom w:val="none" w:sz="0" w:space="0" w:color="auto"/>
            <w:right w:val="none" w:sz="0" w:space="0" w:color="auto"/>
          </w:divBdr>
        </w:div>
        <w:div w:id="1967812616">
          <w:marLeft w:val="0"/>
          <w:marRight w:val="0"/>
          <w:marTop w:val="0"/>
          <w:marBottom w:val="0"/>
          <w:divBdr>
            <w:top w:val="none" w:sz="0" w:space="0" w:color="auto"/>
            <w:left w:val="none" w:sz="0" w:space="0" w:color="auto"/>
            <w:bottom w:val="none" w:sz="0" w:space="0" w:color="auto"/>
            <w:right w:val="none" w:sz="0" w:space="0" w:color="auto"/>
          </w:divBdr>
        </w:div>
        <w:div w:id="1971668713">
          <w:marLeft w:val="0"/>
          <w:marRight w:val="0"/>
          <w:marTop w:val="0"/>
          <w:marBottom w:val="0"/>
          <w:divBdr>
            <w:top w:val="none" w:sz="0" w:space="0" w:color="auto"/>
            <w:left w:val="none" w:sz="0" w:space="0" w:color="auto"/>
            <w:bottom w:val="none" w:sz="0" w:space="0" w:color="auto"/>
            <w:right w:val="none" w:sz="0" w:space="0" w:color="auto"/>
          </w:divBdr>
        </w:div>
        <w:div w:id="1972201380">
          <w:marLeft w:val="0"/>
          <w:marRight w:val="0"/>
          <w:marTop w:val="0"/>
          <w:marBottom w:val="0"/>
          <w:divBdr>
            <w:top w:val="none" w:sz="0" w:space="0" w:color="auto"/>
            <w:left w:val="none" w:sz="0" w:space="0" w:color="auto"/>
            <w:bottom w:val="none" w:sz="0" w:space="0" w:color="auto"/>
            <w:right w:val="none" w:sz="0" w:space="0" w:color="auto"/>
          </w:divBdr>
        </w:div>
        <w:div w:id="1980067013">
          <w:marLeft w:val="0"/>
          <w:marRight w:val="0"/>
          <w:marTop w:val="0"/>
          <w:marBottom w:val="0"/>
          <w:divBdr>
            <w:top w:val="none" w:sz="0" w:space="0" w:color="auto"/>
            <w:left w:val="none" w:sz="0" w:space="0" w:color="auto"/>
            <w:bottom w:val="none" w:sz="0" w:space="0" w:color="auto"/>
            <w:right w:val="none" w:sz="0" w:space="0" w:color="auto"/>
          </w:divBdr>
        </w:div>
        <w:div w:id="1981575194">
          <w:marLeft w:val="0"/>
          <w:marRight w:val="0"/>
          <w:marTop w:val="0"/>
          <w:marBottom w:val="0"/>
          <w:divBdr>
            <w:top w:val="none" w:sz="0" w:space="0" w:color="auto"/>
            <w:left w:val="none" w:sz="0" w:space="0" w:color="auto"/>
            <w:bottom w:val="none" w:sz="0" w:space="0" w:color="auto"/>
            <w:right w:val="none" w:sz="0" w:space="0" w:color="auto"/>
          </w:divBdr>
        </w:div>
        <w:div w:id="1982884300">
          <w:marLeft w:val="0"/>
          <w:marRight w:val="0"/>
          <w:marTop w:val="0"/>
          <w:marBottom w:val="0"/>
          <w:divBdr>
            <w:top w:val="none" w:sz="0" w:space="0" w:color="auto"/>
            <w:left w:val="none" w:sz="0" w:space="0" w:color="auto"/>
            <w:bottom w:val="none" w:sz="0" w:space="0" w:color="auto"/>
            <w:right w:val="none" w:sz="0" w:space="0" w:color="auto"/>
          </w:divBdr>
        </w:div>
        <w:div w:id="1984500704">
          <w:marLeft w:val="0"/>
          <w:marRight w:val="0"/>
          <w:marTop w:val="0"/>
          <w:marBottom w:val="0"/>
          <w:divBdr>
            <w:top w:val="none" w:sz="0" w:space="0" w:color="auto"/>
            <w:left w:val="none" w:sz="0" w:space="0" w:color="auto"/>
            <w:bottom w:val="none" w:sz="0" w:space="0" w:color="auto"/>
            <w:right w:val="none" w:sz="0" w:space="0" w:color="auto"/>
          </w:divBdr>
        </w:div>
        <w:div w:id="1987928416">
          <w:marLeft w:val="0"/>
          <w:marRight w:val="0"/>
          <w:marTop w:val="0"/>
          <w:marBottom w:val="0"/>
          <w:divBdr>
            <w:top w:val="none" w:sz="0" w:space="0" w:color="auto"/>
            <w:left w:val="none" w:sz="0" w:space="0" w:color="auto"/>
            <w:bottom w:val="none" w:sz="0" w:space="0" w:color="auto"/>
            <w:right w:val="none" w:sz="0" w:space="0" w:color="auto"/>
          </w:divBdr>
        </w:div>
        <w:div w:id="1990131913">
          <w:marLeft w:val="0"/>
          <w:marRight w:val="0"/>
          <w:marTop w:val="0"/>
          <w:marBottom w:val="0"/>
          <w:divBdr>
            <w:top w:val="none" w:sz="0" w:space="0" w:color="auto"/>
            <w:left w:val="none" w:sz="0" w:space="0" w:color="auto"/>
            <w:bottom w:val="none" w:sz="0" w:space="0" w:color="auto"/>
            <w:right w:val="none" w:sz="0" w:space="0" w:color="auto"/>
          </w:divBdr>
        </w:div>
        <w:div w:id="1990787993">
          <w:marLeft w:val="0"/>
          <w:marRight w:val="0"/>
          <w:marTop w:val="0"/>
          <w:marBottom w:val="0"/>
          <w:divBdr>
            <w:top w:val="none" w:sz="0" w:space="0" w:color="auto"/>
            <w:left w:val="none" w:sz="0" w:space="0" w:color="auto"/>
            <w:bottom w:val="none" w:sz="0" w:space="0" w:color="auto"/>
            <w:right w:val="none" w:sz="0" w:space="0" w:color="auto"/>
          </w:divBdr>
        </w:div>
        <w:div w:id="1991253225">
          <w:marLeft w:val="0"/>
          <w:marRight w:val="0"/>
          <w:marTop w:val="0"/>
          <w:marBottom w:val="0"/>
          <w:divBdr>
            <w:top w:val="none" w:sz="0" w:space="0" w:color="auto"/>
            <w:left w:val="none" w:sz="0" w:space="0" w:color="auto"/>
            <w:bottom w:val="none" w:sz="0" w:space="0" w:color="auto"/>
            <w:right w:val="none" w:sz="0" w:space="0" w:color="auto"/>
          </w:divBdr>
        </w:div>
        <w:div w:id="1991398732">
          <w:marLeft w:val="0"/>
          <w:marRight w:val="0"/>
          <w:marTop w:val="0"/>
          <w:marBottom w:val="0"/>
          <w:divBdr>
            <w:top w:val="none" w:sz="0" w:space="0" w:color="auto"/>
            <w:left w:val="none" w:sz="0" w:space="0" w:color="auto"/>
            <w:bottom w:val="none" w:sz="0" w:space="0" w:color="auto"/>
            <w:right w:val="none" w:sz="0" w:space="0" w:color="auto"/>
          </w:divBdr>
        </w:div>
        <w:div w:id="1991708214">
          <w:marLeft w:val="0"/>
          <w:marRight w:val="0"/>
          <w:marTop w:val="0"/>
          <w:marBottom w:val="0"/>
          <w:divBdr>
            <w:top w:val="none" w:sz="0" w:space="0" w:color="auto"/>
            <w:left w:val="none" w:sz="0" w:space="0" w:color="auto"/>
            <w:bottom w:val="none" w:sz="0" w:space="0" w:color="auto"/>
            <w:right w:val="none" w:sz="0" w:space="0" w:color="auto"/>
          </w:divBdr>
        </w:div>
        <w:div w:id="1996375364">
          <w:marLeft w:val="0"/>
          <w:marRight w:val="0"/>
          <w:marTop w:val="0"/>
          <w:marBottom w:val="0"/>
          <w:divBdr>
            <w:top w:val="none" w:sz="0" w:space="0" w:color="auto"/>
            <w:left w:val="none" w:sz="0" w:space="0" w:color="auto"/>
            <w:bottom w:val="none" w:sz="0" w:space="0" w:color="auto"/>
            <w:right w:val="none" w:sz="0" w:space="0" w:color="auto"/>
          </w:divBdr>
        </w:div>
        <w:div w:id="1997411876">
          <w:marLeft w:val="0"/>
          <w:marRight w:val="0"/>
          <w:marTop w:val="0"/>
          <w:marBottom w:val="0"/>
          <w:divBdr>
            <w:top w:val="none" w:sz="0" w:space="0" w:color="auto"/>
            <w:left w:val="none" w:sz="0" w:space="0" w:color="auto"/>
            <w:bottom w:val="none" w:sz="0" w:space="0" w:color="auto"/>
            <w:right w:val="none" w:sz="0" w:space="0" w:color="auto"/>
          </w:divBdr>
        </w:div>
        <w:div w:id="1997877103">
          <w:marLeft w:val="0"/>
          <w:marRight w:val="0"/>
          <w:marTop w:val="0"/>
          <w:marBottom w:val="0"/>
          <w:divBdr>
            <w:top w:val="none" w:sz="0" w:space="0" w:color="auto"/>
            <w:left w:val="none" w:sz="0" w:space="0" w:color="auto"/>
            <w:bottom w:val="none" w:sz="0" w:space="0" w:color="auto"/>
            <w:right w:val="none" w:sz="0" w:space="0" w:color="auto"/>
          </w:divBdr>
        </w:div>
        <w:div w:id="1998072869">
          <w:marLeft w:val="0"/>
          <w:marRight w:val="0"/>
          <w:marTop w:val="0"/>
          <w:marBottom w:val="0"/>
          <w:divBdr>
            <w:top w:val="none" w:sz="0" w:space="0" w:color="auto"/>
            <w:left w:val="none" w:sz="0" w:space="0" w:color="auto"/>
            <w:bottom w:val="none" w:sz="0" w:space="0" w:color="auto"/>
            <w:right w:val="none" w:sz="0" w:space="0" w:color="auto"/>
          </w:divBdr>
        </w:div>
        <w:div w:id="1999965954">
          <w:marLeft w:val="0"/>
          <w:marRight w:val="0"/>
          <w:marTop w:val="0"/>
          <w:marBottom w:val="0"/>
          <w:divBdr>
            <w:top w:val="none" w:sz="0" w:space="0" w:color="auto"/>
            <w:left w:val="none" w:sz="0" w:space="0" w:color="auto"/>
            <w:bottom w:val="none" w:sz="0" w:space="0" w:color="auto"/>
            <w:right w:val="none" w:sz="0" w:space="0" w:color="auto"/>
          </w:divBdr>
        </w:div>
        <w:div w:id="2001500845">
          <w:marLeft w:val="0"/>
          <w:marRight w:val="0"/>
          <w:marTop w:val="0"/>
          <w:marBottom w:val="0"/>
          <w:divBdr>
            <w:top w:val="none" w:sz="0" w:space="0" w:color="auto"/>
            <w:left w:val="none" w:sz="0" w:space="0" w:color="auto"/>
            <w:bottom w:val="none" w:sz="0" w:space="0" w:color="auto"/>
            <w:right w:val="none" w:sz="0" w:space="0" w:color="auto"/>
          </w:divBdr>
        </w:div>
        <w:div w:id="2002466911">
          <w:marLeft w:val="0"/>
          <w:marRight w:val="0"/>
          <w:marTop w:val="0"/>
          <w:marBottom w:val="0"/>
          <w:divBdr>
            <w:top w:val="none" w:sz="0" w:space="0" w:color="auto"/>
            <w:left w:val="none" w:sz="0" w:space="0" w:color="auto"/>
            <w:bottom w:val="none" w:sz="0" w:space="0" w:color="auto"/>
            <w:right w:val="none" w:sz="0" w:space="0" w:color="auto"/>
          </w:divBdr>
        </w:div>
        <w:div w:id="2006666453">
          <w:marLeft w:val="0"/>
          <w:marRight w:val="0"/>
          <w:marTop w:val="0"/>
          <w:marBottom w:val="0"/>
          <w:divBdr>
            <w:top w:val="none" w:sz="0" w:space="0" w:color="auto"/>
            <w:left w:val="none" w:sz="0" w:space="0" w:color="auto"/>
            <w:bottom w:val="none" w:sz="0" w:space="0" w:color="auto"/>
            <w:right w:val="none" w:sz="0" w:space="0" w:color="auto"/>
          </w:divBdr>
        </w:div>
        <w:div w:id="2007591532">
          <w:marLeft w:val="0"/>
          <w:marRight w:val="0"/>
          <w:marTop w:val="0"/>
          <w:marBottom w:val="0"/>
          <w:divBdr>
            <w:top w:val="none" w:sz="0" w:space="0" w:color="auto"/>
            <w:left w:val="none" w:sz="0" w:space="0" w:color="auto"/>
            <w:bottom w:val="none" w:sz="0" w:space="0" w:color="auto"/>
            <w:right w:val="none" w:sz="0" w:space="0" w:color="auto"/>
          </w:divBdr>
        </w:div>
        <w:div w:id="2008164248">
          <w:marLeft w:val="0"/>
          <w:marRight w:val="0"/>
          <w:marTop w:val="0"/>
          <w:marBottom w:val="0"/>
          <w:divBdr>
            <w:top w:val="none" w:sz="0" w:space="0" w:color="auto"/>
            <w:left w:val="none" w:sz="0" w:space="0" w:color="auto"/>
            <w:bottom w:val="none" w:sz="0" w:space="0" w:color="auto"/>
            <w:right w:val="none" w:sz="0" w:space="0" w:color="auto"/>
          </w:divBdr>
        </w:div>
        <w:div w:id="2008509535">
          <w:marLeft w:val="0"/>
          <w:marRight w:val="0"/>
          <w:marTop w:val="0"/>
          <w:marBottom w:val="0"/>
          <w:divBdr>
            <w:top w:val="none" w:sz="0" w:space="0" w:color="auto"/>
            <w:left w:val="none" w:sz="0" w:space="0" w:color="auto"/>
            <w:bottom w:val="none" w:sz="0" w:space="0" w:color="auto"/>
            <w:right w:val="none" w:sz="0" w:space="0" w:color="auto"/>
          </w:divBdr>
        </w:div>
        <w:div w:id="2013487692">
          <w:marLeft w:val="0"/>
          <w:marRight w:val="0"/>
          <w:marTop w:val="0"/>
          <w:marBottom w:val="0"/>
          <w:divBdr>
            <w:top w:val="none" w:sz="0" w:space="0" w:color="auto"/>
            <w:left w:val="none" w:sz="0" w:space="0" w:color="auto"/>
            <w:bottom w:val="none" w:sz="0" w:space="0" w:color="auto"/>
            <w:right w:val="none" w:sz="0" w:space="0" w:color="auto"/>
          </w:divBdr>
        </w:div>
        <w:div w:id="2016806648">
          <w:marLeft w:val="0"/>
          <w:marRight w:val="0"/>
          <w:marTop w:val="0"/>
          <w:marBottom w:val="0"/>
          <w:divBdr>
            <w:top w:val="none" w:sz="0" w:space="0" w:color="auto"/>
            <w:left w:val="none" w:sz="0" w:space="0" w:color="auto"/>
            <w:bottom w:val="none" w:sz="0" w:space="0" w:color="auto"/>
            <w:right w:val="none" w:sz="0" w:space="0" w:color="auto"/>
          </w:divBdr>
        </w:div>
        <w:div w:id="2030639251">
          <w:marLeft w:val="0"/>
          <w:marRight w:val="0"/>
          <w:marTop w:val="0"/>
          <w:marBottom w:val="0"/>
          <w:divBdr>
            <w:top w:val="none" w:sz="0" w:space="0" w:color="auto"/>
            <w:left w:val="none" w:sz="0" w:space="0" w:color="auto"/>
            <w:bottom w:val="none" w:sz="0" w:space="0" w:color="auto"/>
            <w:right w:val="none" w:sz="0" w:space="0" w:color="auto"/>
          </w:divBdr>
        </w:div>
        <w:div w:id="2032144695">
          <w:marLeft w:val="0"/>
          <w:marRight w:val="0"/>
          <w:marTop w:val="0"/>
          <w:marBottom w:val="0"/>
          <w:divBdr>
            <w:top w:val="none" w:sz="0" w:space="0" w:color="auto"/>
            <w:left w:val="none" w:sz="0" w:space="0" w:color="auto"/>
            <w:bottom w:val="none" w:sz="0" w:space="0" w:color="auto"/>
            <w:right w:val="none" w:sz="0" w:space="0" w:color="auto"/>
          </w:divBdr>
        </w:div>
        <w:div w:id="2033845350">
          <w:marLeft w:val="0"/>
          <w:marRight w:val="0"/>
          <w:marTop w:val="0"/>
          <w:marBottom w:val="0"/>
          <w:divBdr>
            <w:top w:val="none" w:sz="0" w:space="0" w:color="auto"/>
            <w:left w:val="none" w:sz="0" w:space="0" w:color="auto"/>
            <w:bottom w:val="none" w:sz="0" w:space="0" w:color="auto"/>
            <w:right w:val="none" w:sz="0" w:space="0" w:color="auto"/>
          </w:divBdr>
        </w:div>
        <w:div w:id="2050494977">
          <w:marLeft w:val="0"/>
          <w:marRight w:val="0"/>
          <w:marTop w:val="0"/>
          <w:marBottom w:val="0"/>
          <w:divBdr>
            <w:top w:val="none" w:sz="0" w:space="0" w:color="auto"/>
            <w:left w:val="none" w:sz="0" w:space="0" w:color="auto"/>
            <w:bottom w:val="none" w:sz="0" w:space="0" w:color="auto"/>
            <w:right w:val="none" w:sz="0" w:space="0" w:color="auto"/>
          </w:divBdr>
        </w:div>
        <w:div w:id="2058435199">
          <w:marLeft w:val="0"/>
          <w:marRight w:val="0"/>
          <w:marTop w:val="0"/>
          <w:marBottom w:val="0"/>
          <w:divBdr>
            <w:top w:val="none" w:sz="0" w:space="0" w:color="auto"/>
            <w:left w:val="none" w:sz="0" w:space="0" w:color="auto"/>
            <w:bottom w:val="none" w:sz="0" w:space="0" w:color="auto"/>
            <w:right w:val="none" w:sz="0" w:space="0" w:color="auto"/>
          </w:divBdr>
        </w:div>
        <w:div w:id="2058777991">
          <w:marLeft w:val="0"/>
          <w:marRight w:val="0"/>
          <w:marTop w:val="0"/>
          <w:marBottom w:val="0"/>
          <w:divBdr>
            <w:top w:val="none" w:sz="0" w:space="0" w:color="auto"/>
            <w:left w:val="none" w:sz="0" w:space="0" w:color="auto"/>
            <w:bottom w:val="none" w:sz="0" w:space="0" w:color="auto"/>
            <w:right w:val="none" w:sz="0" w:space="0" w:color="auto"/>
          </w:divBdr>
        </w:div>
        <w:div w:id="2060010298">
          <w:marLeft w:val="0"/>
          <w:marRight w:val="0"/>
          <w:marTop w:val="0"/>
          <w:marBottom w:val="0"/>
          <w:divBdr>
            <w:top w:val="none" w:sz="0" w:space="0" w:color="auto"/>
            <w:left w:val="none" w:sz="0" w:space="0" w:color="auto"/>
            <w:bottom w:val="none" w:sz="0" w:space="0" w:color="auto"/>
            <w:right w:val="none" w:sz="0" w:space="0" w:color="auto"/>
          </w:divBdr>
        </w:div>
        <w:div w:id="2064136609">
          <w:marLeft w:val="0"/>
          <w:marRight w:val="0"/>
          <w:marTop w:val="0"/>
          <w:marBottom w:val="0"/>
          <w:divBdr>
            <w:top w:val="none" w:sz="0" w:space="0" w:color="auto"/>
            <w:left w:val="none" w:sz="0" w:space="0" w:color="auto"/>
            <w:bottom w:val="none" w:sz="0" w:space="0" w:color="auto"/>
            <w:right w:val="none" w:sz="0" w:space="0" w:color="auto"/>
          </w:divBdr>
        </w:div>
        <w:div w:id="2069721680">
          <w:marLeft w:val="0"/>
          <w:marRight w:val="0"/>
          <w:marTop w:val="0"/>
          <w:marBottom w:val="0"/>
          <w:divBdr>
            <w:top w:val="none" w:sz="0" w:space="0" w:color="auto"/>
            <w:left w:val="none" w:sz="0" w:space="0" w:color="auto"/>
            <w:bottom w:val="none" w:sz="0" w:space="0" w:color="auto"/>
            <w:right w:val="none" w:sz="0" w:space="0" w:color="auto"/>
          </w:divBdr>
        </w:div>
        <w:div w:id="2074692550">
          <w:marLeft w:val="0"/>
          <w:marRight w:val="0"/>
          <w:marTop w:val="0"/>
          <w:marBottom w:val="0"/>
          <w:divBdr>
            <w:top w:val="none" w:sz="0" w:space="0" w:color="auto"/>
            <w:left w:val="none" w:sz="0" w:space="0" w:color="auto"/>
            <w:bottom w:val="none" w:sz="0" w:space="0" w:color="auto"/>
            <w:right w:val="none" w:sz="0" w:space="0" w:color="auto"/>
          </w:divBdr>
        </w:div>
        <w:div w:id="2077509283">
          <w:marLeft w:val="0"/>
          <w:marRight w:val="0"/>
          <w:marTop w:val="0"/>
          <w:marBottom w:val="0"/>
          <w:divBdr>
            <w:top w:val="none" w:sz="0" w:space="0" w:color="auto"/>
            <w:left w:val="none" w:sz="0" w:space="0" w:color="auto"/>
            <w:bottom w:val="none" w:sz="0" w:space="0" w:color="auto"/>
            <w:right w:val="none" w:sz="0" w:space="0" w:color="auto"/>
          </w:divBdr>
        </w:div>
        <w:div w:id="2083797768">
          <w:marLeft w:val="0"/>
          <w:marRight w:val="0"/>
          <w:marTop w:val="0"/>
          <w:marBottom w:val="0"/>
          <w:divBdr>
            <w:top w:val="none" w:sz="0" w:space="0" w:color="auto"/>
            <w:left w:val="none" w:sz="0" w:space="0" w:color="auto"/>
            <w:bottom w:val="none" w:sz="0" w:space="0" w:color="auto"/>
            <w:right w:val="none" w:sz="0" w:space="0" w:color="auto"/>
          </w:divBdr>
        </w:div>
        <w:div w:id="2084525700">
          <w:marLeft w:val="0"/>
          <w:marRight w:val="0"/>
          <w:marTop w:val="0"/>
          <w:marBottom w:val="0"/>
          <w:divBdr>
            <w:top w:val="none" w:sz="0" w:space="0" w:color="auto"/>
            <w:left w:val="none" w:sz="0" w:space="0" w:color="auto"/>
            <w:bottom w:val="none" w:sz="0" w:space="0" w:color="auto"/>
            <w:right w:val="none" w:sz="0" w:space="0" w:color="auto"/>
          </w:divBdr>
        </w:div>
        <w:div w:id="2084639487">
          <w:marLeft w:val="0"/>
          <w:marRight w:val="0"/>
          <w:marTop w:val="0"/>
          <w:marBottom w:val="0"/>
          <w:divBdr>
            <w:top w:val="none" w:sz="0" w:space="0" w:color="auto"/>
            <w:left w:val="none" w:sz="0" w:space="0" w:color="auto"/>
            <w:bottom w:val="none" w:sz="0" w:space="0" w:color="auto"/>
            <w:right w:val="none" w:sz="0" w:space="0" w:color="auto"/>
          </w:divBdr>
        </w:div>
        <w:div w:id="2093894845">
          <w:marLeft w:val="0"/>
          <w:marRight w:val="0"/>
          <w:marTop w:val="0"/>
          <w:marBottom w:val="0"/>
          <w:divBdr>
            <w:top w:val="none" w:sz="0" w:space="0" w:color="auto"/>
            <w:left w:val="none" w:sz="0" w:space="0" w:color="auto"/>
            <w:bottom w:val="none" w:sz="0" w:space="0" w:color="auto"/>
            <w:right w:val="none" w:sz="0" w:space="0" w:color="auto"/>
          </w:divBdr>
        </w:div>
        <w:div w:id="2097052858">
          <w:marLeft w:val="0"/>
          <w:marRight w:val="0"/>
          <w:marTop w:val="0"/>
          <w:marBottom w:val="0"/>
          <w:divBdr>
            <w:top w:val="none" w:sz="0" w:space="0" w:color="auto"/>
            <w:left w:val="none" w:sz="0" w:space="0" w:color="auto"/>
            <w:bottom w:val="none" w:sz="0" w:space="0" w:color="auto"/>
            <w:right w:val="none" w:sz="0" w:space="0" w:color="auto"/>
          </w:divBdr>
        </w:div>
        <w:div w:id="2100709163">
          <w:marLeft w:val="0"/>
          <w:marRight w:val="0"/>
          <w:marTop w:val="0"/>
          <w:marBottom w:val="0"/>
          <w:divBdr>
            <w:top w:val="none" w:sz="0" w:space="0" w:color="auto"/>
            <w:left w:val="none" w:sz="0" w:space="0" w:color="auto"/>
            <w:bottom w:val="none" w:sz="0" w:space="0" w:color="auto"/>
            <w:right w:val="none" w:sz="0" w:space="0" w:color="auto"/>
          </w:divBdr>
        </w:div>
        <w:div w:id="2103842691">
          <w:marLeft w:val="0"/>
          <w:marRight w:val="0"/>
          <w:marTop w:val="0"/>
          <w:marBottom w:val="0"/>
          <w:divBdr>
            <w:top w:val="none" w:sz="0" w:space="0" w:color="auto"/>
            <w:left w:val="none" w:sz="0" w:space="0" w:color="auto"/>
            <w:bottom w:val="none" w:sz="0" w:space="0" w:color="auto"/>
            <w:right w:val="none" w:sz="0" w:space="0" w:color="auto"/>
          </w:divBdr>
        </w:div>
        <w:div w:id="2106144104">
          <w:marLeft w:val="0"/>
          <w:marRight w:val="0"/>
          <w:marTop w:val="0"/>
          <w:marBottom w:val="0"/>
          <w:divBdr>
            <w:top w:val="none" w:sz="0" w:space="0" w:color="auto"/>
            <w:left w:val="none" w:sz="0" w:space="0" w:color="auto"/>
            <w:bottom w:val="none" w:sz="0" w:space="0" w:color="auto"/>
            <w:right w:val="none" w:sz="0" w:space="0" w:color="auto"/>
          </w:divBdr>
        </w:div>
        <w:div w:id="2114131473">
          <w:marLeft w:val="0"/>
          <w:marRight w:val="0"/>
          <w:marTop w:val="0"/>
          <w:marBottom w:val="0"/>
          <w:divBdr>
            <w:top w:val="none" w:sz="0" w:space="0" w:color="auto"/>
            <w:left w:val="none" w:sz="0" w:space="0" w:color="auto"/>
            <w:bottom w:val="none" w:sz="0" w:space="0" w:color="auto"/>
            <w:right w:val="none" w:sz="0" w:space="0" w:color="auto"/>
          </w:divBdr>
        </w:div>
        <w:div w:id="2117476384">
          <w:marLeft w:val="0"/>
          <w:marRight w:val="0"/>
          <w:marTop w:val="0"/>
          <w:marBottom w:val="0"/>
          <w:divBdr>
            <w:top w:val="none" w:sz="0" w:space="0" w:color="auto"/>
            <w:left w:val="none" w:sz="0" w:space="0" w:color="auto"/>
            <w:bottom w:val="none" w:sz="0" w:space="0" w:color="auto"/>
            <w:right w:val="none" w:sz="0" w:space="0" w:color="auto"/>
          </w:divBdr>
        </w:div>
        <w:div w:id="2118520284">
          <w:marLeft w:val="0"/>
          <w:marRight w:val="0"/>
          <w:marTop w:val="0"/>
          <w:marBottom w:val="0"/>
          <w:divBdr>
            <w:top w:val="none" w:sz="0" w:space="0" w:color="auto"/>
            <w:left w:val="none" w:sz="0" w:space="0" w:color="auto"/>
            <w:bottom w:val="none" w:sz="0" w:space="0" w:color="auto"/>
            <w:right w:val="none" w:sz="0" w:space="0" w:color="auto"/>
          </w:divBdr>
        </w:div>
        <w:div w:id="2124690547">
          <w:marLeft w:val="0"/>
          <w:marRight w:val="0"/>
          <w:marTop w:val="0"/>
          <w:marBottom w:val="0"/>
          <w:divBdr>
            <w:top w:val="none" w:sz="0" w:space="0" w:color="auto"/>
            <w:left w:val="none" w:sz="0" w:space="0" w:color="auto"/>
            <w:bottom w:val="none" w:sz="0" w:space="0" w:color="auto"/>
            <w:right w:val="none" w:sz="0" w:space="0" w:color="auto"/>
          </w:divBdr>
        </w:div>
        <w:div w:id="2124839782">
          <w:marLeft w:val="0"/>
          <w:marRight w:val="0"/>
          <w:marTop w:val="0"/>
          <w:marBottom w:val="0"/>
          <w:divBdr>
            <w:top w:val="none" w:sz="0" w:space="0" w:color="auto"/>
            <w:left w:val="none" w:sz="0" w:space="0" w:color="auto"/>
            <w:bottom w:val="none" w:sz="0" w:space="0" w:color="auto"/>
            <w:right w:val="none" w:sz="0" w:space="0" w:color="auto"/>
          </w:divBdr>
        </w:div>
        <w:div w:id="2128623703">
          <w:marLeft w:val="0"/>
          <w:marRight w:val="0"/>
          <w:marTop w:val="0"/>
          <w:marBottom w:val="0"/>
          <w:divBdr>
            <w:top w:val="none" w:sz="0" w:space="0" w:color="auto"/>
            <w:left w:val="none" w:sz="0" w:space="0" w:color="auto"/>
            <w:bottom w:val="none" w:sz="0" w:space="0" w:color="auto"/>
            <w:right w:val="none" w:sz="0" w:space="0" w:color="auto"/>
          </w:divBdr>
        </w:div>
        <w:div w:id="2130002593">
          <w:marLeft w:val="0"/>
          <w:marRight w:val="0"/>
          <w:marTop w:val="0"/>
          <w:marBottom w:val="0"/>
          <w:divBdr>
            <w:top w:val="none" w:sz="0" w:space="0" w:color="auto"/>
            <w:left w:val="none" w:sz="0" w:space="0" w:color="auto"/>
            <w:bottom w:val="none" w:sz="0" w:space="0" w:color="auto"/>
            <w:right w:val="none" w:sz="0" w:space="0" w:color="auto"/>
          </w:divBdr>
        </w:div>
        <w:div w:id="2132360169">
          <w:marLeft w:val="0"/>
          <w:marRight w:val="0"/>
          <w:marTop w:val="0"/>
          <w:marBottom w:val="0"/>
          <w:divBdr>
            <w:top w:val="none" w:sz="0" w:space="0" w:color="auto"/>
            <w:left w:val="none" w:sz="0" w:space="0" w:color="auto"/>
            <w:bottom w:val="none" w:sz="0" w:space="0" w:color="auto"/>
            <w:right w:val="none" w:sz="0" w:space="0" w:color="auto"/>
          </w:divBdr>
        </w:div>
        <w:div w:id="2136098945">
          <w:marLeft w:val="0"/>
          <w:marRight w:val="0"/>
          <w:marTop w:val="0"/>
          <w:marBottom w:val="0"/>
          <w:divBdr>
            <w:top w:val="none" w:sz="0" w:space="0" w:color="auto"/>
            <w:left w:val="none" w:sz="0" w:space="0" w:color="auto"/>
            <w:bottom w:val="none" w:sz="0" w:space="0" w:color="auto"/>
            <w:right w:val="none" w:sz="0" w:space="0" w:color="auto"/>
          </w:divBdr>
        </w:div>
        <w:div w:id="2137285699">
          <w:marLeft w:val="0"/>
          <w:marRight w:val="0"/>
          <w:marTop w:val="0"/>
          <w:marBottom w:val="0"/>
          <w:divBdr>
            <w:top w:val="none" w:sz="0" w:space="0" w:color="auto"/>
            <w:left w:val="none" w:sz="0" w:space="0" w:color="auto"/>
            <w:bottom w:val="none" w:sz="0" w:space="0" w:color="auto"/>
            <w:right w:val="none" w:sz="0" w:space="0" w:color="auto"/>
          </w:divBdr>
        </w:div>
        <w:div w:id="2141024083">
          <w:marLeft w:val="0"/>
          <w:marRight w:val="0"/>
          <w:marTop w:val="0"/>
          <w:marBottom w:val="0"/>
          <w:divBdr>
            <w:top w:val="none" w:sz="0" w:space="0" w:color="auto"/>
            <w:left w:val="none" w:sz="0" w:space="0" w:color="auto"/>
            <w:bottom w:val="none" w:sz="0" w:space="0" w:color="auto"/>
            <w:right w:val="none" w:sz="0" w:space="0" w:color="auto"/>
          </w:divBdr>
        </w:div>
        <w:div w:id="2144501639">
          <w:marLeft w:val="0"/>
          <w:marRight w:val="0"/>
          <w:marTop w:val="0"/>
          <w:marBottom w:val="0"/>
          <w:divBdr>
            <w:top w:val="none" w:sz="0" w:space="0" w:color="auto"/>
            <w:left w:val="none" w:sz="0" w:space="0" w:color="auto"/>
            <w:bottom w:val="none" w:sz="0" w:space="0" w:color="auto"/>
            <w:right w:val="none" w:sz="0" w:space="0" w:color="auto"/>
          </w:divBdr>
        </w:div>
        <w:div w:id="2146467236">
          <w:marLeft w:val="0"/>
          <w:marRight w:val="0"/>
          <w:marTop w:val="0"/>
          <w:marBottom w:val="0"/>
          <w:divBdr>
            <w:top w:val="none" w:sz="0" w:space="0" w:color="auto"/>
            <w:left w:val="none" w:sz="0" w:space="0" w:color="auto"/>
            <w:bottom w:val="none" w:sz="0" w:space="0" w:color="auto"/>
            <w:right w:val="none" w:sz="0" w:space="0" w:color="auto"/>
          </w:divBdr>
        </w:div>
        <w:div w:id="2147308826">
          <w:marLeft w:val="0"/>
          <w:marRight w:val="0"/>
          <w:marTop w:val="0"/>
          <w:marBottom w:val="0"/>
          <w:divBdr>
            <w:top w:val="none" w:sz="0" w:space="0" w:color="auto"/>
            <w:left w:val="none" w:sz="0" w:space="0" w:color="auto"/>
            <w:bottom w:val="none" w:sz="0" w:space="0" w:color="auto"/>
            <w:right w:val="none" w:sz="0" w:space="0" w:color="auto"/>
          </w:divBdr>
        </w:div>
      </w:divsChild>
    </w:div>
    <w:div w:id="1815172180">
      <w:bodyDiv w:val="1"/>
      <w:marLeft w:val="0"/>
      <w:marRight w:val="0"/>
      <w:marTop w:val="0"/>
      <w:marBottom w:val="0"/>
      <w:divBdr>
        <w:top w:val="none" w:sz="0" w:space="0" w:color="auto"/>
        <w:left w:val="none" w:sz="0" w:space="0" w:color="auto"/>
        <w:bottom w:val="none" w:sz="0" w:space="0" w:color="auto"/>
        <w:right w:val="none" w:sz="0" w:space="0" w:color="auto"/>
      </w:divBdr>
    </w:div>
    <w:div w:id="1904369350">
      <w:bodyDiv w:val="1"/>
      <w:marLeft w:val="0"/>
      <w:marRight w:val="0"/>
      <w:marTop w:val="0"/>
      <w:marBottom w:val="0"/>
      <w:divBdr>
        <w:top w:val="none" w:sz="0" w:space="0" w:color="auto"/>
        <w:left w:val="none" w:sz="0" w:space="0" w:color="auto"/>
        <w:bottom w:val="none" w:sz="0" w:space="0" w:color="auto"/>
        <w:right w:val="none" w:sz="0" w:space="0" w:color="auto"/>
      </w:divBdr>
    </w:div>
    <w:div w:id="2026009328">
      <w:bodyDiv w:val="1"/>
      <w:marLeft w:val="0"/>
      <w:marRight w:val="0"/>
      <w:marTop w:val="0"/>
      <w:marBottom w:val="0"/>
      <w:divBdr>
        <w:top w:val="none" w:sz="0" w:space="0" w:color="auto"/>
        <w:left w:val="none" w:sz="0" w:space="0" w:color="auto"/>
        <w:bottom w:val="none" w:sz="0" w:space="0" w:color="auto"/>
        <w:right w:val="none" w:sz="0" w:space="0" w:color="auto"/>
      </w:divBdr>
      <w:divsChild>
        <w:div w:id="786602">
          <w:marLeft w:val="0"/>
          <w:marRight w:val="0"/>
          <w:marTop w:val="0"/>
          <w:marBottom w:val="0"/>
          <w:divBdr>
            <w:top w:val="none" w:sz="0" w:space="0" w:color="auto"/>
            <w:left w:val="none" w:sz="0" w:space="0" w:color="auto"/>
            <w:bottom w:val="none" w:sz="0" w:space="0" w:color="auto"/>
            <w:right w:val="none" w:sz="0" w:space="0" w:color="auto"/>
          </w:divBdr>
        </w:div>
        <w:div w:id="3897334">
          <w:marLeft w:val="0"/>
          <w:marRight w:val="0"/>
          <w:marTop w:val="0"/>
          <w:marBottom w:val="0"/>
          <w:divBdr>
            <w:top w:val="none" w:sz="0" w:space="0" w:color="auto"/>
            <w:left w:val="none" w:sz="0" w:space="0" w:color="auto"/>
            <w:bottom w:val="none" w:sz="0" w:space="0" w:color="auto"/>
            <w:right w:val="none" w:sz="0" w:space="0" w:color="auto"/>
          </w:divBdr>
        </w:div>
        <w:div w:id="15933777">
          <w:marLeft w:val="0"/>
          <w:marRight w:val="0"/>
          <w:marTop w:val="0"/>
          <w:marBottom w:val="0"/>
          <w:divBdr>
            <w:top w:val="none" w:sz="0" w:space="0" w:color="auto"/>
            <w:left w:val="none" w:sz="0" w:space="0" w:color="auto"/>
            <w:bottom w:val="none" w:sz="0" w:space="0" w:color="auto"/>
            <w:right w:val="none" w:sz="0" w:space="0" w:color="auto"/>
          </w:divBdr>
        </w:div>
        <w:div w:id="16396199">
          <w:marLeft w:val="0"/>
          <w:marRight w:val="0"/>
          <w:marTop w:val="0"/>
          <w:marBottom w:val="0"/>
          <w:divBdr>
            <w:top w:val="none" w:sz="0" w:space="0" w:color="auto"/>
            <w:left w:val="none" w:sz="0" w:space="0" w:color="auto"/>
            <w:bottom w:val="none" w:sz="0" w:space="0" w:color="auto"/>
            <w:right w:val="none" w:sz="0" w:space="0" w:color="auto"/>
          </w:divBdr>
        </w:div>
        <w:div w:id="20520772">
          <w:marLeft w:val="0"/>
          <w:marRight w:val="0"/>
          <w:marTop w:val="0"/>
          <w:marBottom w:val="0"/>
          <w:divBdr>
            <w:top w:val="none" w:sz="0" w:space="0" w:color="auto"/>
            <w:left w:val="none" w:sz="0" w:space="0" w:color="auto"/>
            <w:bottom w:val="none" w:sz="0" w:space="0" w:color="auto"/>
            <w:right w:val="none" w:sz="0" w:space="0" w:color="auto"/>
          </w:divBdr>
        </w:div>
        <w:div w:id="23097081">
          <w:marLeft w:val="0"/>
          <w:marRight w:val="0"/>
          <w:marTop w:val="0"/>
          <w:marBottom w:val="0"/>
          <w:divBdr>
            <w:top w:val="none" w:sz="0" w:space="0" w:color="auto"/>
            <w:left w:val="none" w:sz="0" w:space="0" w:color="auto"/>
            <w:bottom w:val="none" w:sz="0" w:space="0" w:color="auto"/>
            <w:right w:val="none" w:sz="0" w:space="0" w:color="auto"/>
          </w:divBdr>
        </w:div>
        <w:div w:id="24409094">
          <w:marLeft w:val="0"/>
          <w:marRight w:val="0"/>
          <w:marTop w:val="0"/>
          <w:marBottom w:val="0"/>
          <w:divBdr>
            <w:top w:val="none" w:sz="0" w:space="0" w:color="auto"/>
            <w:left w:val="none" w:sz="0" w:space="0" w:color="auto"/>
            <w:bottom w:val="none" w:sz="0" w:space="0" w:color="auto"/>
            <w:right w:val="none" w:sz="0" w:space="0" w:color="auto"/>
          </w:divBdr>
        </w:div>
        <w:div w:id="35392210">
          <w:marLeft w:val="0"/>
          <w:marRight w:val="0"/>
          <w:marTop w:val="0"/>
          <w:marBottom w:val="0"/>
          <w:divBdr>
            <w:top w:val="none" w:sz="0" w:space="0" w:color="auto"/>
            <w:left w:val="none" w:sz="0" w:space="0" w:color="auto"/>
            <w:bottom w:val="none" w:sz="0" w:space="0" w:color="auto"/>
            <w:right w:val="none" w:sz="0" w:space="0" w:color="auto"/>
          </w:divBdr>
        </w:div>
        <w:div w:id="36442961">
          <w:marLeft w:val="0"/>
          <w:marRight w:val="0"/>
          <w:marTop w:val="0"/>
          <w:marBottom w:val="0"/>
          <w:divBdr>
            <w:top w:val="none" w:sz="0" w:space="0" w:color="auto"/>
            <w:left w:val="none" w:sz="0" w:space="0" w:color="auto"/>
            <w:bottom w:val="none" w:sz="0" w:space="0" w:color="auto"/>
            <w:right w:val="none" w:sz="0" w:space="0" w:color="auto"/>
          </w:divBdr>
        </w:div>
        <w:div w:id="37975755">
          <w:marLeft w:val="0"/>
          <w:marRight w:val="0"/>
          <w:marTop w:val="0"/>
          <w:marBottom w:val="0"/>
          <w:divBdr>
            <w:top w:val="none" w:sz="0" w:space="0" w:color="auto"/>
            <w:left w:val="none" w:sz="0" w:space="0" w:color="auto"/>
            <w:bottom w:val="none" w:sz="0" w:space="0" w:color="auto"/>
            <w:right w:val="none" w:sz="0" w:space="0" w:color="auto"/>
          </w:divBdr>
        </w:div>
        <w:div w:id="40059814">
          <w:marLeft w:val="0"/>
          <w:marRight w:val="0"/>
          <w:marTop w:val="0"/>
          <w:marBottom w:val="0"/>
          <w:divBdr>
            <w:top w:val="none" w:sz="0" w:space="0" w:color="auto"/>
            <w:left w:val="none" w:sz="0" w:space="0" w:color="auto"/>
            <w:bottom w:val="none" w:sz="0" w:space="0" w:color="auto"/>
            <w:right w:val="none" w:sz="0" w:space="0" w:color="auto"/>
          </w:divBdr>
        </w:div>
        <w:div w:id="42759385">
          <w:marLeft w:val="0"/>
          <w:marRight w:val="0"/>
          <w:marTop w:val="0"/>
          <w:marBottom w:val="0"/>
          <w:divBdr>
            <w:top w:val="none" w:sz="0" w:space="0" w:color="auto"/>
            <w:left w:val="none" w:sz="0" w:space="0" w:color="auto"/>
            <w:bottom w:val="none" w:sz="0" w:space="0" w:color="auto"/>
            <w:right w:val="none" w:sz="0" w:space="0" w:color="auto"/>
          </w:divBdr>
        </w:div>
        <w:div w:id="59906217">
          <w:marLeft w:val="0"/>
          <w:marRight w:val="0"/>
          <w:marTop w:val="0"/>
          <w:marBottom w:val="0"/>
          <w:divBdr>
            <w:top w:val="none" w:sz="0" w:space="0" w:color="auto"/>
            <w:left w:val="none" w:sz="0" w:space="0" w:color="auto"/>
            <w:bottom w:val="none" w:sz="0" w:space="0" w:color="auto"/>
            <w:right w:val="none" w:sz="0" w:space="0" w:color="auto"/>
          </w:divBdr>
        </w:div>
        <w:div w:id="62224705">
          <w:marLeft w:val="0"/>
          <w:marRight w:val="0"/>
          <w:marTop w:val="0"/>
          <w:marBottom w:val="0"/>
          <w:divBdr>
            <w:top w:val="none" w:sz="0" w:space="0" w:color="auto"/>
            <w:left w:val="none" w:sz="0" w:space="0" w:color="auto"/>
            <w:bottom w:val="none" w:sz="0" w:space="0" w:color="auto"/>
            <w:right w:val="none" w:sz="0" w:space="0" w:color="auto"/>
          </w:divBdr>
        </w:div>
        <w:div w:id="62408449">
          <w:marLeft w:val="0"/>
          <w:marRight w:val="0"/>
          <w:marTop w:val="0"/>
          <w:marBottom w:val="0"/>
          <w:divBdr>
            <w:top w:val="none" w:sz="0" w:space="0" w:color="auto"/>
            <w:left w:val="none" w:sz="0" w:space="0" w:color="auto"/>
            <w:bottom w:val="none" w:sz="0" w:space="0" w:color="auto"/>
            <w:right w:val="none" w:sz="0" w:space="0" w:color="auto"/>
          </w:divBdr>
        </w:div>
        <w:div w:id="65879430">
          <w:marLeft w:val="0"/>
          <w:marRight w:val="0"/>
          <w:marTop w:val="0"/>
          <w:marBottom w:val="0"/>
          <w:divBdr>
            <w:top w:val="none" w:sz="0" w:space="0" w:color="auto"/>
            <w:left w:val="none" w:sz="0" w:space="0" w:color="auto"/>
            <w:bottom w:val="none" w:sz="0" w:space="0" w:color="auto"/>
            <w:right w:val="none" w:sz="0" w:space="0" w:color="auto"/>
          </w:divBdr>
        </w:div>
        <w:div w:id="69814535">
          <w:marLeft w:val="0"/>
          <w:marRight w:val="0"/>
          <w:marTop w:val="0"/>
          <w:marBottom w:val="0"/>
          <w:divBdr>
            <w:top w:val="none" w:sz="0" w:space="0" w:color="auto"/>
            <w:left w:val="none" w:sz="0" w:space="0" w:color="auto"/>
            <w:bottom w:val="none" w:sz="0" w:space="0" w:color="auto"/>
            <w:right w:val="none" w:sz="0" w:space="0" w:color="auto"/>
          </w:divBdr>
        </w:div>
        <w:div w:id="71049278">
          <w:marLeft w:val="0"/>
          <w:marRight w:val="0"/>
          <w:marTop w:val="0"/>
          <w:marBottom w:val="0"/>
          <w:divBdr>
            <w:top w:val="none" w:sz="0" w:space="0" w:color="auto"/>
            <w:left w:val="none" w:sz="0" w:space="0" w:color="auto"/>
            <w:bottom w:val="none" w:sz="0" w:space="0" w:color="auto"/>
            <w:right w:val="none" w:sz="0" w:space="0" w:color="auto"/>
          </w:divBdr>
        </w:div>
        <w:div w:id="72359603">
          <w:marLeft w:val="0"/>
          <w:marRight w:val="0"/>
          <w:marTop w:val="0"/>
          <w:marBottom w:val="0"/>
          <w:divBdr>
            <w:top w:val="none" w:sz="0" w:space="0" w:color="auto"/>
            <w:left w:val="none" w:sz="0" w:space="0" w:color="auto"/>
            <w:bottom w:val="none" w:sz="0" w:space="0" w:color="auto"/>
            <w:right w:val="none" w:sz="0" w:space="0" w:color="auto"/>
          </w:divBdr>
        </w:div>
        <w:div w:id="75829507">
          <w:marLeft w:val="0"/>
          <w:marRight w:val="0"/>
          <w:marTop w:val="0"/>
          <w:marBottom w:val="0"/>
          <w:divBdr>
            <w:top w:val="none" w:sz="0" w:space="0" w:color="auto"/>
            <w:left w:val="none" w:sz="0" w:space="0" w:color="auto"/>
            <w:bottom w:val="none" w:sz="0" w:space="0" w:color="auto"/>
            <w:right w:val="none" w:sz="0" w:space="0" w:color="auto"/>
          </w:divBdr>
        </w:div>
        <w:div w:id="77295055">
          <w:marLeft w:val="0"/>
          <w:marRight w:val="0"/>
          <w:marTop w:val="0"/>
          <w:marBottom w:val="0"/>
          <w:divBdr>
            <w:top w:val="none" w:sz="0" w:space="0" w:color="auto"/>
            <w:left w:val="none" w:sz="0" w:space="0" w:color="auto"/>
            <w:bottom w:val="none" w:sz="0" w:space="0" w:color="auto"/>
            <w:right w:val="none" w:sz="0" w:space="0" w:color="auto"/>
          </w:divBdr>
        </w:div>
        <w:div w:id="78795127">
          <w:marLeft w:val="0"/>
          <w:marRight w:val="0"/>
          <w:marTop w:val="0"/>
          <w:marBottom w:val="0"/>
          <w:divBdr>
            <w:top w:val="none" w:sz="0" w:space="0" w:color="auto"/>
            <w:left w:val="none" w:sz="0" w:space="0" w:color="auto"/>
            <w:bottom w:val="none" w:sz="0" w:space="0" w:color="auto"/>
            <w:right w:val="none" w:sz="0" w:space="0" w:color="auto"/>
          </w:divBdr>
        </w:div>
        <w:div w:id="86775680">
          <w:marLeft w:val="0"/>
          <w:marRight w:val="0"/>
          <w:marTop w:val="0"/>
          <w:marBottom w:val="0"/>
          <w:divBdr>
            <w:top w:val="none" w:sz="0" w:space="0" w:color="auto"/>
            <w:left w:val="none" w:sz="0" w:space="0" w:color="auto"/>
            <w:bottom w:val="none" w:sz="0" w:space="0" w:color="auto"/>
            <w:right w:val="none" w:sz="0" w:space="0" w:color="auto"/>
          </w:divBdr>
        </w:div>
        <w:div w:id="87388910">
          <w:marLeft w:val="0"/>
          <w:marRight w:val="0"/>
          <w:marTop w:val="0"/>
          <w:marBottom w:val="0"/>
          <w:divBdr>
            <w:top w:val="none" w:sz="0" w:space="0" w:color="auto"/>
            <w:left w:val="none" w:sz="0" w:space="0" w:color="auto"/>
            <w:bottom w:val="none" w:sz="0" w:space="0" w:color="auto"/>
            <w:right w:val="none" w:sz="0" w:space="0" w:color="auto"/>
          </w:divBdr>
        </w:div>
        <w:div w:id="87431969">
          <w:marLeft w:val="0"/>
          <w:marRight w:val="0"/>
          <w:marTop w:val="0"/>
          <w:marBottom w:val="0"/>
          <w:divBdr>
            <w:top w:val="none" w:sz="0" w:space="0" w:color="auto"/>
            <w:left w:val="none" w:sz="0" w:space="0" w:color="auto"/>
            <w:bottom w:val="none" w:sz="0" w:space="0" w:color="auto"/>
            <w:right w:val="none" w:sz="0" w:space="0" w:color="auto"/>
          </w:divBdr>
        </w:div>
        <w:div w:id="88085923">
          <w:marLeft w:val="0"/>
          <w:marRight w:val="0"/>
          <w:marTop w:val="0"/>
          <w:marBottom w:val="0"/>
          <w:divBdr>
            <w:top w:val="none" w:sz="0" w:space="0" w:color="auto"/>
            <w:left w:val="none" w:sz="0" w:space="0" w:color="auto"/>
            <w:bottom w:val="none" w:sz="0" w:space="0" w:color="auto"/>
            <w:right w:val="none" w:sz="0" w:space="0" w:color="auto"/>
          </w:divBdr>
        </w:div>
        <w:div w:id="89351443">
          <w:marLeft w:val="0"/>
          <w:marRight w:val="0"/>
          <w:marTop w:val="0"/>
          <w:marBottom w:val="0"/>
          <w:divBdr>
            <w:top w:val="none" w:sz="0" w:space="0" w:color="auto"/>
            <w:left w:val="none" w:sz="0" w:space="0" w:color="auto"/>
            <w:bottom w:val="none" w:sz="0" w:space="0" w:color="auto"/>
            <w:right w:val="none" w:sz="0" w:space="0" w:color="auto"/>
          </w:divBdr>
        </w:div>
        <w:div w:id="90903974">
          <w:marLeft w:val="0"/>
          <w:marRight w:val="0"/>
          <w:marTop w:val="0"/>
          <w:marBottom w:val="0"/>
          <w:divBdr>
            <w:top w:val="none" w:sz="0" w:space="0" w:color="auto"/>
            <w:left w:val="none" w:sz="0" w:space="0" w:color="auto"/>
            <w:bottom w:val="none" w:sz="0" w:space="0" w:color="auto"/>
            <w:right w:val="none" w:sz="0" w:space="0" w:color="auto"/>
          </w:divBdr>
        </w:div>
        <w:div w:id="91438953">
          <w:marLeft w:val="0"/>
          <w:marRight w:val="0"/>
          <w:marTop w:val="0"/>
          <w:marBottom w:val="0"/>
          <w:divBdr>
            <w:top w:val="none" w:sz="0" w:space="0" w:color="auto"/>
            <w:left w:val="none" w:sz="0" w:space="0" w:color="auto"/>
            <w:bottom w:val="none" w:sz="0" w:space="0" w:color="auto"/>
            <w:right w:val="none" w:sz="0" w:space="0" w:color="auto"/>
          </w:divBdr>
        </w:div>
        <w:div w:id="96601892">
          <w:marLeft w:val="0"/>
          <w:marRight w:val="0"/>
          <w:marTop w:val="0"/>
          <w:marBottom w:val="0"/>
          <w:divBdr>
            <w:top w:val="none" w:sz="0" w:space="0" w:color="auto"/>
            <w:left w:val="none" w:sz="0" w:space="0" w:color="auto"/>
            <w:bottom w:val="none" w:sz="0" w:space="0" w:color="auto"/>
            <w:right w:val="none" w:sz="0" w:space="0" w:color="auto"/>
          </w:divBdr>
        </w:div>
        <w:div w:id="102188081">
          <w:marLeft w:val="0"/>
          <w:marRight w:val="0"/>
          <w:marTop w:val="0"/>
          <w:marBottom w:val="0"/>
          <w:divBdr>
            <w:top w:val="none" w:sz="0" w:space="0" w:color="auto"/>
            <w:left w:val="none" w:sz="0" w:space="0" w:color="auto"/>
            <w:bottom w:val="none" w:sz="0" w:space="0" w:color="auto"/>
            <w:right w:val="none" w:sz="0" w:space="0" w:color="auto"/>
          </w:divBdr>
        </w:div>
        <w:div w:id="104618543">
          <w:marLeft w:val="0"/>
          <w:marRight w:val="0"/>
          <w:marTop w:val="0"/>
          <w:marBottom w:val="0"/>
          <w:divBdr>
            <w:top w:val="none" w:sz="0" w:space="0" w:color="auto"/>
            <w:left w:val="none" w:sz="0" w:space="0" w:color="auto"/>
            <w:bottom w:val="none" w:sz="0" w:space="0" w:color="auto"/>
            <w:right w:val="none" w:sz="0" w:space="0" w:color="auto"/>
          </w:divBdr>
        </w:div>
        <w:div w:id="108358949">
          <w:marLeft w:val="0"/>
          <w:marRight w:val="0"/>
          <w:marTop w:val="0"/>
          <w:marBottom w:val="0"/>
          <w:divBdr>
            <w:top w:val="none" w:sz="0" w:space="0" w:color="auto"/>
            <w:left w:val="none" w:sz="0" w:space="0" w:color="auto"/>
            <w:bottom w:val="none" w:sz="0" w:space="0" w:color="auto"/>
            <w:right w:val="none" w:sz="0" w:space="0" w:color="auto"/>
          </w:divBdr>
        </w:div>
        <w:div w:id="109976892">
          <w:marLeft w:val="0"/>
          <w:marRight w:val="0"/>
          <w:marTop w:val="0"/>
          <w:marBottom w:val="0"/>
          <w:divBdr>
            <w:top w:val="none" w:sz="0" w:space="0" w:color="auto"/>
            <w:left w:val="none" w:sz="0" w:space="0" w:color="auto"/>
            <w:bottom w:val="none" w:sz="0" w:space="0" w:color="auto"/>
            <w:right w:val="none" w:sz="0" w:space="0" w:color="auto"/>
          </w:divBdr>
        </w:div>
        <w:div w:id="110828210">
          <w:marLeft w:val="0"/>
          <w:marRight w:val="0"/>
          <w:marTop w:val="0"/>
          <w:marBottom w:val="0"/>
          <w:divBdr>
            <w:top w:val="none" w:sz="0" w:space="0" w:color="auto"/>
            <w:left w:val="none" w:sz="0" w:space="0" w:color="auto"/>
            <w:bottom w:val="none" w:sz="0" w:space="0" w:color="auto"/>
            <w:right w:val="none" w:sz="0" w:space="0" w:color="auto"/>
          </w:divBdr>
        </w:div>
        <w:div w:id="112290729">
          <w:marLeft w:val="0"/>
          <w:marRight w:val="0"/>
          <w:marTop w:val="0"/>
          <w:marBottom w:val="0"/>
          <w:divBdr>
            <w:top w:val="none" w:sz="0" w:space="0" w:color="auto"/>
            <w:left w:val="none" w:sz="0" w:space="0" w:color="auto"/>
            <w:bottom w:val="none" w:sz="0" w:space="0" w:color="auto"/>
            <w:right w:val="none" w:sz="0" w:space="0" w:color="auto"/>
          </w:divBdr>
        </w:div>
        <w:div w:id="114718130">
          <w:marLeft w:val="0"/>
          <w:marRight w:val="0"/>
          <w:marTop w:val="0"/>
          <w:marBottom w:val="0"/>
          <w:divBdr>
            <w:top w:val="none" w:sz="0" w:space="0" w:color="auto"/>
            <w:left w:val="none" w:sz="0" w:space="0" w:color="auto"/>
            <w:bottom w:val="none" w:sz="0" w:space="0" w:color="auto"/>
            <w:right w:val="none" w:sz="0" w:space="0" w:color="auto"/>
          </w:divBdr>
        </w:div>
        <w:div w:id="119685600">
          <w:marLeft w:val="0"/>
          <w:marRight w:val="0"/>
          <w:marTop w:val="0"/>
          <w:marBottom w:val="0"/>
          <w:divBdr>
            <w:top w:val="none" w:sz="0" w:space="0" w:color="auto"/>
            <w:left w:val="none" w:sz="0" w:space="0" w:color="auto"/>
            <w:bottom w:val="none" w:sz="0" w:space="0" w:color="auto"/>
            <w:right w:val="none" w:sz="0" w:space="0" w:color="auto"/>
          </w:divBdr>
        </w:div>
        <w:div w:id="127674033">
          <w:marLeft w:val="0"/>
          <w:marRight w:val="0"/>
          <w:marTop w:val="0"/>
          <w:marBottom w:val="0"/>
          <w:divBdr>
            <w:top w:val="none" w:sz="0" w:space="0" w:color="auto"/>
            <w:left w:val="none" w:sz="0" w:space="0" w:color="auto"/>
            <w:bottom w:val="none" w:sz="0" w:space="0" w:color="auto"/>
            <w:right w:val="none" w:sz="0" w:space="0" w:color="auto"/>
          </w:divBdr>
        </w:div>
        <w:div w:id="127937530">
          <w:marLeft w:val="0"/>
          <w:marRight w:val="0"/>
          <w:marTop w:val="0"/>
          <w:marBottom w:val="0"/>
          <w:divBdr>
            <w:top w:val="none" w:sz="0" w:space="0" w:color="auto"/>
            <w:left w:val="none" w:sz="0" w:space="0" w:color="auto"/>
            <w:bottom w:val="none" w:sz="0" w:space="0" w:color="auto"/>
            <w:right w:val="none" w:sz="0" w:space="0" w:color="auto"/>
          </w:divBdr>
        </w:div>
        <w:div w:id="130709125">
          <w:marLeft w:val="0"/>
          <w:marRight w:val="0"/>
          <w:marTop w:val="0"/>
          <w:marBottom w:val="0"/>
          <w:divBdr>
            <w:top w:val="none" w:sz="0" w:space="0" w:color="auto"/>
            <w:left w:val="none" w:sz="0" w:space="0" w:color="auto"/>
            <w:bottom w:val="none" w:sz="0" w:space="0" w:color="auto"/>
            <w:right w:val="none" w:sz="0" w:space="0" w:color="auto"/>
          </w:divBdr>
        </w:div>
        <w:div w:id="131099692">
          <w:marLeft w:val="0"/>
          <w:marRight w:val="0"/>
          <w:marTop w:val="0"/>
          <w:marBottom w:val="0"/>
          <w:divBdr>
            <w:top w:val="none" w:sz="0" w:space="0" w:color="auto"/>
            <w:left w:val="none" w:sz="0" w:space="0" w:color="auto"/>
            <w:bottom w:val="none" w:sz="0" w:space="0" w:color="auto"/>
            <w:right w:val="none" w:sz="0" w:space="0" w:color="auto"/>
          </w:divBdr>
        </w:div>
        <w:div w:id="141773501">
          <w:marLeft w:val="0"/>
          <w:marRight w:val="0"/>
          <w:marTop w:val="0"/>
          <w:marBottom w:val="0"/>
          <w:divBdr>
            <w:top w:val="none" w:sz="0" w:space="0" w:color="auto"/>
            <w:left w:val="none" w:sz="0" w:space="0" w:color="auto"/>
            <w:bottom w:val="none" w:sz="0" w:space="0" w:color="auto"/>
            <w:right w:val="none" w:sz="0" w:space="0" w:color="auto"/>
          </w:divBdr>
        </w:div>
        <w:div w:id="142503767">
          <w:marLeft w:val="0"/>
          <w:marRight w:val="0"/>
          <w:marTop w:val="0"/>
          <w:marBottom w:val="0"/>
          <w:divBdr>
            <w:top w:val="none" w:sz="0" w:space="0" w:color="auto"/>
            <w:left w:val="none" w:sz="0" w:space="0" w:color="auto"/>
            <w:bottom w:val="none" w:sz="0" w:space="0" w:color="auto"/>
            <w:right w:val="none" w:sz="0" w:space="0" w:color="auto"/>
          </w:divBdr>
        </w:div>
        <w:div w:id="145053421">
          <w:marLeft w:val="0"/>
          <w:marRight w:val="0"/>
          <w:marTop w:val="0"/>
          <w:marBottom w:val="0"/>
          <w:divBdr>
            <w:top w:val="none" w:sz="0" w:space="0" w:color="auto"/>
            <w:left w:val="none" w:sz="0" w:space="0" w:color="auto"/>
            <w:bottom w:val="none" w:sz="0" w:space="0" w:color="auto"/>
            <w:right w:val="none" w:sz="0" w:space="0" w:color="auto"/>
          </w:divBdr>
        </w:div>
        <w:div w:id="153692343">
          <w:marLeft w:val="0"/>
          <w:marRight w:val="0"/>
          <w:marTop w:val="0"/>
          <w:marBottom w:val="0"/>
          <w:divBdr>
            <w:top w:val="none" w:sz="0" w:space="0" w:color="auto"/>
            <w:left w:val="none" w:sz="0" w:space="0" w:color="auto"/>
            <w:bottom w:val="none" w:sz="0" w:space="0" w:color="auto"/>
            <w:right w:val="none" w:sz="0" w:space="0" w:color="auto"/>
          </w:divBdr>
        </w:div>
        <w:div w:id="158934038">
          <w:marLeft w:val="0"/>
          <w:marRight w:val="0"/>
          <w:marTop w:val="0"/>
          <w:marBottom w:val="0"/>
          <w:divBdr>
            <w:top w:val="none" w:sz="0" w:space="0" w:color="auto"/>
            <w:left w:val="none" w:sz="0" w:space="0" w:color="auto"/>
            <w:bottom w:val="none" w:sz="0" w:space="0" w:color="auto"/>
            <w:right w:val="none" w:sz="0" w:space="0" w:color="auto"/>
          </w:divBdr>
        </w:div>
        <w:div w:id="163084601">
          <w:marLeft w:val="0"/>
          <w:marRight w:val="0"/>
          <w:marTop w:val="0"/>
          <w:marBottom w:val="0"/>
          <w:divBdr>
            <w:top w:val="none" w:sz="0" w:space="0" w:color="auto"/>
            <w:left w:val="none" w:sz="0" w:space="0" w:color="auto"/>
            <w:bottom w:val="none" w:sz="0" w:space="0" w:color="auto"/>
            <w:right w:val="none" w:sz="0" w:space="0" w:color="auto"/>
          </w:divBdr>
        </w:div>
        <w:div w:id="165639032">
          <w:marLeft w:val="0"/>
          <w:marRight w:val="0"/>
          <w:marTop w:val="0"/>
          <w:marBottom w:val="0"/>
          <w:divBdr>
            <w:top w:val="none" w:sz="0" w:space="0" w:color="auto"/>
            <w:left w:val="none" w:sz="0" w:space="0" w:color="auto"/>
            <w:bottom w:val="none" w:sz="0" w:space="0" w:color="auto"/>
            <w:right w:val="none" w:sz="0" w:space="0" w:color="auto"/>
          </w:divBdr>
        </w:div>
        <w:div w:id="168374770">
          <w:marLeft w:val="0"/>
          <w:marRight w:val="0"/>
          <w:marTop w:val="0"/>
          <w:marBottom w:val="0"/>
          <w:divBdr>
            <w:top w:val="none" w:sz="0" w:space="0" w:color="auto"/>
            <w:left w:val="none" w:sz="0" w:space="0" w:color="auto"/>
            <w:bottom w:val="none" w:sz="0" w:space="0" w:color="auto"/>
            <w:right w:val="none" w:sz="0" w:space="0" w:color="auto"/>
          </w:divBdr>
        </w:div>
        <w:div w:id="171383460">
          <w:marLeft w:val="0"/>
          <w:marRight w:val="0"/>
          <w:marTop w:val="0"/>
          <w:marBottom w:val="0"/>
          <w:divBdr>
            <w:top w:val="none" w:sz="0" w:space="0" w:color="auto"/>
            <w:left w:val="none" w:sz="0" w:space="0" w:color="auto"/>
            <w:bottom w:val="none" w:sz="0" w:space="0" w:color="auto"/>
            <w:right w:val="none" w:sz="0" w:space="0" w:color="auto"/>
          </w:divBdr>
        </w:div>
        <w:div w:id="174806837">
          <w:marLeft w:val="0"/>
          <w:marRight w:val="0"/>
          <w:marTop w:val="0"/>
          <w:marBottom w:val="0"/>
          <w:divBdr>
            <w:top w:val="none" w:sz="0" w:space="0" w:color="auto"/>
            <w:left w:val="none" w:sz="0" w:space="0" w:color="auto"/>
            <w:bottom w:val="none" w:sz="0" w:space="0" w:color="auto"/>
            <w:right w:val="none" w:sz="0" w:space="0" w:color="auto"/>
          </w:divBdr>
        </w:div>
        <w:div w:id="183709780">
          <w:marLeft w:val="0"/>
          <w:marRight w:val="0"/>
          <w:marTop w:val="0"/>
          <w:marBottom w:val="0"/>
          <w:divBdr>
            <w:top w:val="none" w:sz="0" w:space="0" w:color="auto"/>
            <w:left w:val="none" w:sz="0" w:space="0" w:color="auto"/>
            <w:bottom w:val="none" w:sz="0" w:space="0" w:color="auto"/>
            <w:right w:val="none" w:sz="0" w:space="0" w:color="auto"/>
          </w:divBdr>
        </w:div>
        <w:div w:id="187835890">
          <w:marLeft w:val="0"/>
          <w:marRight w:val="0"/>
          <w:marTop w:val="0"/>
          <w:marBottom w:val="0"/>
          <w:divBdr>
            <w:top w:val="none" w:sz="0" w:space="0" w:color="auto"/>
            <w:left w:val="none" w:sz="0" w:space="0" w:color="auto"/>
            <w:bottom w:val="none" w:sz="0" w:space="0" w:color="auto"/>
            <w:right w:val="none" w:sz="0" w:space="0" w:color="auto"/>
          </w:divBdr>
        </w:div>
        <w:div w:id="188875809">
          <w:marLeft w:val="0"/>
          <w:marRight w:val="0"/>
          <w:marTop w:val="0"/>
          <w:marBottom w:val="0"/>
          <w:divBdr>
            <w:top w:val="none" w:sz="0" w:space="0" w:color="auto"/>
            <w:left w:val="none" w:sz="0" w:space="0" w:color="auto"/>
            <w:bottom w:val="none" w:sz="0" w:space="0" w:color="auto"/>
            <w:right w:val="none" w:sz="0" w:space="0" w:color="auto"/>
          </w:divBdr>
        </w:div>
        <w:div w:id="191264141">
          <w:marLeft w:val="0"/>
          <w:marRight w:val="0"/>
          <w:marTop w:val="0"/>
          <w:marBottom w:val="0"/>
          <w:divBdr>
            <w:top w:val="none" w:sz="0" w:space="0" w:color="auto"/>
            <w:left w:val="none" w:sz="0" w:space="0" w:color="auto"/>
            <w:bottom w:val="none" w:sz="0" w:space="0" w:color="auto"/>
            <w:right w:val="none" w:sz="0" w:space="0" w:color="auto"/>
          </w:divBdr>
        </w:div>
        <w:div w:id="196048206">
          <w:marLeft w:val="0"/>
          <w:marRight w:val="0"/>
          <w:marTop w:val="0"/>
          <w:marBottom w:val="0"/>
          <w:divBdr>
            <w:top w:val="none" w:sz="0" w:space="0" w:color="auto"/>
            <w:left w:val="none" w:sz="0" w:space="0" w:color="auto"/>
            <w:bottom w:val="none" w:sz="0" w:space="0" w:color="auto"/>
            <w:right w:val="none" w:sz="0" w:space="0" w:color="auto"/>
          </w:divBdr>
        </w:div>
        <w:div w:id="204221148">
          <w:marLeft w:val="0"/>
          <w:marRight w:val="0"/>
          <w:marTop w:val="0"/>
          <w:marBottom w:val="0"/>
          <w:divBdr>
            <w:top w:val="none" w:sz="0" w:space="0" w:color="auto"/>
            <w:left w:val="none" w:sz="0" w:space="0" w:color="auto"/>
            <w:bottom w:val="none" w:sz="0" w:space="0" w:color="auto"/>
            <w:right w:val="none" w:sz="0" w:space="0" w:color="auto"/>
          </w:divBdr>
        </w:div>
        <w:div w:id="213735578">
          <w:marLeft w:val="0"/>
          <w:marRight w:val="0"/>
          <w:marTop w:val="0"/>
          <w:marBottom w:val="0"/>
          <w:divBdr>
            <w:top w:val="none" w:sz="0" w:space="0" w:color="auto"/>
            <w:left w:val="none" w:sz="0" w:space="0" w:color="auto"/>
            <w:bottom w:val="none" w:sz="0" w:space="0" w:color="auto"/>
            <w:right w:val="none" w:sz="0" w:space="0" w:color="auto"/>
          </w:divBdr>
        </w:div>
        <w:div w:id="214780711">
          <w:marLeft w:val="0"/>
          <w:marRight w:val="0"/>
          <w:marTop w:val="0"/>
          <w:marBottom w:val="0"/>
          <w:divBdr>
            <w:top w:val="none" w:sz="0" w:space="0" w:color="auto"/>
            <w:left w:val="none" w:sz="0" w:space="0" w:color="auto"/>
            <w:bottom w:val="none" w:sz="0" w:space="0" w:color="auto"/>
            <w:right w:val="none" w:sz="0" w:space="0" w:color="auto"/>
          </w:divBdr>
        </w:div>
        <w:div w:id="215162664">
          <w:marLeft w:val="0"/>
          <w:marRight w:val="0"/>
          <w:marTop w:val="0"/>
          <w:marBottom w:val="0"/>
          <w:divBdr>
            <w:top w:val="none" w:sz="0" w:space="0" w:color="auto"/>
            <w:left w:val="none" w:sz="0" w:space="0" w:color="auto"/>
            <w:bottom w:val="none" w:sz="0" w:space="0" w:color="auto"/>
            <w:right w:val="none" w:sz="0" w:space="0" w:color="auto"/>
          </w:divBdr>
        </w:div>
        <w:div w:id="217785533">
          <w:marLeft w:val="0"/>
          <w:marRight w:val="0"/>
          <w:marTop w:val="0"/>
          <w:marBottom w:val="0"/>
          <w:divBdr>
            <w:top w:val="none" w:sz="0" w:space="0" w:color="auto"/>
            <w:left w:val="none" w:sz="0" w:space="0" w:color="auto"/>
            <w:bottom w:val="none" w:sz="0" w:space="0" w:color="auto"/>
            <w:right w:val="none" w:sz="0" w:space="0" w:color="auto"/>
          </w:divBdr>
        </w:div>
        <w:div w:id="217909138">
          <w:marLeft w:val="0"/>
          <w:marRight w:val="0"/>
          <w:marTop w:val="0"/>
          <w:marBottom w:val="0"/>
          <w:divBdr>
            <w:top w:val="none" w:sz="0" w:space="0" w:color="auto"/>
            <w:left w:val="none" w:sz="0" w:space="0" w:color="auto"/>
            <w:bottom w:val="none" w:sz="0" w:space="0" w:color="auto"/>
            <w:right w:val="none" w:sz="0" w:space="0" w:color="auto"/>
          </w:divBdr>
        </w:div>
        <w:div w:id="221018954">
          <w:marLeft w:val="0"/>
          <w:marRight w:val="0"/>
          <w:marTop w:val="0"/>
          <w:marBottom w:val="0"/>
          <w:divBdr>
            <w:top w:val="none" w:sz="0" w:space="0" w:color="auto"/>
            <w:left w:val="none" w:sz="0" w:space="0" w:color="auto"/>
            <w:bottom w:val="none" w:sz="0" w:space="0" w:color="auto"/>
            <w:right w:val="none" w:sz="0" w:space="0" w:color="auto"/>
          </w:divBdr>
        </w:div>
        <w:div w:id="229194450">
          <w:marLeft w:val="0"/>
          <w:marRight w:val="0"/>
          <w:marTop w:val="0"/>
          <w:marBottom w:val="0"/>
          <w:divBdr>
            <w:top w:val="none" w:sz="0" w:space="0" w:color="auto"/>
            <w:left w:val="none" w:sz="0" w:space="0" w:color="auto"/>
            <w:bottom w:val="none" w:sz="0" w:space="0" w:color="auto"/>
            <w:right w:val="none" w:sz="0" w:space="0" w:color="auto"/>
          </w:divBdr>
        </w:div>
        <w:div w:id="229195899">
          <w:marLeft w:val="0"/>
          <w:marRight w:val="0"/>
          <w:marTop w:val="0"/>
          <w:marBottom w:val="0"/>
          <w:divBdr>
            <w:top w:val="none" w:sz="0" w:space="0" w:color="auto"/>
            <w:left w:val="none" w:sz="0" w:space="0" w:color="auto"/>
            <w:bottom w:val="none" w:sz="0" w:space="0" w:color="auto"/>
            <w:right w:val="none" w:sz="0" w:space="0" w:color="auto"/>
          </w:divBdr>
        </w:div>
        <w:div w:id="231477266">
          <w:marLeft w:val="0"/>
          <w:marRight w:val="0"/>
          <w:marTop w:val="0"/>
          <w:marBottom w:val="0"/>
          <w:divBdr>
            <w:top w:val="none" w:sz="0" w:space="0" w:color="auto"/>
            <w:left w:val="none" w:sz="0" w:space="0" w:color="auto"/>
            <w:bottom w:val="none" w:sz="0" w:space="0" w:color="auto"/>
            <w:right w:val="none" w:sz="0" w:space="0" w:color="auto"/>
          </w:divBdr>
        </w:div>
        <w:div w:id="239215052">
          <w:marLeft w:val="0"/>
          <w:marRight w:val="0"/>
          <w:marTop w:val="0"/>
          <w:marBottom w:val="0"/>
          <w:divBdr>
            <w:top w:val="none" w:sz="0" w:space="0" w:color="auto"/>
            <w:left w:val="none" w:sz="0" w:space="0" w:color="auto"/>
            <w:bottom w:val="none" w:sz="0" w:space="0" w:color="auto"/>
            <w:right w:val="none" w:sz="0" w:space="0" w:color="auto"/>
          </w:divBdr>
        </w:div>
        <w:div w:id="247857376">
          <w:marLeft w:val="0"/>
          <w:marRight w:val="0"/>
          <w:marTop w:val="0"/>
          <w:marBottom w:val="0"/>
          <w:divBdr>
            <w:top w:val="none" w:sz="0" w:space="0" w:color="auto"/>
            <w:left w:val="none" w:sz="0" w:space="0" w:color="auto"/>
            <w:bottom w:val="none" w:sz="0" w:space="0" w:color="auto"/>
            <w:right w:val="none" w:sz="0" w:space="0" w:color="auto"/>
          </w:divBdr>
        </w:div>
        <w:div w:id="248854677">
          <w:marLeft w:val="0"/>
          <w:marRight w:val="0"/>
          <w:marTop w:val="0"/>
          <w:marBottom w:val="0"/>
          <w:divBdr>
            <w:top w:val="none" w:sz="0" w:space="0" w:color="auto"/>
            <w:left w:val="none" w:sz="0" w:space="0" w:color="auto"/>
            <w:bottom w:val="none" w:sz="0" w:space="0" w:color="auto"/>
            <w:right w:val="none" w:sz="0" w:space="0" w:color="auto"/>
          </w:divBdr>
        </w:div>
        <w:div w:id="249437050">
          <w:marLeft w:val="0"/>
          <w:marRight w:val="0"/>
          <w:marTop w:val="0"/>
          <w:marBottom w:val="0"/>
          <w:divBdr>
            <w:top w:val="none" w:sz="0" w:space="0" w:color="auto"/>
            <w:left w:val="none" w:sz="0" w:space="0" w:color="auto"/>
            <w:bottom w:val="none" w:sz="0" w:space="0" w:color="auto"/>
            <w:right w:val="none" w:sz="0" w:space="0" w:color="auto"/>
          </w:divBdr>
        </w:div>
        <w:div w:id="250042475">
          <w:marLeft w:val="0"/>
          <w:marRight w:val="0"/>
          <w:marTop w:val="0"/>
          <w:marBottom w:val="0"/>
          <w:divBdr>
            <w:top w:val="none" w:sz="0" w:space="0" w:color="auto"/>
            <w:left w:val="none" w:sz="0" w:space="0" w:color="auto"/>
            <w:bottom w:val="none" w:sz="0" w:space="0" w:color="auto"/>
            <w:right w:val="none" w:sz="0" w:space="0" w:color="auto"/>
          </w:divBdr>
        </w:div>
        <w:div w:id="250237381">
          <w:marLeft w:val="0"/>
          <w:marRight w:val="0"/>
          <w:marTop w:val="0"/>
          <w:marBottom w:val="0"/>
          <w:divBdr>
            <w:top w:val="none" w:sz="0" w:space="0" w:color="auto"/>
            <w:left w:val="none" w:sz="0" w:space="0" w:color="auto"/>
            <w:bottom w:val="none" w:sz="0" w:space="0" w:color="auto"/>
            <w:right w:val="none" w:sz="0" w:space="0" w:color="auto"/>
          </w:divBdr>
        </w:div>
        <w:div w:id="255552637">
          <w:marLeft w:val="0"/>
          <w:marRight w:val="0"/>
          <w:marTop w:val="0"/>
          <w:marBottom w:val="0"/>
          <w:divBdr>
            <w:top w:val="none" w:sz="0" w:space="0" w:color="auto"/>
            <w:left w:val="none" w:sz="0" w:space="0" w:color="auto"/>
            <w:bottom w:val="none" w:sz="0" w:space="0" w:color="auto"/>
            <w:right w:val="none" w:sz="0" w:space="0" w:color="auto"/>
          </w:divBdr>
        </w:div>
        <w:div w:id="257912793">
          <w:marLeft w:val="0"/>
          <w:marRight w:val="0"/>
          <w:marTop w:val="0"/>
          <w:marBottom w:val="0"/>
          <w:divBdr>
            <w:top w:val="none" w:sz="0" w:space="0" w:color="auto"/>
            <w:left w:val="none" w:sz="0" w:space="0" w:color="auto"/>
            <w:bottom w:val="none" w:sz="0" w:space="0" w:color="auto"/>
            <w:right w:val="none" w:sz="0" w:space="0" w:color="auto"/>
          </w:divBdr>
        </w:div>
        <w:div w:id="261450038">
          <w:marLeft w:val="0"/>
          <w:marRight w:val="0"/>
          <w:marTop w:val="0"/>
          <w:marBottom w:val="0"/>
          <w:divBdr>
            <w:top w:val="none" w:sz="0" w:space="0" w:color="auto"/>
            <w:left w:val="none" w:sz="0" w:space="0" w:color="auto"/>
            <w:bottom w:val="none" w:sz="0" w:space="0" w:color="auto"/>
            <w:right w:val="none" w:sz="0" w:space="0" w:color="auto"/>
          </w:divBdr>
        </w:div>
        <w:div w:id="265121532">
          <w:marLeft w:val="0"/>
          <w:marRight w:val="0"/>
          <w:marTop w:val="0"/>
          <w:marBottom w:val="0"/>
          <w:divBdr>
            <w:top w:val="none" w:sz="0" w:space="0" w:color="auto"/>
            <w:left w:val="none" w:sz="0" w:space="0" w:color="auto"/>
            <w:bottom w:val="none" w:sz="0" w:space="0" w:color="auto"/>
            <w:right w:val="none" w:sz="0" w:space="0" w:color="auto"/>
          </w:divBdr>
        </w:div>
        <w:div w:id="270091293">
          <w:marLeft w:val="0"/>
          <w:marRight w:val="0"/>
          <w:marTop w:val="0"/>
          <w:marBottom w:val="0"/>
          <w:divBdr>
            <w:top w:val="none" w:sz="0" w:space="0" w:color="auto"/>
            <w:left w:val="none" w:sz="0" w:space="0" w:color="auto"/>
            <w:bottom w:val="none" w:sz="0" w:space="0" w:color="auto"/>
            <w:right w:val="none" w:sz="0" w:space="0" w:color="auto"/>
          </w:divBdr>
        </w:div>
        <w:div w:id="270170633">
          <w:marLeft w:val="0"/>
          <w:marRight w:val="0"/>
          <w:marTop w:val="0"/>
          <w:marBottom w:val="0"/>
          <w:divBdr>
            <w:top w:val="none" w:sz="0" w:space="0" w:color="auto"/>
            <w:left w:val="none" w:sz="0" w:space="0" w:color="auto"/>
            <w:bottom w:val="none" w:sz="0" w:space="0" w:color="auto"/>
            <w:right w:val="none" w:sz="0" w:space="0" w:color="auto"/>
          </w:divBdr>
        </w:div>
        <w:div w:id="272445321">
          <w:marLeft w:val="0"/>
          <w:marRight w:val="0"/>
          <w:marTop w:val="0"/>
          <w:marBottom w:val="0"/>
          <w:divBdr>
            <w:top w:val="none" w:sz="0" w:space="0" w:color="auto"/>
            <w:left w:val="none" w:sz="0" w:space="0" w:color="auto"/>
            <w:bottom w:val="none" w:sz="0" w:space="0" w:color="auto"/>
            <w:right w:val="none" w:sz="0" w:space="0" w:color="auto"/>
          </w:divBdr>
        </w:div>
        <w:div w:id="274600926">
          <w:marLeft w:val="0"/>
          <w:marRight w:val="0"/>
          <w:marTop w:val="0"/>
          <w:marBottom w:val="0"/>
          <w:divBdr>
            <w:top w:val="none" w:sz="0" w:space="0" w:color="auto"/>
            <w:left w:val="none" w:sz="0" w:space="0" w:color="auto"/>
            <w:bottom w:val="none" w:sz="0" w:space="0" w:color="auto"/>
            <w:right w:val="none" w:sz="0" w:space="0" w:color="auto"/>
          </w:divBdr>
        </w:div>
        <w:div w:id="278266811">
          <w:marLeft w:val="0"/>
          <w:marRight w:val="0"/>
          <w:marTop w:val="0"/>
          <w:marBottom w:val="0"/>
          <w:divBdr>
            <w:top w:val="none" w:sz="0" w:space="0" w:color="auto"/>
            <w:left w:val="none" w:sz="0" w:space="0" w:color="auto"/>
            <w:bottom w:val="none" w:sz="0" w:space="0" w:color="auto"/>
            <w:right w:val="none" w:sz="0" w:space="0" w:color="auto"/>
          </w:divBdr>
        </w:div>
        <w:div w:id="281035138">
          <w:marLeft w:val="0"/>
          <w:marRight w:val="0"/>
          <w:marTop w:val="0"/>
          <w:marBottom w:val="0"/>
          <w:divBdr>
            <w:top w:val="none" w:sz="0" w:space="0" w:color="auto"/>
            <w:left w:val="none" w:sz="0" w:space="0" w:color="auto"/>
            <w:bottom w:val="none" w:sz="0" w:space="0" w:color="auto"/>
            <w:right w:val="none" w:sz="0" w:space="0" w:color="auto"/>
          </w:divBdr>
        </w:div>
        <w:div w:id="285743437">
          <w:marLeft w:val="0"/>
          <w:marRight w:val="0"/>
          <w:marTop w:val="0"/>
          <w:marBottom w:val="0"/>
          <w:divBdr>
            <w:top w:val="none" w:sz="0" w:space="0" w:color="auto"/>
            <w:left w:val="none" w:sz="0" w:space="0" w:color="auto"/>
            <w:bottom w:val="none" w:sz="0" w:space="0" w:color="auto"/>
            <w:right w:val="none" w:sz="0" w:space="0" w:color="auto"/>
          </w:divBdr>
        </w:div>
        <w:div w:id="289362583">
          <w:marLeft w:val="0"/>
          <w:marRight w:val="0"/>
          <w:marTop w:val="0"/>
          <w:marBottom w:val="0"/>
          <w:divBdr>
            <w:top w:val="none" w:sz="0" w:space="0" w:color="auto"/>
            <w:left w:val="none" w:sz="0" w:space="0" w:color="auto"/>
            <w:bottom w:val="none" w:sz="0" w:space="0" w:color="auto"/>
            <w:right w:val="none" w:sz="0" w:space="0" w:color="auto"/>
          </w:divBdr>
        </w:div>
        <w:div w:id="297150834">
          <w:marLeft w:val="0"/>
          <w:marRight w:val="0"/>
          <w:marTop w:val="0"/>
          <w:marBottom w:val="0"/>
          <w:divBdr>
            <w:top w:val="none" w:sz="0" w:space="0" w:color="auto"/>
            <w:left w:val="none" w:sz="0" w:space="0" w:color="auto"/>
            <w:bottom w:val="none" w:sz="0" w:space="0" w:color="auto"/>
            <w:right w:val="none" w:sz="0" w:space="0" w:color="auto"/>
          </w:divBdr>
        </w:div>
        <w:div w:id="298147872">
          <w:marLeft w:val="0"/>
          <w:marRight w:val="0"/>
          <w:marTop w:val="0"/>
          <w:marBottom w:val="0"/>
          <w:divBdr>
            <w:top w:val="none" w:sz="0" w:space="0" w:color="auto"/>
            <w:left w:val="none" w:sz="0" w:space="0" w:color="auto"/>
            <w:bottom w:val="none" w:sz="0" w:space="0" w:color="auto"/>
            <w:right w:val="none" w:sz="0" w:space="0" w:color="auto"/>
          </w:divBdr>
        </w:div>
        <w:div w:id="304044718">
          <w:marLeft w:val="0"/>
          <w:marRight w:val="0"/>
          <w:marTop w:val="0"/>
          <w:marBottom w:val="0"/>
          <w:divBdr>
            <w:top w:val="none" w:sz="0" w:space="0" w:color="auto"/>
            <w:left w:val="none" w:sz="0" w:space="0" w:color="auto"/>
            <w:bottom w:val="none" w:sz="0" w:space="0" w:color="auto"/>
            <w:right w:val="none" w:sz="0" w:space="0" w:color="auto"/>
          </w:divBdr>
        </w:div>
        <w:div w:id="306664487">
          <w:marLeft w:val="0"/>
          <w:marRight w:val="0"/>
          <w:marTop w:val="0"/>
          <w:marBottom w:val="0"/>
          <w:divBdr>
            <w:top w:val="none" w:sz="0" w:space="0" w:color="auto"/>
            <w:left w:val="none" w:sz="0" w:space="0" w:color="auto"/>
            <w:bottom w:val="none" w:sz="0" w:space="0" w:color="auto"/>
            <w:right w:val="none" w:sz="0" w:space="0" w:color="auto"/>
          </w:divBdr>
        </w:div>
        <w:div w:id="307444414">
          <w:marLeft w:val="0"/>
          <w:marRight w:val="0"/>
          <w:marTop w:val="0"/>
          <w:marBottom w:val="0"/>
          <w:divBdr>
            <w:top w:val="none" w:sz="0" w:space="0" w:color="auto"/>
            <w:left w:val="none" w:sz="0" w:space="0" w:color="auto"/>
            <w:bottom w:val="none" w:sz="0" w:space="0" w:color="auto"/>
            <w:right w:val="none" w:sz="0" w:space="0" w:color="auto"/>
          </w:divBdr>
        </w:div>
        <w:div w:id="307561499">
          <w:marLeft w:val="0"/>
          <w:marRight w:val="0"/>
          <w:marTop w:val="0"/>
          <w:marBottom w:val="0"/>
          <w:divBdr>
            <w:top w:val="none" w:sz="0" w:space="0" w:color="auto"/>
            <w:left w:val="none" w:sz="0" w:space="0" w:color="auto"/>
            <w:bottom w:val="none" w:sz="0" w:space="0" w:color="auto"/>
            <w:right w:val="none" w:sz="0" w:space="0" w:color="auto"/>
          </w:divBdr>
        </w:div>
        <w:div w:id="311180434">
          <w:marLeft w:val="0"/>
          <w:marRight w:val="0"/>
          <w:marTop w:val="0"/>
          <w:marBottom w:val="0"/>
          <w:divBdr>
            <w:top w:val="none" w:sz="0" w:space="0" w:color="auto"/>
            <w:left w:val="none" w:sz="0" w:space="0" w:color="auto"/>
            <w:bottom w:val="none" w:sz="0" w:space="0" w:color="auto"/>
            <w:right w:val="none" w:sz="0" w:space="0" w:color="auto"/>
          </w:divBdr>
        </w:div>
        <w:div w:id="312417426">
          <w:marLeft w:val="0"/>
          <w:marRight w:val="0"/>
          <w:marTop w:val="0"/>
          <w:marBottom w:val="0"/>
          <w:divBdr>
            <w:top w:val="none" w:sz="0" w:space="0" w:color="auto"/>
            <w:left w:val="none" w:sz="0" w:space="0" w:color="auto"/>
            <w:bottom w:val="none" w:sz="0" w:space="0" w:color="auto"/>
            <w:right w:val="none" w:sz="0" w:space="0" w:color="auto"/>
          </w:divBdr>
        </w:div>
        <w:div w:id="314645469">
          <w:marLeft w:val="0"/>
          <w:marRight w:val="0"/>
          <w:marTop w:val="0"/>
          <w:marBottom w:val="0"/>
          <w:divBdr>
            <w:top w:val="none" w:sz="0" w:space="0" w:color="auto"/>
            <w:left w:val="none" w:sz="0" w:space="0" w:color="auto"/>
            <w:bottom w:val="none" w:sz="0" w:space="0" w:color="auto"/>
            <w:right w:val="none" w:sz="0" w:space="0" w:color="auto"/>
          </w:divBdr>
        </w:div>
        <w:div w:id="326596669">
          <w:marLeft w:val="0"/>
          <w:marRight w:val="0"/>
          <w:marTop w:val="0"/>
          <w:marBottom w:val="0"/>
          <w:divBdr>
            <w:top w:val="none" w:sz="0" w:space="0" w:color="auto"/>
            <w:left w:val="none" w:sz="0" w:space="0" w:color="auto"/>
            <w:bottom w:val="none" w:sz="0" w:space="0" w:color="auto"/>
            <w:right w:val="none" w:sz="0" w:space="0" w:color="auto"/>
          </w:divBdr>
        </w:div>
        <w:div w:id="327513757">
          <w:marLeft w:val="0"/>
          <w:marRight w:val="0"/>
          <w:marTop w:val="0"/>
          <w:marBottom w:val="0"/>
          <w:divBdr>
            <w:top w:val="none" w:sz="0" w:space="0" w:color="auto"/>
            <w:left w:val="none" w:sz="0" w:space="0" w:color="auto"/>
            <w:bottom w:val="none" w:sz="0" w:space="0" w:color="auto"/>
            <w:right w:val="none" w:sz="0" w:space="0" w:color="auto"/>
          </w:divBdr>
        </w:div>
        <w:div w:id="330065151">
          <w:marLeft w:val="0"/>
          <w:marRight w:val="0"/>
          <w:marTop w:val="0"/>
          <w:marBottom w:val="0"/>
          <w:divBdr>
            <w:top w:val="none" w:sz="0" w:space="0" w:color="auto"/>
            <w:left w:val="none" w:sz="0" w:space="0" w:color="auto"/>
            <w:bottom w:val="none" w:sz="0" w:space="0" w:color="auto"/>
            <w:right w:val="none" w:sz="0" w:space="0" w:color="auto"/>
          </w:divBdr>
        </w:div>
        <w:div w:id="331570281">
          <w:marLeft w:val="0"/>
          <w:marRight w:val="0"/>
          <w:marTop w:val="0"/>
          <w:marBottom w:val="0"/>
          <w:divBdr>
            <w:top w:val="none" w:sz="0" w:space="0" w:color="auto"/>
            <w:left w:val="none" w:sz="0" w:space="0" w:color="auto"/>
            <w:bottom w:val="none" w:sz="0" w:space="0" w:color="auto"/>
            <w:right w:val="none" w:sz="0" w:space="0" w:color="auto"/>
          </w:divBdr>
        </w:div>
        <w:div w:id="331684938">
          <w:marLeft w:val="0"/>
          <w:marRight w:val="0"/>
          <w:marTop w:val="0"/>
          <w:marBottom w:val="0"/>
          <w:divBdr>
            <w:top w:val="none" w:sz="0" w:space="0" w:color="auto"/>
            <w:left w:val="none" w:sz="0" w:space="0" w:color="auto"/>
            <w:bottom w:val="none" w:sz="0" w:space="0" w:color="auto"/>
            <w:right w:val="none" w:sz="0" w:space="0" w:color="auto"/>
          </w:divBdr>
        </w:div>
        <w:div w:id="334573969">
          <w:marLeft w:val="0"/>
          <w:marRight w:val="0"/>
          <w:marTop w:val="0"/>
          <w:marBottom w:val="0"/>
          <w:divBdr>
            <w:top w:val="none" w:sz="0" w:space="0" w:color="auto"/>
            <w:left w:val="none" w:sz="0" w:space="0" w:color="auto"/>
            <w:bottom w:val="none" w:sz="0" w:space="0" w:color="auto"/>
            <w:right w:val="none" w:sz="0" w:space="0" w:color="auto"/>
          </w:divBdr>
        </w:div>
        <w:div w:id="334959668">
          <w:marLeft w:val="0"/>
          <w:marRight w:val="0"/>
          <w:marTop w:val="0"/>
          <w:marBottom w:val="0"/>
          <w:divBdr>
            <w:top w:val="none" w:sz="0" w:space="0" w:color="auto"/>
            <w:left w:val="none" w:sz="0" w:space="0" w:color="auto"/>
            <w:bottom w:val="none" w:sz="0" w:space="0" w:color="auto"/>
            <w:right w:val="none" w:sz="0" w:space="0" w:color="auto"/>
          </w:divBdr>
        </w:div>
        <w:div w:id="346372891">
          <w:marLeft w:val="0"/>
          <w:marRight w:val="0"/>
          <w:marTop w:val="0"/>
          <w:marBottom w:val="0"/>
          <w:divBdr>
            <w:top w:val="none" w:sz="0" w:space="0" w:color="auto"/>
            <w:left w:val="none" w:sz="0" w:space="0" w:color="auto"/>
            <w:bottom w:val="none" w:sz="0" w:space="0" w:color="auto"/>
            <w:right w:val="none" w:sz="0" w:space="0" w:color="auto"/>
          </w:divBdr>
        </w:div>
        <w:div w:id="350956509">
          <w:marLeft w:val="0"/>
          <w:marRight w:val="0"/>
          <w:marTop w:val="0"/>
          <w:marBottom w:val="0"/>
          <w:divBdr>
            <w:top w:val="none" w:sz="0" w:space="0" w:color="auto"/>
            <w:left w:val="none" w:sz="0" w:space="0" w:color="auto"/>
            <w:bottom w:val="none" w:sz="0" w:space="0" w:color="auto"/>
            <w:right w:val="none" w:sz="0" w:space="0" w:color="auto"/>
          </w:divBdr>
        </w:div>
        <w:div w:id="353187773">
          <w:marLeft w:val="0"/>
          <w:marRight w:val="0"/>
          <w:marTop w:val="0"/>
          <w:marBottom w:val="0"/>
          <w:divBdr>
            <w:top w:val="none" w:sz="0" w:space="0" w:color="auto"/>
            <w:left w:val="none" w:sz="0" w:space="0" w:color="auto"/>
            <w:bottom w:val="none" w:sz="0" w:space="0" w:color="auto"/>
            <w:right w:val="none" w:sz="0" w:space="0" w:color="auto"/>
          </w:divBdr>
        </w:div>
        <w:div w:id="354580529">
          <w:marLeft w:val="0"/>
          <w:marRight w:val="0"/>
          <w:marTop w:val="0"/>
          <w:marBottom w:val="0"/>
          <w:divBdr>
            <w:top w:val="none" w:sz="0" w:space="0" w:color="auto"/>
            <w:left w:val="none" w:sz="0" w:space="0" w:color="auto"/>
            <w:bottom w:val="none" w:sz="0" w:space="0" w:color="auto"/>
            <w:right w:val="none" w:sz="0" w:space="0" w:color="auto"/>
          </w:divBdr>
        </w:div>
        <w:div w:id="355468935">
          <w:marLeft w:val="0"/>
          <w:marRight w:val="0"/>
          <w:marTop w:val="0"/>
          <w:marBottom w:val="0"/>
          <w:divBdr>
            <w:top w:val="none" w:sz="0" w:space="0" w:color="auto"/>
            <w:left w:val="none" w:sz="0" w:space="0" w:color="auto"/>
            <w:bottom w:val="none" w:sz="0" w:space="0" w:color="auto"/>
            <w:right w:val="none" w:sz="0" w:space="0" w:color="auto"/>
          </w:divBdr>
        </w:div>
        <w:div w:id="362244664">
          <w:marLeft w:val="0"/>
          <w:marRight w:val="0"/>
          <w:marTop w:val="0"/>
          <w:marBottom w:val="0"/>
          <w:divBdr>
            <w:top w:val="none" w:sz="0" w:space="0" w:color="auto"/>
            <w:left w:val="none" w:sz="0" w:space="0" w:color="auto"/>
            <w:bottom w:val="none" w:sz="0" w:space="0" w:color="auto"/>
            <w:right w:val="none" w:sz="0" w:space="0" w:color="auto"/>
          </w:divBdr>
        </w:div>
        <w:div w:id="376316367">
          <w:marLeft w:val="0"/>
          <w:marRight w:val="0"/>
          <w:marTop w:val="0"/>
          <w:marBottom w:val="0"/>
          <w:divBdr>
            <w:top w:val="none" w:sz="0" w:space="0" w:color="auto"/>
            <w:left w:val="none" w:sz="0" w:space="0" w:color="auto"/>
            <w:bottom w:val="none" w:sz="0" w:space="0" w:color="auto"/>
            <w:right w:val="none" w:sz="0" w:space="0" w:color="auto"/>
          </w:divBdr>
        </w:div>
        <w:div w:id="380591824">
          <w:marLeft w:val="0"/>
          <w:marRight w:val="0"/>
          <w:marTop w:val="0"/>
          <w:marBottom w:val="0"/>
          <w:divBdr>
            <w:top w:val="none" w:sz="0" w:space="0" w:color="auto"/>
            <w:left w:val="none" w:sz="0" w:space="0" w:color="auto"/>
            <w:bottom w:val="none" w:sz="0" w:space="0" w:color="auto"/>
            <w:right w:val="none" w:sz="0" w:space="0" w:color="auto"/>
          </w:divBdr>
        </w:div>
        <w:div w:id="382291164">
          <w:marLeft w:val="0"/>
          <w:marRight w:val="0"/>
          <w:marTop w:val="0"/>
          <w:marBottom w:val="0"/>
          <w:divBdr>
            <w:top w:val="none" w:sz="0" w:space="0" w:color="auto"/>
            <w:left w:val="none" w:sz="0" w:space="0" w:color="auto"/>
            <w:bottom w:val="none" w:sz="0" w:space="0" w:color="auto"/>
            <w:right w:val="none" w:sz="0" w:space="0" w:color="auto"/>
          </w:divBdr>
        </w:div>
        <w:div w:id="383914805">
          <w:marLeft w:val="0"/>
          <w:marRight w:val="0"/>
          <w:marTop w:val="0"/>
          <w:marBottom w:val="0"/>
          <w:divBdr>
            <w:top w:val="none" w:sz="0" w:space="0" w:color="auto"/>
            <w:left w:val="none" w:sz="0" w:space="0" w:color="auto"/>
            <w:bottom w:val="none" w:sz="0" w:space="0" w:color="auto"/>
            <w:right w:val="none" w:sz="0" w:space="0" w:color="auto"/>
          </w:divBdr>
        </w:div>
        <w:div w:id="384524965">
          <w:marLeft w:val="0"/>
          <w:marRight w:val="0"/>
          <w:marTop w:val="0"/>
          <w:marBottom w:val="0"/>
          <w:divBdr>
            <w:top w:val="none" w:sz="0" w:space="0" w:color="auto"/>
            <w:left w:val="none" w:sz="0" w:space="0" w:color="auto"/>
            <w:bottom w:val="none" w:sz="0" w:space="0" w:color="auto"/>
            <w:right w:val="none" w:sz="0" w:space="0" w:color="auto"/>
          </w:divBdr>
        </w:div>
        <w:div w:id="386144251">
          <w:marLeft w:val="0"/>
          <w:marRight w:val="0"/>
          <w:marTop w:val="0"/>
          <w:marBottom w:val="0"/>
          <w:divBdr>
            <w:top w:val="none" w:sz="0" w:space="0" w:color="auto"/>
            <w:left w:val="none" w:sz="0" w:space="0" w:color="auto"/>
            <w:bottom w:val="none" w:sz="0" w:space="0" w:color="auto"/>
            <w:right w:val="none" w:sz="0" w:space="0" w:color="auto"/>
          </w:divBdr>
        </w:div>
        <w:div w:id="387846957">
          <w:marLeft w:val="0"/>
          <w:marRight w:val="0"/>
          <w:marTop w:val="0"/>
          <w:marBottom w:val="0"/>
          <w:divBdr>
            <w:top w:val="none" w:sz="0" w:space="0" w:color="auto"/>
            <w:left w:val="none" w:sz="0" w:space="0" w:color="auto"/>
            <w:bottom w:val="none" w:sz="0" w:space="0" w:color="auto"/>
            <w:right w:val="none" w:sz="0" w:space="0" w:color="auto"/>
          </w:divBdr>
        </w:div>
        <w:div w:id="388068546">
          <w:marLeft w:val="0"/>
          <w:marRight w:val="0"/>
          <w:marTop w:val="0"/>
          <w:marBottom w:val="0"/>
          <w:divBdr>
            <w:top w:val="none" w:sz="0" w:space="0" w:color="auto"/>
            <w:left w:val="none" w:sz="0" w:space="0" w:color="auto"/>
            <w:bottom w:val="none" w:sz="0" w:space="0" w:color="auto"/>
            <w:right w:val="none" w:sz="0" w:space="0" w:color="auto"/>
          </w:divBdr>
        </w:div>
        <w:div w:id="388725316">
          <w:marLeft w:val="0"/>
          <w:marRight w:val="0"/>
          <w:marTop w:val="0"/>
          <w:marBottom w:val="0"/>
          <w:divBdr>
            <w:top w:val="none" w:sz="0" w:space="0" w:color="auto"/>
            <w:left w:val="none" w:sz="0" w:space="0" w:color="auto"/>
            <w:bottom w:val="none" w:sz="0" w:space="0" w:color="auto"/>
            <w:right w:val="none" w:sz="0" w:space="0" w:color="auto"/>
          </w:divBdr>
        </w:div>
        <w:div w:id="389231777">
          <w:marLeft w:val="0"/>
          <w:marRight w:val="0"/>
          <w:marTop w:val="0"/>
          <w:marBottom w:val="0"/>
          <w:divBdr>
            <w:top w:val="none" w:sz="0" w:space="0" w:color="auto"/>
            <w:left w:val="none" w:sz="0" w:space="0" w:color="auto"/>
            <w:bottom w:val="none" w:sz="0" w:space="0" w:color="auto"/>
            <w:right w:val="none" w:sz="0" w:space="0" w:color="auto"/>
          </w:divBdr>
        </w:div>
        <w:div w:id="395397324">
          <w:marLeft w:val="0"/>
          <w:marRight w:val="0"/>
          <w:marTop w:val="0"/>
          <w:marBottom w:val="0"/>
          <w:divBdr>
            <w:top w:val="none" w:sz="0" w:space="0" w:color="auto"/>
            <w:left w:val="none" w:sz="0" w:space="0" w:color="auto"/>
            <w:bottom w:val="none" w:sz="0" w:space="0" w:color="auto"/>
            <w:right w:val="none" w:sz="0" w:space="0" w:color="auto"/>
          </w:divBdr>
        </w:div>
        <w:div w:id="403454944">
          <w:marLeft w:val="0"/>
          <w:marRight w:val="0"/>
          <w:marTop w:val="0"/>
          <w:marBottom w:val="0"/>
          <w:divBdr>
            <w:top w:val="none" w:sz="0" w:space="0" w:color="auto"/>
            <w:left w:val="none" w:sz="0" w:space="0" w:color="auto"/>
            <w:bottom w:val="none" w:sz="0" w:space="0" w:color="auto"/>
            <w:right w:val="none" w:sz="0" w:space="0" w:color="auto"/>
          </w:divBdr>
        </w:div>
        <w:div w:id="403920796">
          <w:marLeft w:val="0"/>
          <w:marRight w:val="0"/>
          <w:marTop w:val="0"/>
          <w:marBottom w:val="0"/>
          <w:divBdr>
            <w:top w:val="none" w:sz="0" w:space="0" w:color="auto"/>
            <w:left w:val="none" w:sz="0" w:space="0" w:color="auto"/>
            <w:bottom w:val="none" w:sz="0" w:space="0" w:color="auto"/>
            <w:right w:val="none" w:sz="0" w:space="0" w:color="auto"/>
          </w:divBdr>
        </w:div>
        <w:div w:id="404766712">
          <w:marLeft w:val="0"/>
          <w:marRight w:val="0"/>
          <w:marTop w:val="0"/>
          <w:marBottom w:val="0"/>
          <w:divBdr>
            <w:top w:val="none" w:sz="0" w:space="0" w:color="auto"/>
            <w:left w:val="none" w:sz="0" w:space="0" w:color="auto"/>
            <w:bottom w:val="none" w:sz="0" w:space="0" w:color="auto"/>
            <w:right w:val="none" w:sz="0" w:space="0" w:color="auto"/>
          </w:divBdr>
        </w:div>
        <w:div w:id="406272897">
          <w:marLeft w:val="0"/>
          <w:marRight w:val="0"/>
          <w:marTop w:val="0"/>
          <w:marBottom w:val="0"/>
          <w:divBdr>
            <w:top w:val="none" w:sz="0" w:space="0" w:color="auto"/>
            <w:left w:val="none" w:sz="0" w:space="0" w:color="auto"/>
            <w:bottom w:val="none" w:sz="0" w:space="0" w:color="auto"/>
            <w:right w:val="none" w:sz="0" w:space="0" w:color="auto"/>
          </w:divBdr>
        </w:div>
        <w:div w:id="414744373">
          <w:marLeft w:val="0"/>
          <w:marRight w:val="0"/>
          <w:marTop w:val="0"/>
          <w:marBottom w:val="0"/>
          <w:divBdr>
            <w:top w:val="none" w:sz="0" w:space="0" w:color="auto"/>
            <w:left w:val="none" w:sz="0" w:space="0" w:color="auto"/>
            <w:bottom w:val="none" w:sz="0" w:space="0" w:color="auto"/>
            <w:right w:val="none" w:sz="0" w:space="0" w:color="auto"/>
          </w:divBdr>
        </w:div>
        <w:div w:id="420491933">
          <w:marLeft w:val="0"/>
          <w:marRight w:val="0"/>
          <w:marTop w:val="0"/>
          <w:marBottom w:val="0"/>
          <w:divBdr>
            <w:top w:val="none" w:sz="0" w:space="0" w:color="auto"/>
            <w:left w:val="none" w:sz="0" w:space="0" w:color="auto"/>
            <w:bottom w:val="none" w:sz="0" w:space="0" w:color="auto"/>
            <w:right w:val="none" w:sz="0" w:space="0" w:color="auto"/>
          </w:divBdr>
        </w:div>
        <w:div w:id="421342332">
          <w:marLeft w:val="0"/>
          <w:marRight w:val="0"/>
          <w:marTop w:val="0"/>
          <w:marBottom w:val="0"/>
          <w:divBdr>
            <w:top w:val="none" w:sz="0" w:space="0" w:color="auto"/>
            <w:left w:val="none" w:sz="0" w:space="0" w:color="auto"/>
            <w:bottom w:val="none" w:sz="0" w:space="0" w:color="auto"/>
            <w:right w:val="none" w:sz="0" w:space="0" w:color="auto"/>
          </w:divBdr>
        </w:div>
        <w:div w:id="421462370">
          <w:marLeft w:val="0"/>
          <w:marRight w:val="0"/>
          <w:marTop w:val="0"/>
          <w:marBottom w:val="0"/>
          <w:divBdr>
            <w:top w:val="none" w:sz="0" w:space="0" w:color="auto"/>
            <w:left w:val="none" w:sz="0" w:space="0" w:color="auto"/>
            <w:bottom w:val="none" w:sz="0" w:space="0" w:color="auto"/>
            <w:right w:val="none" w:sz="0" w:space="0" w:color="auto"/>
          </w:divBdr>
        </w:div>
        <w:div w:id="424347155">
          <w:marLeft w:val="0"/>
          <w:marRight w:val="0"/>
          <w:marTop w:val="0"/>
          <w:marBottom w:val="0"/>
          <w:divBdr>
            <w:top w:val="none" w:sz="0" w:space="0" w:color="auto"/>
            <w:left w:val="none" w:sz="0" w:space="0" w:color="auto"/>
            <w:bottom w:val="none" w:sz="0" w:space="0" w:color="auto"/>
            <w:right w:val="none" w:sz="0" w:space="0" w:color="auto"/>
          </w:divBdr>
        </w:div>
        <w:div w:id="424955743">
          <w:marLeft w:val="0"/>
          <w:marRight w:val="0"/>
          <w:marTop w:val="0"/>
          <w:marBottom w:val="0"/>
          <w:divBdr>
            <w:top w:val="none" w:sz="0" w:space="0" w:color="auto"/>
            <w:left w:val="none" w:sz="0" w:space="0" w:color="auto"/>
            <w:bottom w:val="none" w:sz="0" w:space="0" w:color="auto"/>
            <w:right w:val="none" w:sz="0" w:space="0" w:color="auto"/>
          </w:divBdr>
        </w:div>
        <w:div w:id="427193536">
          <w:marLeft w:val="0"/>
          <w:marRight w:val="0"/>
          <w:marTop w:val="0"/>
          <w:marBottom w:val="0"/>
          <w:divBdr>
            <w:top w:val="none" w:sz="0" w:space="0" w:color="auto"/>
            <w:left w:val="none" w:sz="0" w:space="0" w:color="auto"/>
            <w:bottom w:val="none" w:sz="0" w:space="0" w:color="auto"/>
            <w:right w:val="none" w:sz="0" w:space="0" w:color="auto"/>
          </w:divBdr>
        </w:div>
        <w:div w:id="428935870">
          <w:marLeft w:val="0"/>
          <w:marRight w:val="0"/>
          <w:marTop w:val="0"/>
          <w:marBottom w:val="0"/>
          <w:divBdr>
            <w:top w:val="none" w:sz="0" w:space="0" w:color="auto"/>
            <w:left w:val="none" w:sz="0" w:space="0" w:color="auto"/>
            <w:bottom w:val="none" w:sz="0" w:space="0" w:color="auto"/>
            <w:right w:val="none" w:sz="0" w:space="0" w:color="auto"/>
          </w:divBdr>
        </w:div>
        <w:div w:id="432438307">
          <w:marLeft w:val="0"/>
          <w:marRight w:val="0"/>
          <w:marTop w:val="0"/>
          <w:marBottom w:val="0"/>
          <w:divBdr>
            <w:top w:val="none" w:sz="0" w:space="0" w:color="auto"/>
            <w:left w:val="none" w:sz="0" w:space="0" w:color="auto"/>
            <w:bottom w:val="none" w:sz="0" w:space="0" w:color="auto"/>
            <w:right w:val="none" w:sz="0" w:space="0" w:color="auto"/>
          </w:divBdr>
        </w:div>
        <w:div w:id="438646020">
          <w:marLeft w:val="0"/>
          <w:marRight w:val="0"/>
          <w:marTop w:val="0"/>
          <w:marBottom w:val="0"/>
          <w:divBdr>
            <w:top w:val="none" w:sz="0" w:space="0" w:color="auto"/>
            <w:left w:val="none" w:sz="0" w:space="0" w:color="auto"/>
            <w:bottom w:val="none" w:sz="0" w:space="0" w:color="auto"/>
            <w:right w:val="none" w:sz="0" w:space="0" w:color="auto"/>
          </w:divBdr>
        </w:div>
        <w:div w:id="441802078">
          <w:marLeft w:val="0"/>
          <w:marRight w:val="0"/>
          <w:marTop w:val="0"/>
          <w:marBottom w:val="0"/>
          <w:divBdr>
            <w:top w:val="none" w:sz="0" w:space="0" w:color="auto"/>
            <w:left w:val="none" w:sz="0" w:space="0" w:color="auto"/>
            <w:bottom w:val="none" w:sz="0" w:space="0" w:color="auto"/>
            <w:right w:val="none" w:sz="0" w:space="0" w:color="auto"/>
          </w:divBdr>
        </w:div>
        <w:div w:id="445780418">
          <w:marLeft w:val="0"/>
          <w:marRight w:val="0"/>
          <w:marTop w:val="0"/>
          <w:marBottom w:val="0"/>
          <w:divBdr>
            <w:top w:val="none" w:sz="0" w:space="0" w:color="auto"/>
            <w:left w:val="none" w:sz="0" w:space="0" w:color="auto"/>
            <w:bottom w:val="none" w:sz="0" w:space="0" w:color="auto"/>
            <w:right w:val="none" w:sz="0" w:space="0" w:color="auto"/>
          </w:divBdr>
        </w:div>
        <w:div w:id="451483570">
          <w:marLeft w:val="0"/>
          <w:marRight w:val="0"/>
          <w:marTop w:val="0"/>
          <w:marBottom w:val="0"/>
          <w:divBdr>
            <w:top w:val="none" w:sz="0" w:space="0" w:color="auto"/>
            <w:left w:val="none" w:sz="0" w:space="0" w:color="auto"/>
            <w:bottom w:val="none" w:sz="0" w:space="0" w:color="auto"/>
            <w:right w:val="none" w:sz="0" w:space="0" w:color="auto"/>
          </w:divBdr>
        </w:div>
        <w:div w:id="455222155">
          <w:marLeft w:val="0"/>
          <w:marRight w:val="0"/>
          <w:marTop w:val="0"/>
          <w:marBottom w:val="0"/>
          <w:divBdr>
            <w:top w:val="none" w:sz="0" w:space="0" w:color="auto"/>
            <w:left w:val="none" w:sz="0" w:space="0" w:color="auto"/>
            <w:bottom w:val="none" w:sz="0" w:space="0" w:color="auto"/>
            <w:right w:val="none" w:sz="0" w:space="0" w:color="auto"/>
          </w:divBdr>
        </w:div>
        <w:div w:id="466241985">
          <w:marLeft w:val="0"/>
          <w:marRight w:val="0"/>
          <w:marTop w:val="0"/>
          <w:marBottom w:val="0"/>
          <w:divBdr>
            <w:top w:val="none" w:sz="0" w:space="0" w:color="auto"/>
            <w:left w:val="none" w:sz="0" w:space="0" w:color="auto"/>
            <w:bottom w:val="none" w:sz="0" w:space="0" w:color="auto"/>
            <w:right w:val="none" w:sz="0" w:space="0" w:color="auto"/>
          </w:divBdr>
        </w:div>
        <w:div w:id="471674127">
          <w:marLeft w:val="0"/>
          <w:marRight w:val="0"/>
          <w:marTop w:val="0"/>
          <w:marBottom w:val="0"/>
          <w:divBdr>
            <w:top w:val="none" w:sz="0" w:space="0" w:color="auto"/>
            <w:left w:val="none" w:sz="0" w:space="0" w:color="auto"/>
            <w:bottom w:val="none" w:sz="0" w:space="0" w:color="auto"/>
            <w:right w:val="none" w:sz="0" w:space="0" w:color="auto"/>
          </w:divBdr>
        </w:div>
        <w:div w:id="479883025">
          <w:marLeft w:val="0"/>
          <w:marRight w:val="0"/>
          <w:marTop w:val="0"/>
          <w:marBottom w:val="0"/>
          <w:divBdr>
            <w:top w:val="none" w:sz="0" w:space="0" w:color="auto"/>
            <w:left w:val="none" w:sz="0" w:space="0" w:color="auto"/>
            <w:bottom w:val="none" w:sz="0" w:space="0" w:color="auto"/>
            <w:right w:val="none" w:sz="0" w:space="0" w:color="auto"/>
          </w:divBdr>
        </w:div>
        <w:div w:id="481967470">
          <w:marLeft w:val="0"/>
          <w:marRight w:val="0"/>
          <w:marTop w:val="0"/>
          <w:marBottom w:val="0"/>
          <w:divBdr>
            <w:top w:val="none" w:sz="0" w:space="0" w:color="auto"/>
            <w:left w:val="none" w:sz="0" w:space="0" w:color="auto"/>
            <w:bottom w:val="none" w:sz="0" w:space="0" w:color="auto"/>
            <w:right w:val="none" w:sz="0" w:space="0" w:color="auto"/>
          </w:divBdr>
        </w:div>
        <w:div w:id="485173977">
          <w:marLeft w:val="0"/>
          <w:marRight w:val="0"/>
          <w:marTop w:val="0"/>
          <w:marBottom w:val="0"/>
          <w:divBdr>
            <w:top w:val="none" w:sz="0" w:space="0" w:color="auto"/>
            <w:left w:val="none" w:sz="0" w:space="0" w:color="auto"/>
            <w:bottom w:val="none" w:sz="0" w:space="0" w:color="auto"/>
            <w:right w:val="none" w:sz="0" w:space="0" w:color="auto"/>
          </w:divBdr>
        </w:div>
        <w:div w:id="486702537">
          <w:marLeft w:val="0"/>
          <w:marRight w:val="0"/>
          <w:marTop w:val="0"/>
          <w:marBottom w:val="0"/>
          <w:divBdr>
            <w:top w:val="none" w:sz="0" w:space="0" w:color="auto"/>
            <w:left w:val="none" w:sz="0" w:space="0" w:color="auto"/>
            <w:bottom w:val="none" w:sz="0" w:space="0" w:color="auto"/>
            <w:right w:val="none" w:sz="0" w:space="0" w:color="auto"/>
          </w:divBdr>
        </w:div>
        <w:div w:id="494496769">
          <w:marLeft w:val="0"/>
          <w:marRight w:val="0"/>
          <w:marTop w:val="0"/>
          <w:marBottom w:val="0"/>
          <w:divBdr>
            <w:top w:val="none" w:sz="0" w:space="0" w:color="auto"/>
            <w:left w:val="none" w:sz="0" w:space="0" w:color="auto"/>
            <w:bottom w:val="none" w:sz="0" w:space="0" w:color="auto"/>
            <w:right w:val="none" w:sz="0" w:space="0" w:color="auto"/>
          </w:divBdr>
        </w:div>
        <w:div w:id="501437691">
          <w:marLeft w:val="0"/>
          <w:marRight w:val="0"/>
          <w:marTop w:val="0"/>
          <w:marBottom w:val="0"/>
          <w:divBdr>
            <w:top w:val="none" w:sz="0" w:space="0" w:color="auto"/>
            <w:left w:val="none" w:sz="0" w:space="0" w:color="auto"/>
            <w:bottom w:val="none" w:sz="0" w:space="0" w:color="auto"/>
            <w:right w:val="none" w:sz="0" w:space="0" w:color="auto"/>
          </w:divBdr>
        </w:div>
        <w:div w:id="503470167">
          <w:marLeft w:val="0"/>
          <w:marRight w:val="0"/>
          <w:marTop w:val="0"/>
          <w:marBottom w:val="0"/>
          <w:divBdr>
            <w:top w:val="none" w:sz="0" w:space="0" w:color="auto"/>
            <w:left w:val="none" w:sz="0" w:space="0" w:color="auto"/>
            <w:bottom w:val="none" w:sz="0" w:space="0" w:color="auto"/>
            <w:right w:val="none" w:sz="0" w:space="0" w:color="auto"/>
          </w:divBdr>
        </w:div>
        <w:div w:id="508955869">
          <w:marLeft w:val="0"/>
          <w:marRight w:val="0"/>
          <w:marTop w:val="0"/>
          <w:marBottom w:val="0"/>
          <w:divBdr>
            <w:top w:val="none" w:sz="0" w:space="0" w:color="auto"/>
            <w:left w:val="none" w:sz="0" w:space="0" w:color="auto"/>
            <w:bottom w:val="none" w:sz="0" w:space="0" w:color="auto"/>
            <w:right w:val="none" w:sz="0" w:space="0" w:color="auto"/>
          </w:divBdr>
        </w:div>
        <w:div w:id="513812549">
          <w:marLeft w:val="0"/>
          <w:marRight w:val="0"/>
          <w:marTop w:val="0"/>
          <w:marBottom w:val="0"/>
          <w:divBdr>
            <w:top w:val="none" w:sz="0" w:space="0" w:color="auto"/>
            <w:left w:val="none" w:sz="0" w:space="0" w:color="auto"/>
            <w:bottom w:val="none" w:sz="0" w:space="0" w:color="auto"/>
            <w:right w:val="none" w:sz="0" w:space="0" w:color="auto"/>
          </w:divBdr>
        </w:div>
        <w:div w:id="514613918">
          <w:marLeft w:val="0"/>
          <w:marRight w:val="0"/>
          <w:marTop w:val="0"/>
          <w:marBottom w:val="0"/>
          <w:divBdr>
            <w:top w:val="none" w:sz="0" w:space="0" w:color="auto"/>
            <w:left w:val="none" w:sz="0" w:space="0" w:color="auto"/>
            <w:bottom w:val="none" w:sz="0" w:space="0" w:color="auto"/>
            <w:right w:val="none" w:sz="0" w:space="0" w:color="auto"/>
          </w:divBdr>
        </w:div>
        <w:div w:id="517894252">
          <w:marLeft w:val="0"/>
          <w:marRight w:val="0"/>
          <w:marTop w:val="0"/>
          <w:marBottom w:val="0"/>
          <w:divBdr>
            <w:top w:val="none" w:sz="0" w:space="0" w:color="auto"/>
            <w:left w:val="none" w:sz="0" w:space="0" w:color="auto"/>
            <w:bottom w:val="none" w:sz="0" w:space="0" w:color="auto"/>
            <w:right w:val="none" w:sz="0" w:space="0" w:color="auto"/>
          </w:divBdr>
        </w:div>
        <w:div w:id="518275055">
          <w:marLeft w:val="0"/>
          <w:marRight w:val="0"/>
          <w:marTop w:val="0"/>
          <w:marBottom w:val="0"/>
          <w:divBdr>
            <w:top w:val="none" w:sz="0" w:space="0" w:color="auto"/>
            <w:left w:val="none" w:sz="0" w:space="0" w:color="auto"/>
            <w:bottom w:val="none" w:sz="0" w:space="0" w:color="auto"/>
            <w:right w:val="none" w:sz="0" w:space="0" w:color="auto"/>
          </w:divBdr>
        </w:div>
        <w:div w:id="527571364">
          <w:marLeft w:val="0"/>
          <w:marRight w:val="0"/>
          <w:marTop w:val="0"/>
          <w:marBottom w:val="0"/>
          <w:divBdr>
            <w:top w:val="none" w:sz="0" w:space="0" w:color="auto"/>
            <w:left w:val="none" w:sz="0" w:space="0" w:color="auto"/>
            <w:bottom w:val="none" w:sz="0" w:space="0" w:color="auto"/>
            <w:right w:val="none" w:sz="0" w:space="0" w:color="auto"/>
          </w:divBdr>
        </w:div>
        <w:div w:id="528421392">
          <w:marLeft w:val="0"/>
          <w:marRight w:val="0"/>
          <w:marTop w:val="0"/>
          <w:marBottom w:val="0"/>
          <w:divBdr>
            <w:top w:val="none" w:sz="0" w:space="0" w:color="auto"/>
            <w:left w:val="none" w:sz="0" w:space="0" w:color="auto"/>
            <w:bottom w:val="none" w:sz="0" w:space="0" w:color="auto"/>
            <w:right w:val="none" w:sz="0" w:space="0" w:color="auto"/>
          </w:divBdr>
        </w:div>
        <w:div w:id="528837846">
          <w:marLeft w:val="0"/>
          <w:marRight w:val="0"/>
          <w:marTop w:val="0"/>
          <w:marBottom w:val="0"/>
          <w:divBdr>
            <w:top w:val="none" w:sz="0" w:space="0" w:color="auto"/>
            <w:left w:val="none" w:sz="0" w:space="0" w:color="auto"/>
            <w:bottom w:val="none" w:sz="0" w:space="0" w:color="auto"/>
            <w:right w:val="none" w:sz="0" w:space="0" w:color="auto"/>
          </w:divBdr>
        </w:div>
        <w:div w:id="535772022">
          <w:marLeft w:val="0"/>
          <w:marRight w:val="0"/>
          <w:marTop w:val="0"/>
          <w:marBottom w:val="0"/>
          <w:divBdr>
            <w:top w:val="none" w:sz="0" w:space="0" w:color="auto"/>
            <w:left w:val="none" w:sz="0" w:space="0" w:color="auto"/>
            <w:bottom w:val="none" w:sz="0" w:space="0" w:color="auto"/>
            <w:right w:val="none" w:sz="0" w:space="0" w:color="auto"/>
          </w:divBdr>
        </w:div>
        <w:div w:id="536817309">
          <w:marLeft w:val="0"/>
          <w:marRight w:val="0"/>
          <w:marTop w:val="0"/>
          <w:marBottom w:val="0"/>
          <w:divBdr>
            <w:top w:val="none" w:sz="0" w:space="0" w:color="auto"/>
            <w:left w:val="none" w:sz="0" w:space="0" w:color="auto"/>
            <w:bottom w:val="none" w:sz="0" w:space="0" w:color="auto"/>
            <w:right w:val="none" w:sz="0" w:space="0" w:color="auto"/>
          </w:divBdr>
        </w:div>
        <w:div w:id="539902281">
          <w:marLeft w:val="0"/>
          <w:marRight w:val="0"/>
          <w:marTop w:val="0"/>
          <w:marBottom w:val="0"/>
          <w:divBdr>
            <w:top w:val="none" w:sz="0" w:space="0" w:color="auto"/>
            <w:left w:val="none" w:sz="0" w:space="0" w:color="auto"/>
            <w:bottom w:val="none" w:sz="0" w:space="0" w:color="auto"/>
            <w:right w:val="none" w:sz="0" w:space="0" w:color="auto"/>
          </w:divBdr>
        </w:div>
        <w:div w:id="542522742">
          <w:marLeft w:val="0"/>
          <w:marRight w:val="0"/>
          <w:marTop w:val="0"/>
          <w:marBottom w:val="0"/>
          <w:divBdr>
            <w:top w:val="none" w:sz="0" w:space="0" w:color="auto"/>
            <w:left w:val="none" w:sz="0" w:space="0" w:color="auto"/>
            <w:bottom w:val="none" w:sz="0" w:space="0" w:color="auto"/>
            <w:right w:val="none" w:sz="0" w:space="0" w:color="auto"/>
          </w:divBdr>
        </w:div>
        <w:div w:id="544565810">
          <w:marLeft w:val="0"/>
          <w:marRight w:val="0"/>
          <w:marTop w:val="0"/>
          <w:marBottom w:val="0"/>
          <w:divBdr>
            <w:top w:val="none" w:sz="0" w:space="0" w:color="auto"/>
            <w:left w:val="none" w:sz="0" w:space="0" w:color="auto"/>
            <w:bottom w:val="none" w:sz="0" w:space="0" w:color="auto"/>
            <w:right w:val="none" w:sz="0" w:space="0" w:color="auto"/>
          </w:divBdr>
        </w:div>
        <w:div w:id="545026692">
          <w:marLeft w:val="0"/>
          <w:marRight w:val="0"/>
          <w:marTop w:val="0"/>
          <w:marBottom w:val="0"/>
          <w:divBdr>
            <w:top w:val="none" w:sz="0" w:space="0" w:color="auto"/>
            <w:left w:val="none" w:sz="0" w:space="0" w:color="auto"/>
            <w:bottom w:val="none" w:sz="0" w:space="0" w:color="auto"/>
            <w:right w:val="none" w:sz="0" w:space="0" w:color="auto"/>
          </w:divBdr>
        </w:div>
        <w:div w:id="546182028">
          <w:marLeft w:val="0"/>
          <w:marRight w:val="0"/>
          <w:marTop w:val="0"/>
          <w:marBottom w:val="0"/>
          <w:divBdr>
            <w:top w:val="none" w:sz="0" w:space="0" w:color="auto"/>
            <w:left w:val="none" w:sz="0" w:space="0" w:color="auto"/>
            <w:bottom w:val="none" w:sz="0" w:space="0" w:color="auto"/>
            <w:right w:val="none" w:sz="0" w:space="0" w:color="auto"/>
          </w:divBdr>
        </w:div>
        <w:div w:id="552548112">
          <w:marLeft w:val="0"/>
          <w:marRight w:val="0"/>
          <w:marTop w:val="0"/>
          <w:marBottom w:val="0"/>
          <w:divBdr>
            <w:top w:val="none" w:sz="0" w:space="0" w:color="auto"/>
            <w:left w:val="none" w:sz="0" w:space="0" w:color="auto"/>
            <w:bottom w:val="none" w:sz="0" w:space="0" w:color="auto"/>
            <w:right w:val="none" w:sz="0" w:space="0" w:color="auto"/>
          </w:divBdr>
        </w:div>
        <w:div w:id="553082685">
          <w:marLeft w:val="0"/>
          <w:marRight w:val="0"/>
          <w:marTop w:val="0"/>
          <w:marBottom w:val="0"/>
          <w:divBdr>
            <w:top w:val="none" w:sz="0" w:space="0" w:color="auto"/>
            <w:left w:val="none" w:sz="0" w:space="0" w:color="auto"/>
            <w:bottom w:val="none" w:sz="0" w:space="0" w:color="auto"/>
            <w:right w:val="none" w:sz="0" w:space="0" w:color="auto"/>
          </w:divBdr>
        </w:div>
        <w:div w:id="553084793">
          <w:marLeft w:val="0"/>
          <w:marRight w:val="0"/>
          <w:marTop w:val="0"/>
          <w:marBottom w:val="0"/>
          <w:divBdr>
            <w:top w:val="none" w:sz="0" w:space="0" w:color="auto"/>
            <w:left w:val="none" w:sz="0" w:space="0" w:color="auto"/>
            <w:bottom w:val="none" w:sz="0" w:space="0" w:color="auto"/>
            <w:right w:val="none" w:sz="0" w:space="0" w:color="auto"/>
          </w:divBdr>
        </w:div>
        <w:div w:id="555430672">
          <w:marLeft w:val="0"/>
          <w:marRight w:val="0"/>
          <w:marTop w:val="0"/>
          <w:marBottom w:val="0"/>
          <w:divBdr>
            <w:top w:val="none" w:sz="0" w:space="0" w:color="auto"/>
            <w:left w:val="none" w:sz="0" w:space="0" w:color="auto"/>
            <w:bottom w:val="none" w:sz="0" w:space="0" w:color="auto"/>
            <w:right w:val="none" w:sz="0" w:space="0" w:color="auto"/>
          </w:divBdr>
        </w:div>
        <w:div w:id="555512355">
          <w:marLeft w:val="0"/>
          <w:marRight w:val="0"/>
          <w:marTop w:val="0"/>
          <w:marBottom w:val="0"/>
          <w:divBdr>
            <w:top w:val="none" w:sz="0" w:space="0" w:color="auto"/>
            <w:left w:val="none" w:sz="0" w:space="0" w:color="auto"/>
            <w:bottom w:val="none" w:sz="0" w:space="0" w:color="auto"/>
            <w:right w:val="none" w:sz="0" w:space="0" w:color="auto"/>
          </w:divBdr>
        </w:div>
        <w:div w:id="555554024">
          <w:marLeft w:val="0"/>
          <w:marRight w:val="0"/>
          <w:marTop w:val="0"/>
          <w:marBottom w:val="0"/>
          <w:divBdr>
            <w:top w:val="none" w:sz="0" w:space="0" w:color="auto"/>
            <w:left w:val="none" w:sz="0" w:space="0" w:color="auto"/>
            <w:bottom w:val="none" w:sz="0" w:space="0" w:color="auto"/>
            <w:right w:val="none" w:sz="0" w:space="0" w:color="auto"/>
          </w:divBdr>
        </w:div>
        <w:div w:id="556667202">
          <w:marLeft w:val="0"/>
          <w:marRight w:val="0"/>
          <w:marTop w:val="0"/>
          <w:marBottom w:val="0"/>
          <w:divBdr>
            <w:top w:val="none" w:sz="0" w:space="0" w:color="auto"/>
            <w:left w:val="none" w:sz="0" w:space="0" w:color="auto"/>
            <w:bottom w:val="none" w:sz="0" w:space="0" w:color="auto"/>
            <w:right w:val="none" w:sz="0" w:space="0" w:color="auto"/>
          </w:divBdr>
        </w:div>
        <w:div w:id="556940680">
          <w:marLeft w:val="0"/>
          <w:marRight w:val="0"/>
          <w:marTop w:val="0"/>
          <w:marBottom w:val="0"/>
          <w:divBdr>
            <w:top w:val="none" w:sz="0" w:space="0" w:color="auto"/>
            <w:left w:val="none" w:sz="0" w:space="0" w:color="auto"/>
            <w:bottom w:val="none" w:sz="0" w:space="0" w:color="auto"/>
            <w:right w:val="none" w:sz="0" w:space="0" w:color="auto"/>
          </w:divBdr>
        </w:div>
        <w:div w:id="567157427">
          <w:marLeft w:val="0"/>
          <w:marRight w:val="0"/>
          <w:marTop w:val="0"/>
          <w:marBottom w:val="0"/>
          <w:divBdr>
            <w:top w:val="none" w:sz="0" w:space="0" w:color="auto"/>
            <w:left w:val="none" w:sz="0" w:space="0" w:color="auto"/>
            <w:bottom w:val="none" w:sz="0" w:space="0" w:color="auto"/>
            <w:right w:val="none" w:sz="0" w:space="0" w:color="auto"/>
          </w:divBdr>
        </w:div>
        <w:div w:id="567808622">
          <w:marLeft w:val="0"/>
          <w:marRight w:val="0"/>
          <w:marTop w:val="0"/>
          <w:marBottom w:val="0"/>
          <w:divBdr>
            <w:top w:val="none" w:sz="0" w:space="0" w:color="auto"/>
            <w:left w:val="none" w:sz="0" w:space="0" w:color="auto"/>
            <w:bottom w:val="none" w:sz="0" w:space="0" w:color="auto"/>
            <w:right w:val="none" w:sz="0" w:space="0" w:color="auto"/>
          </w:divBdr>
        </w:div>
        <w:div w:id="569072987">
          <w:marLeft w:val="0"/>
          <w:marRight w:val="0"/>
          <w:marTop w:val="0"/>
          <w:marBottom w:val="0"/>
          <w:divBdr>
            <w:top w:val="none" w:sz="0" w:space="0" w:color="auto"/>
            <w:left w:val="none" w:sz="0" w:space="0" w:color="auto"/>
            <w:bottom w:val="none" w:sz="0" w:space="0" w:color="auto"/>
            <w:right w:val="none" w:sz="0" w:space="0" w:color="auto"/>
          </w:divBdr>
        </w:div>
        <w:div w:id="573128215">
          <w:marLeft w:val="0"/>
          <w:marRight w:val="0"/>
          <w:marTop w:val="0"/>
          <w:marBottom w:val="0"/>
          <w:divBdr>
            <w:top w:val="none" w:sz="0" w:space="0" w:color="auto"/>
            <w:left w:val="none" w:sz="0" w:space="0" w:color="auto"/>
            <w:bottom w:val="none" w:sz="0" w:space="0" w:color="auto"/>
            <w:right w:val="none" w:sz="0" w:space="0" w:color="auto"/>
          </w:divBdr>
        </w:div>
        <w:div w:id="576134263">
          <w:marLeft w:val="0"/>
          <w:marRight w:val="0"/>
          <w:marTop w:val="0"/>
          <w:marBottom w:val="0"/>
          <w:divBdr>
            <w:top w:val="none" w:sz="0" w:space="0" w:color="auto"/>
            <w:left w:val="none" w:sz="0" w:space="0" w:color="auto"/>
            <w:bottom w:val="none" w:sz="0" w:space="0" w:color="auto"/>
            <w:right w:val="none" w:sz="0" w:space="0" w:color="auto"/>
          </w:divBdr>
        </w:div>
        <w:div w:id="577860735">
          <w:marLeft w:val="0"/>
          <w:marRight w:val="0"/>
          <w:marTop w:val="0"/>
          <w:marBottom w:val="0"/>
          <w:divBdr>
            <w:top w:val="none" w:sz="0" w:space="0" w:color="auto"/>
            <w:left w:val="none" w:sz="0" w:space="0" w:color="auto"/>
            <w:bottom w:val="none" w:sz="0" w:space="0" w:color="auto"/>
            <w:right w:val="none" w:sz="0" w:space="0" w:color="auto"/>
          </w:divBdr>
        </w:div>
        <w:div w:id="582615582">
          <w:marLeft w:val="0"/>
          <w:marRight w:val="0"/>
          <w:marTop w:val="0"/>
          <w:marBottom w:val="0"/>
          <w:divBdr>
            <w:top w:val="none" w:sz="0" w:space="0" w:color="auto"/>
            <w:left w:val="none" w:sz="0" w:space="0" w:color="auto"/>
            <w:bottom w:val="none" w:sz="0" w:space="0" w:color="auto"/>
            <w:right w:val="none" w:sz="0" w:space="0" w:color="auto"/>
          </w:divBdr>
        </w:div>
        <w:div w:id="585188834">
          <w:marLeft w:val="0"/>
          <w:marRight w:val="0"/>
          <w:marTop w:val="0"/>
          <w:marBottom w:val="0"/>
          <w:divBdr>
            <w:top w:val="none" w:sz="0" w:space="0" w:color="auto"/>
            <w:left w:val="none" w:sz="0" w:space="0" w:color="auto"/>
            <w:bottom w:val="none" w:sz="0" w:space="0" w:color="auto"/>
            <w:right w:val="none" w:sz="0" w:space="0" w:color="auto"/>
          </w:divBdr>
        </w:div>
        <w:div w:id="590361099">
          <w:marLeft w:val="0"/>
          <w:marRight w:val="0"/>
          <w:marTop w:val="0"/>
          <w:marBottom w:val="0"/>
          <w:divBdr>
            <w:top w:val="none" w:sz="0" w:space="0" w:color="auto"/>
            <w:left w:val="none" w:sz="0" w:space="0" w:color="auto"/>
            <w:bottom w:val="none" w:sz="0" w:space="0" w:color="auto"/>
            <w:right w:val="none" w:sz="0" w:space="0" w:color="auto"/>
          </w:divBdr>
        </w:div>
        <w:div w:id="590701445">
          <w:marLeft w:val="0"/>
          <w:marRight w:val="0"/>
          <w:marTop w:val="0"/>
          <w:marBottom w:val="0"/>
          <w:divBdr>
            <w:top w:val="none" w:sz="0" w:space="0" w:color="auto"/>
            <w:left w:val="none" w:sz="0" w:space="0" w:color="auto"/>
            <w:bottom w:val="none" w:sz="0" w:space="0" w:color="auto"/>
            <w:right w:val="none" w:sz="0" w:space="0" w:color="auto"/>
          </w:divBdr>
        </w:div>
        <w:div w:id="591208811">
          <w:marLeft w:val="0"/>
          <w:marRight w:val="0"/>
          <w:marTop w:val="0"/>
          <w:marBottom w:val="0"/>
          <w:divBdr>
            <w:top w:val="none" w:sz="0" w:space="0" w:color="auto"/>
            <w:left w:val="none" w:sz="0" w:space="0" w:color="auto"/>
            <w:bottom w:val="none" w:sz="0" w:space="0" w:color="auto"/>
            <w:right w:val="none" w:sz="0" w:space="0" w:color="auto"/>
          </w:divBdr>
        </w:div>
        <w:div w:id="609899143">
          <w:marLeft w:val="0"/>
          <w:marRight w:val="0"/>
          <w:marTop w:val="0"/>
          <w:marBottom w:val="0"/>
          <w:divBdr>
            <w:top w:val="none" w:sz="0" w:space="0" w:color="auto"/>
            <w:left w:val="none" w:sz="0" w:space="0" w:color="auto"/>
            <w:bottom w:val="none" w:sz="0" w:space="0" w:color="auto"/>
            <w:right w:val="none" w:sz="0" w:space="0" w:color="auto"/>
          </w:divBdr>
        </w:div>
        <w:div w:id="610816882">
          <w:marLeft w:val="0"/>
          <w:marRight w:val="0"/>
          <w:marTop w:val="0"/>
          <w:marBottom w:val="0"/>
          <w:divBdr>
            <w:top w:val="none" w:sz="0" w:space="0" w:color="auto"/>
            <w:left w:val="none" w:sz="0" w:space="0" w:color="auto"/>
            <w:bottom w:val="none" w:sz="0" w:space="0" w:color="auto"/>
            <w:right w:val="none" w:sz="0" w:space="0" w:color="auto"/>
          </w:divBdr>
        </w:div>
        <w:div w:id="616719839">
          <w:marLeft w:val="0"/>
          <w:marRight w:val="0"/>
          <w:marTop w:val="0"/>
          <w:marBottom w:val="0"/>
          <w:divBdr>
            <w:top w:val="none" w:sz="0" w:space="0" w:color="auto"/>
            <w:left w:val="none" w:sz="0" w:space="0" w:color="auto"/>
            <w:bottom w:val="none" w:sz="0" w:space="0" w:color="auto"/>
            <w:right w:val="none" w:sz="0" w:space="0" w:color="auto"/>
          </w:divBdr>
        </w:div>
        <w:div w:id="623078675">
          <w:marLeft w:val="0"/>
          <w:marRight w:val="0"/>
          <w:marTop w:val="0"/>
          <w:marBottom w:val="0"/>
          <w:divBdr>
            <w:top w:val="none" w:sz="0" w:space="0" w:color="auto"/>
            <w:left w:val="none" w:sz="0" w:space="0" w:color="auto"/>
            <w:bottom w:val="none" w:sz="0" w:space="0" w:color="auto"/>
            <w:right w:val="none" w:sz="0" w:space="0" w:color="auto"/>
          </w:divBdr>
        </w:div>
        <w:div w:id="624239521">
          <w:marLeft w:val="0"/>
          <w:marRight w:val="0"/>
          <w:marTop w:val="0"/>
          <w:marBottom w:val="0"/>
          <w:divBdr>
            <w:top w:val="none" w:sz="0" w:space="0" w:color="auto"/>
            <w:left w:val="none" w:sz="0" w:space="0" w:color="auto"/>
            <w:bottom w:val="none" w:sz="0" w:space="0" w:color="auto"/>
            <w:right w:val="none" w:sz="0" w:space="0" w:color="auto"/>
          </w:divBdr>
        </w:div>
        <w:div w:id="632057294">
          <w:marLeft w:val="0"/>
          <w:marRight w:val="0"/>
          <w:marTop w:val="0"/>
          <w:marBottom w:val="0"/>
          <w:divBdr>
            <w:top w:val="none" w:sz="0" w:space="0" w:color="auto"/>
            <w:left w:val="none" w:sz="0" w:space="0" w:color="auto"/>
            <w:bottom w:val="none" w:sz="0" w:space="0" w:color="auto"/>
            <w:right w:val="none" w:sz="0" w:space="0" w:color="auto"/>
          </w:divBdr>
        </w:div>
        <w:div w:id="635110413">
          <w:marLeft w:val="0"/>
          <w:marRight w:val="0"/>
          <w:marTop w:val="0"/>
          <w:marBottom w:val="0"/>
          <w:divBdr>
            <w:top w:val="none" w:sz="0" w:space="0" w:color="auto"/>
            <w:left w:val="none" w:sz="0" w:space="0" w:color="auto"/>
            <w:bottom w:val="none" w:sz="0" w:space="0" w:color="auto"/>
            <w:right w:val="none" w:sz="0" w:space="0" w:color="auto"/>
          </w:divBdr>
        </w:div>
        <w:div w:id="642580549">
          <w:marLeft w:val="0"/>
          <w:marRight w:val="0"/>
          <w:marTop w:val="0"/>
          <w:marBottom w:val="0"/>
          <w:divBdr>
            <w:top w:val="none" w:sz="0" w:space="0" w:color="auto"/>
            <w:left w:val="none" w:sz="0" w:space="0" w:color="auto"/>
            <w:bottom w:val="none" w:sz="0" w:space="0" w:color="auto"/>
            <w:right w:val="none" w:sz="0" w:space="0" w:color="auto"/>
          </w:divBdr>
        </w:div>
        <w:div w:id="649796425">
          <w:marLeft w:val="0"/>
          <w:marRight w:val="0"/>
          <w:marTop w:val="0"/>
          <w:marBottom w:val="0"/>
          <w:divBdr>
            <w:top w:val="none" w:sz="0" w:space="0" w:color="auto"/>
            <w:left w:val="none" w:sz="0" w:space="0" w:color="auto"/>
            <w:bottom w:val="none" w:sz="0" w:space="0" w:color="auto"/>
            <w:right w:val="none" w:sz="0" w:space="0" w:color="auto"/>
          </w:divBdr>
        </w:div>
        <w:div w:id="651712391">
          <w:marLeft w:val="0"/>
          <w:marRight w:val="0"/>
          <w:marTop w:val="0"/>
          <w:marBottom w:val="0"/>
          <w:divBdr>
            <w:top w:val="none" w:sz="0" w:space="0" w:color="auto"/>
            <w:left w:val="none" w:sz="0" w:space="0" w:color="auto"/>
            <w:bottom w:val="none" w:sz="0" w:space="0" w:color="auto"/>
            <w:right w:val="none" w:sz="0" w:space="0" w:color="auto"/>
          </w:divBdr>
        </w:div>
        <w:div w:id="657266418">
          <w:marLeft w:val="0"/>
          <w:marRight w:val="0"/>
          <w:marTop w:val="0"/>
          <w:marBottom w:val="0"/>
          <w:divBdr>
            <w:top w:val="none" w:sz="0" w:space="0" w:color="auto"/>
            <w:left w:val="none" w:sz="0" w:space="0" w:color="auto"/>
            <w:bottom w:val="none" w:sz="0" w:space="0" w:color="auto"/>
            <w:right w:val="none" w:sz="0" w:space="0" w:color="auto"/>
          </w:divBdr>
        </w:div>
        <w:div w:id="658534780">
          <w:marLeft w:val="0"/>
          <w:marRight w:val="0"/>
          <w:marTop w:val="0"/>
          <w:marBottom w:val="0"/>
          <w:divBdr>
            <w:top w:val="none" w:sz="0" w:space="0" w:color="auto"/>
            <w:left w:val="none" w:sz="0" w:space="0" w:color="auto"/>
            <w:bottom w:val="none" w:sz="0" w:space="0" w:color="auto"/>
            <w:right w:val="none" w:sz="0" w:space="0" w:color="auto"/>
          </w:divBdr>
        </w:div>
        <w:div w:id="659845223">
          <w:marLeft w:val="0"/>
          <w:marRight w:val="0"/>
          <w:marTop w:val="0"/>
          <w:marBottom w:val="0"/>
          <w:divBdr>
            <w:top w:val="none" w:sz="0" w:space="0" w:color="auto"/>
            <w:left w:val="none" w:sz="0" w:space="0" w:color="auto"/>
            <w:bottom w:val="none" w:sz="0" w:space="0" w:color="auto"/>
            <w:right w:val="none" w:sz="0" w:space="0" w:color="auto"/>
          </w:divBdr>
        </w:div>
        <w:div w:id="663440309">
          <w:marLeft w:val="0"/>
          <w:marRight w:val="0"/>
          <w:marTop w:val="0"/>
          <w:marBottom w:val="0"/>
          <w:divBdr>
            <w:top w:val="none" w:sz="0" w:space="0" w:color="auto"/>
            <w:left w:val="none" w:sz="0" w:space="0" w:color="auto"/>
            <w:bottom w:val="none" w:sz="0" w:space="0" w:color="auto"/>
            <w:right w:val="none" w:sz="0" w:space="0" w:color="auto"/>
          </w:divBdr>
        </w:div>
        <w:div w:id="667294412">
          <w:marLeft w:val="0"/>
          <w:marRight w:val="0"/>
          <w:marTop w:val="0"/>
          <w:marBottom w:val="0"/>
          <w:divBdr>
            <w:top w:val="none" w:sz="0" w:space="0" w:color="auto"/>
            <w:left w:val="none" w:sz="0" w:space="0" w:color="auto"/>
            <w:bottom w:val="none" w:sz="0" w:space="0" w:color="auto"/>
            <w:right w:val="none" w:sz="0" w:space="0" w:color="auto"/>
          </w:divBdr>
        </w:div>
        <w:div w:id="673261023">
          <w:marLeft w:val="0"/>
          <w:marRight w:val="0"/>
          <w:marTop w:val="0"/>
          <w:marBottom w:val="0"/>
          <w:divBdr>
            <w:top w:val="none" w:sz="0" w:space="0" w:color="auto"/>
            <w:left w:val="none" w:sz="0" w:space="0" w:color="auto"/>
            <w:bottom w:val="none" w:sz="0" w:space="0" w:color="auto"/>
            <w:right w:val="none" w:sz="0" w:space="0" w:color="auto"/>
          </w:divBdr>
        </w:div>
        <w:div w:id="673453269">
          <w:marLeft w:val="0"/>
          <w:marRight w:val="0"/>
          <w:marTop w:val="0"/>
          <w:marBottom w:val="0"/>
          <w:divBdr>
            <w:top w:val="none" w:sz="0" w:space="0" w:color="auto"/>
            <w:left w:val="none" w:sz="0" w:space="0" w:color="auto"/>
            <w:bottom w:val="none" w:sz="0" w:space="0" w:color="auto"/>
            <w:right w:val="none" w:sz="0" w:space="0" w:color="auto"/>
          </w:divBdr>
        </w:div>
        <w:div w:id="679431694">
          <w:marLeft w:val="0"/>
          <w:marRight w:val="0"/>
          <w:marTop w:val="0"/>
          <w:marBottom w:val="0"/>
          <w:divBdr>
            <w:top w:val="none" w:sz="0" w:space="0" w:color="auto"/>
            <w:left w:val="none" w:sz="0" w:space="0" w:color="auto"/>
            <w:bottom w:val="none" w:sz="0" w:space="0" w:color="auto"/>
            <w:right w:val="none" w:sz="0" w:space="0" w:color="auto"/>
          </w:divBdr>
        </w:div>
        <w:div w:id="679813638">
          <w:marLeft w:val="0"/>
          <w:marRight w:val="0"/>
          <w:marTop w:val="0"/>
          <w:marBottom w:val="0"/>
          <w:divBdr>
            <w:top w:val="none" w:sz="0" w:space="0" w:color="auto"/>
            <w:left w:val="none" w:sz="0" w:space="0" w:color="auto"/>
            <w:bottom w:val="none" w:sz="0" w:space="0" w:color="auto"/>
            <w:right w:val="none" w:sz="0" w:space="0" w:color="auto"/>
          </w:divBdr>
        </w:div>
        <w:div w:id="694577844">
          <w:marLeft w:val="0"/>
          <w:marRight w:val="0"/>
          <w:marTop w:val="0"/>
          <w:marBottom w:val="0"/>
          <w:divBdr>
            <w:top w:val="none" w:sz="0" w:space="0" w:color="auto"/>
            <w:left w:val="none" w:sz="0" w:space="0" w:color="auto"/>
            <w:bottom w:val="none" w:sz="0" w:space="0" w:color="auto"/>
            <w:right w:val="none" w:sz="0" w:space="0" w:color="auto"/>
          </w:divBdr>
        </w:div>
        <w:div w:id="702098753">
          <w:marLeft w:val="0"/>
          <w:marRight w:val="0"/>
          <w:marTop w:val="0"/>
          <w:marBottom w:val="0"/>
          <w:divBdr>
            <w:top w:val="none" w:sz="0" w:space="0" w:color="auto"/>
            <w:left w:val="none" w:sz="0" w:space="0" w:color="auto"/>
            <w:bottom w:val="none" w:sz="0" w:space="0" w:color="auto"/>
            <w:right w:val="none" w:sz="0" w:space="0" w:color="auto"/>
          </w:divBdr>
        </w:div>
        <w:div w:id="705256036">
          <w:marLeft w:val="0"/>
          <w:marRight w:val="0"/>
          <w:marTop w:val="0"/>
          <w:marBottom w:val="0"/>
          <w:divBdr>
            <w:top w:val="none" w:sz="0" w:space="0" w:color="auto"/>
            <w:left w:val="none" w:sz="0" w:space="0" w:color="auto"/>
            <w:bottom w:val="none" w:sz="0" w:space="0" w:color="auto"/>
            <w:right w:val="none" w:sz="0" w:space="0" w:color="auto"/>
          </w:divBdr>
        </w:div>
        <w:div w:id="706686584">
          <w:marLeft w:val="0"/>
          <w:marRight w:val="0"/>
          <w:marTop w:val="0"/>
          <w:marBottom w:val="0"/>
          <w:divBdr>
            <w:top w:val="none" w:sz="0" w:space="0" w:color="auto"/>
            <w:left w:val="none" w:sz="0" w:space="0" w:color="auto"/>
            <w:bottom w:val="none" w:sz="0" w:space="0" w:color="auto"/>
            <w:right w:val="none" w:sz="0" w:space="0" w:color="auto"/>
          </w:divBdr>
        </w:div>
        <w:div w:id="712462695">
          <w:marLeft w:val="0"/>
          <w:marRight w:val="0"/>
          <w:marTop w:val="0"/>
          <w:marBottom w:val="0"/>
          <w:divBdr>
            <w:top w:val="none" w:sz="0" w:space="0" w:color="auto"/>
            <w:left w:val="none" w:sz="0" w:space="0" w:color="auto"/>
            <w:bottom w:val="none" w:sz="0" w:space="0" w:color="auto"/>
            <w:right w:val="none" w:sz="0" w:space="0" w:color="auto"/>
          </w:divBdr>
        </w:div>
        <w:div w:id="714044302">
          <w:marLeft w:val="0"/>
          <w:marRight w:val="0"/>
          <w:marTop w:val="0"/>
          <w:marBottom w:val="0"/>
          <w:divBdr>
            <w:top w:val="none" w:sz="0" w:space="0" w:color="auto"/>
            <w:left w:val="none" w:sz="0" w:space="0" w:color="auto"/>
            <w:bottom w:val="none" w:sz="0" w:space="0" w:color="auto"/>
            <w:right w:val="none" w:sz="0" w:space="0" w:color="auto"/>
          </w:divBdr>
        </w:div>
        <w:div w:id="714087275">
          <w:marLeft w:val="0"/>
          <w:marRight w:val="0"/>
          <w:marTop w:val="0"/>
          <w:marBottom w:val="0"/>
          <w:divBdr>
            <w:top w:val="none" w:sz="0" w:space="0" w:color="auto"/>
            <w:left w:val="none" w:sz="0" w:space="0" w:color="auto"/>
            <w:bottom w:val="none" w:sz="0" w:space="0" w:color="auto"/>
            <w:right w:val="none" w:sz="0" w:space="0" w:color="auto"/>
          </w:divBdr>
        </w:div>
        <w:div w:id="715740914">
          <w:marLeft w:val="0"/>
          <w:marRight w:val="0"/>
          <w:marTop w:val="0"/>
          <w:marBottom w:val="0"/>
          <w:divBdr>
            <w:top w:val="none" w:sz="0" w:space="0" w:color="auto"/>
            <w:left w:val="none" w:sz="0" w:space="0" w:color="auto"/>
            <w:bottom w:val="none" w:sz="0" w:space="0" w:color="auto"/>
            <w:right w:val="none" w:sz="0" w:space="0" w:color="auto"/>
          </w:divBdr>
        </w:div>
        <w:div w:id="723718711">
          <w:marLeft w:val="0"/>
          <w:marRight w:val="0"/>
          <w:marTop w:val="0"/>
          <w:marBottom w:val="0"/>
          <w:divBdr>
            <w:top w:val="none" w:sz="0" w:space="0" w:color="auto"/>
            <w:left w:val="none" w:sz="0" w:space="0" w:color="auto"/>
            <w:bottom w:val="none" w:sz="0" w:space="0" w:color="auto"/>
            <w:right w:val="none" w:sz="0" w:space="0" w:color="auto"/>
          </w:divBdr>
        </w:div>
        <w:div w:id="726879868">
          <w:marLeft w:val="0"/>
          <w:marRight w:val="0"/>
          <w:marTop w:val="0"/>
          <w:marBottom w:val="0"/>
          <w:divBdr>
            <w:top w:val="none" w:sz="0" w:space="0" w:color="auto"/>
            <w:left w:val="none" w:sz="0" w:space="0" w:color="auto"/>
            <w:bottom w:val="none" w:sz="0" w:space="0" w:color="auto"/>
            <w:right w:val="none" w:sz="0" w:space="0" w:color="auto"/>
          </w:divBdr>
        </w:div>
        <w:div w:id="731196918">
          <w:marLeft w:val="0"/>
          <w:marRight w:val="0"/>
          <w:marTop w:val="0"/>
          <w:marBottom w:val="0"/>
          <w:divBdr>
            <w:top w:val="none" w:sz="0" w:space="0" w:color="auto"/>
            <w:left w:val="none" w:sz="0" w:space="0" w:color="auto"/>
            <w:bottom w:val="none" w:sz="0" w:space="0" w:color="auto"/>
            <w:right w:val="none" w:sz="0" w:space="0" w:color="auto"/>
          </w:divBdr>
        </w:div>
        <w:div w:id="737558263">
          <w:marLeft w:val="0"/>
          <w:marRight w:val="0"/>
          <w:marTop w:val="0"/>
          <w:marBottom w:val="0"/>
          <w:divBdr>
            <w:top w:val="none" w:sz="0" w:space="0" w:color="auto"/>
            <w:left w:val="none" w:sz="0" w:space="0" w:color="auto"/>
            <w:bottom w:val="none" w:sz="0" w:space="0" w:color="auto"/>
            <w:right w:val="none" w:sz="0" w:space="0" w:color="auto"/>
          </w:divBdr>
        </w:div>
        <w:div w:id="750078688">
          <w:marLeft w:val="0"/>
          <w:marRight w:val="0"/>
          <w:marTop w:val="0"/>
          <w:marBottom w:val="0"/>
          <w:divBdr>
            <w:top w:val="none" w:sz="0" w:space="0" w:color="auto"/>
            <w:left w:val="none" w:sz="0" w:space="0" w:color="auto"/>
            <w:bottom w:val="none" w:sz="0" w:space="0" w:color="auto"/>
            <w:right w:val="none" w:sz="0" w:space="0" w:color="auto"/>
          </w:divBdr>
        </w:div>
        <w:div w:id="753236650">
          <w:marLeft w:val="0"/>
          <w:marRight w:val="0"/>
          <w:marTop w:val="0"/>
          <w:marBottom w:val="0"/>
          <w:divBdr>
            <w:top w:val="none" w:sz="0" w:space="0" w:color="auto"/>
            <w:left w:val="none" w:sz="0" w:space="0" w:color="auto"/>
            <w:bottom w:val="none" w:sz="0" w:space="0" w:color="auto"/>
            <w:right w:val="none" w:sz="0" w:space="0" w:color="auto"/>
          </w:divBdr>
        </w:div>
        <w:div w:id="754395891">
          <w:marLeft w:val="0"/>
          <w:marRight w:val="0"/>
          <w:marTop w:val="0"/>
          <w:marBottom w:val="0"/>
          <w:divBdr>
            <w:top w:val="none" w:sz="0" w:space="0" w:color="auto"/>
            <w:left w:val="none" w:sz="0" w:space="0" w:color="auto"/>
            <w:bottom w:val="none" w:sz="0" w:space="0" w:color="auto"/>
            <w:right w:val="none" w:sz="0" w:space="0" w:color="auto"/>
          </w:divBdr>
        </w:div>
        <w:div w:id="754976868">
          <w:marLeft w:val="0"/>
          <w:marRight w:val="0"/>
          <w:marTop w:val="0"/>
          <w:marBottom w:val="0"/>
          <w:divBdr>
            <w:top w:val="none" w:sz="0" w:space="0" w:color="auto"/>
            <w:left w:val="none" w:sz="0" w:space="0" w:color="auto"/>
            <w:bottom w:val="none" w:sz="0" w:space="0" w:color="auto"/>
            <w:right w:val="none" w:sz="0" w:space="0" w:color="auto"/>
          </w:divBdr>
        </w:div>
        <w:div w:id="761144773">
          <w:marLeft w:val="0"/>
          <w:marRight w:val="0"/>
          <w:marTop w:val="0"/>
          <w:marBottom w:val="0"/>
          <w:divBdr>
            <w:top w:val="none" w:sz="0" w:space="0" w:color="auto"/>
            <w:left w:val="none" w:sz="0" w:space="0" w:color="auto"/>
            <w:bottom w:val="none" w:sz="0" w:space="0" w:color="auto"/>
            <w:right w:val="none" w:sz="0" w:space="0" w:color="auto"/>
          </w:divBdr>
        </w:div>
        <w:div w:id="762914444">
          <w:marLeft w:val="0"/>
          <w:marRight w:val="0"/>
          <w:marTop w:val="0"/>
          <w:marBottom w:val="0"/>
          <w:divBdr>
            <w:top w:val="none" w:sz="0" w:space="0" w:color="auto"/>
            <w:left w:val="none" w:sz="0" w:space="0" w:color="auto"/>
            <w:bottom w:val="none" w:sz="0" w:space="0" w:color="auto"/>
            <w:right w:val="none" w:sz="0" w:space="0" w:color="auto"/>
          </w:divBdr>
        </w:div>
        <w:div w:id="763039108">
          <w:marLeft w:val="0"/>
          <w:marRight w:val="0"/>
          <w:marTop w:val="0"/>
          <w:marBottom w:val="0"/>
          <w:divBdr>
            <w:top w:val="none" w:sz="0" w:space="0" w:color="auto"/>
            <w:left w:val="none" w:sz="0" w:space="0" w:color="auto"/>
            <w:bottom w:val="none" w:sz="0" w:space="0" w:color="auto"/>
            <w:right w:val="none" w:sz="0" w:space="0" w:color="auto"/>
          </w:divBdr>
        </w:div>
        <w:div w:id="769740748">
          <w:marLeft w:val="0"/>
          <w:marRight w:val="0"/>
          <w:marTop w:val="0"/>
          <w:marBottom w:val="0"/>
          <w:divBdr>
            <w:top w:val="none" w:sz="0" w:space="0" w:color="auto"/>
            <w:left w:val="none" w:sz="0" w:space="0" w:color="auto"/>
            <w:bottom w:val="none" w:sz="0" w:space="0" w:color="auto"/>
            <w:right w:val="none" w:sz="0" w:space="0" w:color="auto"/>
          </w:divBdr>
        </w:div>
        <w:div w:id="773132324">
          <w:marLeft w:val="0"/>
          <w:marRight w:val="0"/>
          <w:marTop w:val="0"/>
          <w:marBottom w:val="0"/>
          <w:divBdr>
            <w:top w:val="none" w:sz="0" w:space="0" w:color="auto"/>
            <w:left w:val="none" w:sz="0" w:space="0" w:color="auto"/>
            <w:bottom w:val="none" w:sz="0" w:space="0" w:color="auto"/>
            <w:right w:val="none" w:sz="0" w:space="0" w:color="auto"/>
          </w:divBdr>
        </w:div>
        <w:div w:id="778574591">
          <w:marLeft w:val="0"/>
          <w:marRight w:val="0"/>
          <w:marTop w:val="0"/>
          <w:marBottom w:val="0"/>
          <w:divBdr>
            <w:top w:val="none" w:sz="0" w:space="0" w:color="auto"/>
            <w:left w:val="none" w:sz="0" w:space="0" w:color="auto"/>
            <w:bottom w:val="none" w:sz="0" w:space="0" w:color="auto"/>
            <w:right w:val="none" w:sz="0" w:space="0" w:color="auto"/>
          </w:divBdr>
        </w:div>
        <w:div w:id="782384475">
          <w:marLeft w:val="0"/>
          <w:marRight w:val="0"/>
          <w:marTop w:val="0"/>
          <w:marBottom w:val="0"/>
          <w:divBdr>
            <w:top w:val="none" w:sz="0" w:space="0" w:color="auto"/>
            <w:left w:val="none" w:sz="0" w:space="0" w:color="auto"/>
            <w:bottom w:val="none" w:sz="0" w:space="0" w:color="auto"/>
            <w:right w:val="none" w:sz="0" w:space="0" w:color="auto"/>
          </w:divBdr>
        </w:div>
        <w:div w:id="785201706">
          <w:marLeft w:val="0"/>
          <w:marRight w:val="0"/>
          <w:marTop w:val="0"/>
          <w:marBottom w:val="0"/>
          <w:divBdr>
            <w:top w:val="none" w:sz="0" w:space="0" w:color="auto"/>
            <w:left w:val="none" w:sz="0" w:space="0" w:color="auto"/>
            <w:bottom w:val="none" w:sz="0" w:space="0" w:color="auto"/>
            <w:right w:val="none" w:sz="0" w:space="0" w:color="auto"/>
          </w:divBdr>
        </w:div>
        <w:div w:id="786505119">
          <w:marLeft w:val="0"/>
          <w:marRight w:val="0"/>
          <w:marTop w:val="0"/>
          <w:marBottom w:val="0"/>
          <w:divBdr>
            <w:top w:val="none" w:sz="0" w:space="0" w:color="auto"/>
            <w:left w:val="none" w:sz="0" w:space="0" w:color="auto"/>
            <w:bottom w:val="none" w:sz="0" w:space="0" w:color="auto"/>
            <w:right w:val="none" w:sz="0" w:space="0" w:color="auto"/>
          </w:divBdr>
        </w:div>
        <w:div w:id="786773279">
          <w:marLeft w:val="0"/>
          <w:marRight w:val="0"/>
          <w:marTop w:val="0"/>
          <w:marBottom w:val="0"/>
          <w:divBdr>
            <w:top w:val="none" w:sz="0" w:space="0" w:color="auto"/>
            <w:left w:val="none" w:sz="0" w:space="0" w:color="auto"/>
            <w:bottom w:val="none" w:sz="0" w:space="0" w:color="auto"/>
            <w:right w:val="none" w:sz="0" w:space="0" w:color="auto"/>
          </w:divBdr>
        </w:div>
        <w:div w:id="788671696">
          <w:marLeft w:val="0"/>
          <w:marRight w:val="0"/>
          <w:marTop w:val="0"/>
          <w:marBottom w:val="0"/>
          <w:divBdr>
            <w:top w:val="none" w:sz="0" w:space="0" w:color="auto"/>
            <w:left w:val="none" w:sz="0" w:space="0" w:color="auto"/>
            <w:bottom w:val="none" w:sz="0" w:space="0" w:color="auto"/>
            <w:right w:val="none" w:sz="0" w:space="0" w:color="auto"/>
          </w:divBdr>
        </w:div>
        <w:div w:id="790442818">
          <w:marLeft w:val="0"/>
          <w:marRight w:val="0"/>
          <w:marTop w:val="0"/>
          <w:marBottom w:val="0"/>
          <w:divBdr>
            <w:top w:val="none" w:sz="0" w:space="0" w:color="auto"/>
            <w:left w:val="none" w:sz="0" w:space="0" w:color="auto"/>
            <w:bottom w:val="none" w:sz="0" w:space="0" w:color="auto"/>
            <w:right w:val="none" w:sz="0" w:space="0" w:color="auto"/>
          </w:divBdr>
        </w:div>
        <w:div w:id="792136367">
          <w:marLeft w:val="0"/>
          <w:marRight w:val="0"/>
          <w:marTop w:val="0"/>
          <w:marBottom w:val="0"/>
          <w:divBdr>
            <w:top w:val="none" w:sz="0" w:space="0" w:color="auto"/>
            <w:left w:val="none" w:sz="0" w:space="0" w:color="auto"/>
            <w:bottom w:val="none" w:sz="0" w:space="0" w:color="auto"/>
            <w:right w:val="none" w:sz="0" w:space="0" w:color="auto"/>
          </w:divBdr>
        </w:div>
        <w:div w:id="794328359">
          <w:marLeft w:val="0"/>
          <w:marRight w:val="0"/>
          <w:marTop w:val="0"/>
          <w:marBottom w:val="0"/>
          <w:divBdr>
            <w:top w:val="none" w:sz="0" w:space="0" w:color="auto"/>
            <w:left w:val="none" w:sz="0" w:space="0" w:color="auto"/>
            <w:bottom w:val="none" w:sz="0" w:space="0" w:color="auto"/>
            <w:right w:val="none" w:sz="0" w:space="0" w:color="auto"/>
          </w:divBdr>
        </w:div>
        <w:div w:id="794639221">
          <w:marLeft w:val="0"/>
          <w:marRight w:val="0"/>
          <w:marTop w:val="0"/>
          <w:marBottom w:val="0"/>
          <w:divBdr>
            <w:top w:val="none" w:sz="0" w:space="0" w:color="auto"/>
            <w:left w:val="none" w:sz="0" w:space="0" w:color="auto"/>
            <w:bottom w:val="none" w:sz="0" w:space="0" w:color="auto"/>
            <w:right w:val="none" w:sz="0" w:space="0" w:color="auto"/>
          </w:divBdr>
        </w:div>
        <w:div w:id="799418606">
          <w:marLeft w:val="0"/>
          <w:marRight w:val="0"/>
          <w:marTop w:val="0"/>
          <w:marBottom w:val="0"/>
          <w:divBdr>
            <w:top w:val="none" w:sz="0" w:space="0" w:color="auto"/>
            <w:left w:val="none" w:sz="0" w:space="0" w:color="auto"/>
            <w:bottom w:val="none" w:sz="0" w:space="0" w:color="auto"/>
            <w:right w:val="none" w:sz="0" w:space="0" w:color="auto"/>
          </w:divBdr>
        </w:div>
        <w:div w:id="800731253">
          <w:marLeft w:val="0"/>
          <w:marRight w:val="0"/>
          <w:marTop w:val="0"/>
          <w:marBottom w:val="0"/>
          <w:divBdr>
            <w:top w:val="none" w:sz="0" w:space="0" w:color="auto"/>
            <w:left w:val="none" w:sz="0" w:space="0" w:color="auto"/>
            <w:bottom w:val="none" w:sz="0" w:space="0" w:color="auto"/>
            <w:right w:val="none" w:sz="0" w:space="0" w:color="auto"/>
          </w:divBdr>
        </w:div>
        <w:div w:id="808278550">
          <w:marLeft w:val="0"/>
          <w:marRight w:val="0"/>
          <w:marTop w:val="0"/>
          <w:marBottom w:val="0"/>
          <w:divBdr>
            <w:top w:val="none" w:sz="0" w:space="0" w:color="auto"/>
            <w:left w:val="none" w:sz="0" w:space="0" w:color="auto"/>
            <w:bottom w:val="none" w:sz="0" w:space="0" w:color="auto"/>
            <w:right w:val="none" w:sz="0" w:space="0" w:color="auto"/>
          </w:divBdr>
        </w:div>
        <w:div w:id="811755226">
          <w:marLeft w:val="0"/>
          <w:marRight w:val="0"/>
          <w:marTop w:val="0"/>
          <w:marBottom w:val="0"/>
          <w:divBdr>
            <w:top w:val="none" w:sz="0" w:space="0" w:color="auto"/>
            <w:left w:val="none" w:sz="0" w:space="0" w:color="auto"/>
            <w:bottom w:val="none" w:sz="0" w:space="0" w:color="auto"/>
            <w:right w:val="none" w:sz="0" w:space="0" w:color="auto"/>
          </w:divBdr>
        </w:div>
        <w:div w:id="812135128">
          <w:marLeft w:val="0"/>
          <w:marRight w:val="0"/>
          <w:marTop w:val="0"/>
          <w:marBottom w:val="0"/>
          <w:divBdr>
            <w:top w:val="none" w:sz="0" w:space="0" w:color="auto"/>
            <w:left w:val="none" w:sz="0" w:space="0" w:color="auto"/>
            <w:bottom w:val="none" w:sz="0" w:space="0" w:color="auto"/>
            <w:right w:val="none" w:sz="0" w:space="0" w:color="auto"/>
          </w:divBdr>
        </w:div>
        <w:div w:id="813063537">
          <w:marLeft w:val="0"/>
          <w:marRight w:val="0"/>
          <w:marTop w:val="0"/>
          <w:marBottom w:val="0"/>
          <w:divBdr>
            <w:top w:val="none" w:sz="0" w:space="0" w:color="auto"/>
            <w:left w:val="none" w:sz="0" w:space="0" w:color="auto"/>
            <w:bottom w:val="none" w:sz="0" w:space="0" w:color="auto"/>
            <w:right w:val="none" w:sz="0" w:space="0" w:color="auto"/>
          </w:divBdr>
        </w:div>
        <w:div w:id="813835126">
          <w:marLeft w:val="0"/>
          <w:marRight w:val="0"/>
          <w:marTop w:val="0"/>
          <w:marBottom w:val="0"/>
          <w:divBdr>
            <w:top w:val="none" w:sz="0" w:space="0" w:color="auto"/>
            <w:left w:val="none" w:sz="0" w:space="0" w:color="auto"/>
            <w:bottom w:val="none" w:sz="0" w:space="0" w:color="auto"/>
            <w:right w:val="none" w:sz="0" w:space="0" w:color="auto"/>
          </w:divBdr>
        </w:div>
        <w:div w:id="814759881">
          <w:marLeft w:val="0"/>
          <w:marRight w:val="0"/>
          <w:marTop w:val="0"/>
          <w:marBottom w:val="0"/>
          <w:divBdr>
            <w:top w:val="none" w:sz="0" w:space="0" w:color="auto"/>
            <w:left w:val="none" w:sz="0" w:space="0" w:color="auto"/>
            <w:bottom w:val="none" w:sz="0" w:space="0" w:color="auto"/>
            <w:right w:val="none" w:sz="0" w:space="0" w:color="auto"/>
          </w:divBdr>
        </w:div>
        <w:div w:id="815267913">
          <w:marLeft w:val="0"/>
          <w:marRight w:val="0"/>
          <w:marTop w:val="0"/>
          <w:marBottom w:val="0"/>
          <w:divBdr>
            <w:top w:val="none" w:sz="0" w:space="0" w:color="auto"/>
            <w:left w:val="none" w:sz="0" w:space="0" w:color="auto"/>
            <w:bottom w:val="none" w:sz="0" w:space="0" w:color="auto"/>
            <w:right w:val="none" w:sz="0" w:space="0" w:color="auto"/>
          </w:divBdr>
        </w:div>
        <w:div w:id="818348647">
          <w:marLeft w:val="0"/>
          <w:marRight w:val="0"/>
          <w:marTop w:val="0"/>
          <w:marBottom w:val="0"/>
          <w:divBdr>
            <w:top w:val="none" w:sz="0" w:space="0" w:color="auto"/>
            <w:left w:val="none" w:sz="0" w:space="0" w:color="auto"/>
            <w:bottom w:val="none" w:sz="0" w:space="0" w:color="auto"/>
            <w:right w:val="none" w:sz="0" w:space="0" w:color="auto"/>
          </w:divBdr>
        </w:div>
        <w:div w:id="818617478">
          <w:marLeft w:val="0"/>
          <w:marRight w:val="0"/>
          <w:marTop w:val="0"/>
          <w:marBottom w:val="0"/>
          <w:divBdr>
            <w:top w:val="none" w:sz="0" w:space="0" w:color="auto"/>
            <w:left w:val="none" w:sz="0" w:space="0" w:color="auto"/>
            <w:bottom w:val="none" w:sz="0" w:space="0" w:color="auto"/>
            <w:right w:val="none" w:sz="0" w:space="0" w:color="auto"/>
          </w:divBdr>
        </w:div>
        <w:div w:id="829831927">
          <w:marLeft w:val="0"/>
          <w:marRight w:val="0"/>
          <w:marTop w:val="0"/>
          <w:marBottom w:val="0"/>
          <w:divBdr>
            <w:top w:val="none" w:sz="0" w:space="0" w:color="auto"/>
            <w:left w:val="none" w:sz="0" w:space="0" w:color="auto"/>
            <w:bottom w:val="none" w:sz="0" w:space="0" w:color="auto"/>
            <w:right w:val="none" w:sz="0" w:space="0" w:color="auto"/>
          </w:divBdr>
        </w:div>
        <w:div w:id="837886126">
          <w:marLeft w:val="0"/>
          <w:marRight w:val="0"/>
          <w:marTop w:val="0"/>
          <w:marBottom w:val="0"/>
          <w:divBdr>
            <w:top w:val="none" w:sz="0" w:space="0" w:color="auto"/>
            <w:left w:val="none" w:sz="0" w:space="0" w:color="auto"/>
            <w:bottom w:val="none" w:sz="0" w:space="0" w:color="auto"/>
            <w:right w:val="none" w:sz="0" w:space="0" w:color="auto"/>
          </w:divBdr>
        </w:div>
        <w:div w:id="839665125">
          <w:marLeft w:val="0"/>
          <w:marRight w:val="0"/>
          <w:marTop w:val="0"/>
          <w:marBottom w:val="0"/>
          <w:divBdr>
            <w:top w:val="none" w:sz="0" w:space="0" w:color="auto"/>
            <w:left w:val="none" w:sz="0" w:space="0" w:color="auto"/>
            <w:bottom w:val="none" w:sz="0" w:space="0" w:color="auto"/>
            <w:right w:val="none" w:sz="0" w:space="0" w:color="auto"/>
          </w:divBdr>
        </w:div>
        <w:div w:id="842016272">
          <w:marLeft w:val="0"/>
          <w:marRight w:val="0"/>
          <w:marTop w:val="0"/>
          <w:marBottom w:val="0"/>
          <w:divBdr>
            <w:top w:val="none" w:sz="0" w:space="0" w:color="auto"/>
            <w:left w:val="none" w:sz="0" w:space="0" w:color="auto"/>
            <w:bottom w:val="none" w:sz="0" w:space="0" w:color="auto"/>
            <w:right w:val="none" w:sz="0" w:space="0" w:color="auto"/>
          </w:divBdr>
        </w:div>
        <w:div w:id="843931188">
          <w:marLeft w:val="0"/>
          <w:marRight w:val="0"/>
          <w:marTop w:val="0"/>
          <w:marBottom w:val="0"/>
          <w:divBdr>
            <w:top w:val="none" w:sz="0" w:space="0" w:color="auto"/>
            <w:left w:val="none" w:sz="0" w:space="0" w:color="auto"/>
            <w:bottom w:val="none" w:sz="0" w:space="0" w:color="auto"/>
            <w:right w:val="none" w:sz="0" w:space="0" w:color="auto"/>
          </w:divBdr>
        </w:div>
        <w:div w:id="848105412">
          <w:marLeft w:val="0"/>
          <w:marRight w:val="0"/>
          <w:marTop w:val="0"/>
          <w:marBottom w:val="0"/>
          <w:divBdr>
            <w:top w:val="none" w:sz="0" w:space="0" w:color="auto"/>
            <w:left w:val="none" w:sz="0" w:space="0" w:color="auto"/>
            <w:bottom w:val="none" w:sz="0" w:space="0" w:color="auto"/>
            <w:right w:val="none" w:sz="0" w:space="0" w:color="auto"/>
          </w:divBdr>
        </w:div>
        <w:div w:id="850216086">
          <w:marLeft w:val="0"/>
          <w:marRight w:val="0"/>
          <w:marTop w:val="0"/>
          <w:marBottom w:val="0"/>
          <w:divBdr>
            <w:top w:val="none" w:sz="0" w:space="0" w:color="auto"/>
            <w:left w:val="none" w:sz="0" w:space="0" w:color="auto"/>
            <w:bottom w:val="none" w:sz="0" w:space="0" w:color="auto"/>
            <w:right w:val="none" w:sz="0" w:space="0" w:color="auto"/>
          </w:divBdr>
        </w:div>
        <w:div w:id="856970015">
          <w:marLeft w:val="0"/>
          <w:marRight w:val="0"/>
          <w:marTop w:val="0"/>
          <w:marBottom w:val="0"/>
          <w:divBdr>
            <w:top w:val="none" w:sz="0" w:space="0" w:color="auto"/>
            <w:left w:val="none" w:sz="0" w:space="0" w:color="auto"/>
            <w:bottom w:val="none" w:sz="0" w:space="0" w:color="auto"/>
            <w:right w:val="none" w:sz="0" w:space="0" w:color="auto"/>
          </w:divBdr>
        </w:div>
        <w:div w:id="857619620">
          <w:marLeft w:val="0"/>
          <w:marRight w:val="0"/>
          <w:marTop w:val="0"/>
          <w:marBottom w:val="0"/>
          <w:divBdr>
            <w:top w:val="none" w:sz="0" w:space="0" w:color="auto"/>
            <w:left w:val="none" w:sz="0" w:space="0" w:color="auto"/>
            <w:bottom w:val="none" w:sz="0" w:space="0" w:color="auto"/>
            <w:right w:val="none" w:sz="0" w:space="0" w:color="auto"/>
          </w:divBdr>
        </w:div>
        <w:div w:id="864827481">
          <w:marLeft w:val="0"/>
          <w:marRight w:val="0"/>
          <w:marTop w:val="0"/>
          <w:marBottom w:val="0"/>
          <w:divBdr>
            <w:top w:val="none" w:sz="0" w:space="0" w:color="auto"/>
            <w:left w:val="none" w:sz="0" w:space="0" w:color="auto"/>
            <w:bottom w:val="none" w:sz="0" w:space="0" w:color="auto"/>
            <w:right w:val="none" w:sz="0" w:space="0" w:color="auto"/>
          </w:divBdr>
        </w:div>
        <w:div w:id="867331937">
          <w:marLeft w:val="0"/>
          <w:marRight w:val="0"/>
          <w:marTop w:val="0"/>
          <w:marBottom w:val="0"/>
          <w:divBdr>
            <w:top w:val="none" w:sz="0" w:space="0" w:color="auto"/>
            <w:left w:val="none" w:sz="0" w:space="0" w:color="auto"/>
            <w:bottom w:val="none" w:sz="0" w:space="0" w:color="auto"/>
            <w:right w:val="none" w:sz="0" w:space="0" w:color="auto"/>
          </w:divBdr>
        </w:div>
        <w:div w:id="875891657">
          <w:marLeft w:val="0"/>
          <w:marRight w:val="0"/>
          <w:marTop w:val="0"/>
          <w:marBottom w:val="0"/>
          <w:divBdr>
            <w:top w:val="none" w:sz="0" w:space="0" w:color="auto"/>
            <w:left w:val="none" w:sz="0" w:space="0" w:color="auto"/>
            <w:bottom w:val="none" w:sz="0" w:space="0" w:color="auto"/>
            <w:right w:val="none" w:sz="0" w:space="0" w:color="auto"/>
          </w:divBdr>
        </w:div>
        <w:div w:id="876047337">
          <w:marLeft w:val="0"/>
          <w:marRight w:val="0"/>
          <w:marTop w:val="0"/>
          <w:marBottom w:val="0"/>
          <w:divBdr>
            <w:top w:val="none" w:sz="0" w:space="0" w:color="auto"/>
            <w:left w:val="none" w:sz="0" w:space="0" w:color="auto"/>
            <w:bottom w:val="none" w:sz="0" w:space="0" w:color="auto"/>
            <w:right w:val="none" w:sz="0" w:space="0" w:color="auto"/>
          </w:divBdr>
        </w:div>
        <w:div w:id="879590161">
          <w:marLeft w:val="0"/>
          <w:marRight w:val="0"/>
          <w:marTop w:val="0"/>
          <w:marBottom w:val="0"/>
          <w:divBdr>
            <w:top w:val="none" w:sz="0" w:space="0" w:color="auto"/>
            <w:left w:val="none" w:sz="0" w:space="0" w:color="auto"/>
            <w:bottom w:val="none" w:sz="0" w:space="0" w:color="auto"/>
            <w:right w:val="none" w:sz="0" w:space="0" w:color="auto"/>
          </w:divBdr>
        </w:div>
        <w:div w:id="885340004">
          <w:marLeft w:val="0"/>
          <w:marRight w:val="0"/>
          <w:marTop w:val="0"/>
          <w:marBottom w:val="0"/>
          <w:divBdr>
            <w:top w:val="none" w:sz="0" w:space="0" w:color="auto"/>
            <w:left w:val="none" w:sz="0" w:space="0" w:color="auto"/>
            <w:bottom w:val="none" w:sz="0" w:space="0" w:color="auto"/>
            <w:right w:val="none" w:sz="0" w:space="0" w:color="auto"/>
          </w:divBdr>
        </w:div>
        <w:div w:id="893658942">
          <w:marLeft w:val="0"/>
          <w:marRight w:val="0"/>
          <w:marTop w:val="0"/>
          <w:marBottom w:val="0"/>
          <w:divBdr>
            <w:top w:val="none" w:sz="0" w:space="0" w:color="auto"/>
            <w:left w:val="none" w:sz="0" w:space="0" w:color="auto"/>
            <w:bottom w:val="none" w:sz="0" w:space="0" w:color="auto"/>
            <w:right w:val="none" w:sz="0" w:space="0" w:color="auto"/>
          </w:divBdr>
        </w:div>
        <w:div w:id="895971808">
          <w:marLeft w:val="0"/>
          <w:marRight w:val="0"/>
          <w:marTop w:val="0"/>
          <w:marBottom w:val="0"/>
          <w:divBdr>
            <w:top w:val="none" w:sz="0" w:space="0" w:color="auto"/>
            <w:left w:val="none" w:sz="0" w:space="0" w:color="auto"/>
            <w:bottom w:val="none" w:sz="0" w:space="0" w:color="auto"/>
            <w:right w:val="none" w:sz="0" w:space="0" w:color="auto"/>
          </w:divBdr>
        </w:div>
        <w:div w:id="906261908">
          <w:marLeft w:val="0"/>
          <w:marRight w:val="0"/>
          <w:marTop w:val="0"/>
          <w:marBottom w:val="0"/>
          <w:divBdr>
            <w:top w:val="none" w:sz="0" w:space="0" w:color="auto"/>
            <w:left w:val="none" w:sz="0" w:space="0" w:color="auto"/>
            <w:bottom w:val="none" w:sz="0" w:space="0" w:color="auto"/>
            <w:right w:val="none" w:sz="0" w:space="0" w:color="auto"/>
          </w:divBdr>
        </w:div>
        <w:div w:id="908805817">
          <w:marLeft w:val="0"/>
          <w:marRight w:val="0"/>
          <w:marTop w:val="0"/>
          <w:marBottom w:val="0"/>
          <w:divBdr>
            <w:top w:val="none" w:sz="0" w:space="0" w:color="auto"/>
            <w:left w:val="none" w:sz="0" w:space="0" w:color="auto"/>
            <w:bottom w:val="none" w:sz="0" w:space="0" w:color="auto"/>
            <w:right w:val="none" w:sz="0" w:space="0" w:color="auto"/>
          </w:divBdr>
        </w:div>
        <w:div w:id="921530225">
          <w:marLeft w:val="0"/>
          <w:marRight w:val="0"/>
          <w:marTop w:val="0"/>
          <w:marBottom w:val="0"/>
          <w:divBdr>
            <w:top w:val="none" w:sz="0" w:space="0" w:color="auto"/>
            <w:left w:val="none" w:sz="0" w:space="0" w:color="auto"/>
            <w:bottom w:val="none" w:sz="0" w:space="0" w:color="auto"/>
            <w:right w:val="none" w:sz="0" w:space="0" w:color="auto"/>
          </w:divBdr>
        </w:div>
        <w:div w:id="922106428">
          <w:marLeft w:val="0"/>
          <w:marRight w:val="0"/>
          <w:marTop w:val="0"/>
          <w:marBottom w:val="0"/>
          <w:divBdr>
            <w:top w:val="none" w:sz="0" w:space="0" w:color="auto"/>
            <w:left w:val="none" w:sz="0" w:space="0" w:color="auto"/>
            <w:bottom w:val="none" w:sz="0" w:space="0" w:color="auto"/>
            <w:right w:val="none" w:sz="0" w:space="0" w:color="auto"/>
          </w:divBdr>
        </w:div>
        <w:div w:id="923490360">
          <w:marLeft w:val="0"/>
          <w:marRight w:val="0"/>
          <w:marTop w:val="0"/>
          <w:marBottom w:val="0"/>
          <w:divBdr>
            <w:top w:val="none" w:sz="0" w:space="0" w:color="auto"/>
            <w:left w:val="none" w:sz="0" w:space="0" w:color="auto"/>
            <w:bottom w:val="none" w:sz="0" w:space="0" w:color="auto"/>
            <w:right w:val="none" w:sz="0" w:space="0" w:color="auto"/>
          </w:divBdr>
        </w:div>
        <w:div w:id="928661304">
          <w:marLeft w:val="0"/>
          <w:marRight w:val="0"/>
          <w:marTop w:val="0"/>
          <w:marBottom w:val="0"/>
          <w:divBdr>
            <w:top w:val="none" w:sz="0" w:space="0" w:color="auto"/>
            <w:left w:val="none" w:sz="0" w:space="0" w:color="auto"/>
            <w:bottom w:val="none" w:sz="0" w:space="0" w:color="auto"/>
            <w:right w:val="none" w:sz="0" w:space="0" w:color="auto"/>
          </w:divBdr>
        </w:div>
        <w:div w:id="931861850">
          <w:marLeft w:val="0"/>
          <w:marRight w:val="0"/>
          <w:marTop w:val="0"/>
          <w:marBottom w:val="0"/>
          <w:divBdr>
            <w:top w:val="none" w:sz="0" w:space="0" w:color="auto"/>
            <w:left w:val="none" w:sz="0" w:space="0" w:color="auto"/>
            <w:bottom w:val="none" w:sz="0" w:space="0" w:color="auto"/>
            <w:right w:val="none" w:sz="0" w:space="0" w:color="auto"/>
          </w:divBdr>
        </w:div>
        <w:div w:id="932905983">
          <w:marLeft w:val="0"/>
          <w:marRight w:val="0"/>
          <w:marTop w:val="0"/>
          <w:marBottom w:val="0"/>
          <w:divBdr>
            <w:top w:val="none" w:sz="0" w:space="0" w:color="auto"/>
            <w:left w:val="none" w:sz="0" w:space="0" w:color="auto"/>
            <w:bottom w:val="none" w:sz="0" w:space="0" w:color="auto"/>
            <w:right w:val="none" w:sz="0" w:space="0" w:color="auto"/>
          </w:divBdr>
        </w:div>
        <w:div w:id="939290893">
          <w:marLeft w:val="0"/>
          <w:marRight w:val="0"/>
          <w:marTop w:val="0"/>
          <w:marBottom w:val="0"/>
          <w:divBdr>
            <w:top w:val="none" w:sz="0" w:space="0" w:color="auto"/>
            <w:left w:val="none" w:sz="0" w:space="0" w:color="auto"/>
            <w:bottom w:val="none" w:sz="0" w:space="0" w:color="auto"/>
            <w:right w:val="none" w:sz="0" w:space="0" w:color="auto"/>
          </w:divBdr>
        </w:div>
        <w:div w:id="943534873">
          <w:marLeft w:val="0"/>
          <w:marRight w:val="0"/>
          <w:marTop w:val="0"/>
          <w:marBottom w:val="0"/>
          <w:divBdr>
            <w:top w:val="none" w:sz="0" w:space="0" w:color="auto"/>
            <w:left w:val="none" w:sz="0" w:space="0" w:color="auto"/>
            <w:bottom w:val="none" w:sz="0" w:space="0" w:color="auto"/>
            <w:right w:val="none" w:sz="0" w:space="0" w:color="auto"/>
          </w:divBdr>
        </w:div>
        <w:div w:id="944311895">
          <w:marLeft w:val="0"/>
          <w:marRight w:val="0"/>
          <w:marTop w:val="0"/>
          <w:marBottom w:val="0"/>
          <w:divBdr>
            <w:top w:val="none" w:sz="0" w:space="0" w:color="auto"/>
            <w:left w:val="none" w:sz="0" w:space="0" w:color="auto"/>
            <w:bottom w:val="none" w:sz="0" w:space="0" w:color="auto"/>
            <w:right w:val="none" w:sz="0" w:space="0" w:color="auto"/>
          </w:divBdr>
        </w:div>
        <w:div w:id="944650827">
          <w:marLeft w:val="0"/>
          <w:marRight w:val="0"/>
          <w:marTop w:val="0"/>
          <w:marBottom w:val="0"/>
          <w:divBdr>
            <w:top w:val="none" w:sz="0" w:space="0" w:color="auto"/>
            <w:left w:val="none" w:sz="0" w:space="0" w:color="auto"/>
            <w:bottom w:val="none" w:sz="0" w:space="0" w:color="auto"/>
            <w:right w:val="none" w:sz="0" w:space="0" w:color="auto"/>
          </w:divBdr>
        </w:div>
        <w:div w:id="946541901">
          <w:marLeft w:val="0"/>
          <w:marRight w:val="0"/>
          <w:marTop w:val="0"/>
          <w:marBottom w:val="0"/>
          <w:divBdr>
            <w:top w:val="none" w:sz="0" w:space="0" w:color="auto"/>
            <w:left w:val="none" w:sz="0" w:space="0" w:color="auto"/>
            <w:bottom w:val="none" w:sz="0" w:space="0" w:color="auto"/>
            <w:right w:val="none" w:sz="0" w:space="0" w:color="auto"/>
          </w:divBdr>
        </w:div>
        <w:div w:id="947080352">
          <w:marLeft w:val="0"/>
          <w:marRight w:val="0"/>
          <w:marTop w:val="0"/>
          <w:marBottom w:val="0"/>
          <w:divBdr>
            <w:top w:val="none" w:sz="0" w:space="0" w:color="auto"/>
            <w:left w:val="none" w:sz="0" w:space="0" w:color="auto"/>
            <w:bottom w:val="none" w:sz="0" w:space="0" w:color="auto"/>
            <w:right w:val="none" w:sz="0" w:space="0" w:color="auto"/>
          </w:divBdr>
        </w:div>
        <w:div w:id="950403270">
          <w:marLeft w:val="0"/>
          <w:marRight w:val="0"/>
          <w:marTop w:val="0"/>
          <w:marBottom w:val="0"/>
          <w:divBdr>
            <w:top w:val="none" w:sz="0" w:space="0" w:color="auto"/>
            <w:left w:val="none" w:sz="0" w:space="0" w:color="auto"/>
            <w:bottom w:val="none" w:sz="0" w:space="0" w:color="auto"/>
            <w:right w:val="none" w:sz="0" w:space="0" w:color="auto"/>
          </w:divBdr>
        </w:div>
        <w:div w:id="955676224">
          <w:marLeft w:val="0"/>
          <w:marRight w:val="0"/>
          <w:marTop w:val="0"/>
          <w:marBottom w:val="0"/>
          <w:divBdr>
            <w:top w:val="none" w:sz="0" w:space="0" w:color="auto"/>
            <w:left w:val="none" w:sz="0" w:space="0" w:color="auto"/>
            <w:bottom w:val="none" w:sz="0" w:space="0" w:color="auto"/>
            <w:right w:val="none" w:sz="0" w:space="0" w:color="auto"/>
          </w:divBdr>
        </w:div>
        <w:div w:id="955795451">
          <w:marLeft w:val="0"/>
          <w:marRight w:val="0"/>
          <w:marTop w:val="0"/>
          <w:marBottom w:val="0"/>
          <w:divBdr>
            <w:top w:val="none" w:sz="0" w:space="0" w:color="auto"/>
            <w:left w:val="none" w:sz="0" w:space="0" w:color="auto"/>
            <w:bottom w:val="none" w:sz="0" w:space="0" w:color="auto"/>
            <w:right w:val="none" w:sz="0" w:space="0" w:color="auto"/>
          </w:divBdr>
        </w:div>
        <w:div w:id="958219206">
          <w:marLeft w:val="0"/>
          <w:marRight w:val="0"/>
          <w:marTop w:val="0"/>
          <w:marBottom w:val="0"/>
          <w:divBdr>
            <w:top w:val="none" w:sz="0" w:space="0" w:color="auto"/>
            <w:left w:val="none" w:sz="0" w:space="0" w:color="auto"/>
            <w:bottom w:val="none" w:sz="0" w:space="0" w:color="auto"/>
            <w:right w:val="none" w:sz="0" w:space="0" w:color="auto"/>
          </w:divBdr>
        </w:div>
        <w:div w:id="961620621">
          <w:marLeft w:val="0"/>
          <w:marRight w:val="0"/>
          <w:marTop w:val="0"/>
          <w:marBottom w:val="0"/>
          <w:divBdr>
            <w:top w:val="none" w:sz="0" w:space="0" w:color="auto"/>
            <w:left w:val="none" w:sz="0" w:space="0" w:color="auto"/>
            <w:bottom w:val="none" w:sz="0" w:space="0" w:color="auto"/>
            <w:right w:val="none" w:sz="0" w:space="0" w:color="auto"/>
          </w:divBdr>
        </w:div>
        <w:div w:id="964314603">
          <w:marLeft w:val="0"/>
          <w:marRight w:val="0"/>
          <w:marTop w:val="0"/>
          <w:marBottom w:val="0"/>
          <w:divBdr>
            <w:top w:val="none" w:sz="0" w:space="0" w:color="auto"/>
            <w:left w:val="none" w:sz="0" w:space="0" w:color="auto"/>
            <w:bottom w:val="none" w:sz="0" w:space="0" w:color="auto"/>
            <w:right w:val="none" w:sz="0" w:space="0" w:color="auto"/>
          </w:divBdr>
        </w:div>
        <w:div w:id="965694035">
          <w:marLeft w:val="0"/>
          <w:marRight w:val="0"/>
          <w:marTop w:val="0"/>
          <w:marBottom w:val="0"/>
          <w:divBdr>
            <w:top w:val="none" w:sz="0" w:space="0" w:color="auto"/>
            <w:left w:val="none" w:sz="0" w:space="0" w:color="auto"/>
            <w:bottom w:val="none" w:sz="0" w:space="0" w:color="auto"/>
            <w:right w:val="none" w:sz="0" w:space="0" w:color="auto"/>
          </w:divBdr>
        </w:div>
        <w:div w:id="971208528">
          <w:marLeft w:val="0"/>
          <w:marRight w:val="0"/>
          <w:marTop w:val="0"/>
          <w:marBottom w:val="0"/>
          <w:divBdr>
            <w:top w:val="none" w:sz="0" w:space="0" w:color="auto"/>
            <w:left w:val="none" w:sz="0" w:space="0" w:color="auto"/>
            <w:bottom w:val="none" w:sz="0" w:space="0" w:color="auto"/>
            <w:right w:val="none" w:sz="0" w:space="0" w:color="auto"/>
          </w:divBdr>
        </w:div>
        <w:div w:id="972948775">
          <w:marLeft w:val="0"/>
          <w:marRight w:val="0"/>
          <w:marTop w:val="0"/>
          <w:marBottom w:val="0"/>
          <w:divBdr>
            <w:top w:val="none" w:sz="0" w:space="0" w:color="auto"/>
            <w:left w:val="none" w:sz="0" w:space="0" w:color="auto"/>
            <w:bottom w:val="none" w:sz="0" w:space="0" w:color="auto"/>
            <w:right w:val="none" w:sz="0" w:space="0" w:color="auto"/>
          </w:divBdr>
        </w:div>
        <w:div w:id="973367310">
          <w:marLeft w:val="0"/>
          <w:marRight w:val="0"/>
          <w:marTop w:val="0"/>
          <w:marBottom w:val="0"/>
          <w:divBdr>
            <w:top w:val="none" w:sz="0" w:space="0" w:color="auto"/>
            <w:left w:val="none" w:sz="0" w:space="0" w:color="auto"/>
            <w:bottom w:val="none" w:sz="0" w:space="0" w:color="auto"/>
            <w:right w:val="none" w:sz="0" w:space="0" w:color="auto"/>
          </w:divBdr>
        </w:div>
        <w:div w:id="975373397">
          <w:marLeft w:val="0"/>
          <w:marRight w:val="0"/>
          <w:marTop w:val="0"/>
          <w:marBottom w:val="0"/>
          <w:divBdr>
            <w:top w:val="none" w:sz="0" w:space="0" w:color="auto"/>
            <w:left w:val="none" w:sz="0" w:space="0" w:color="auto"/>
            <w:bottom w:val="none" w:sz="0" w:space="0" w:color="auto"/>
            <w:right w:val="none" w:sz="0" w:space="0" w:color="auto"/>
          </w:divBdr>
        </w:div>
        <w:div w:id="976035680">
          <w:marLeft w:val="0"/>
          <w:marRight w:val="0"/>
          <w:marTop w:val="0"/>
          <w:marBottom w:val="0"/>
          <w:divBdr>
            <w:top w:val="none" w:sz="0" w:space="0" w:color="auto"/>
            <w:left w:val="none" w:sz="0" w:space="0" w:color="auto"/>
            <w:bottom w:val="none" w:sz="0" w:space="0" w:color="auto"/>
            <w:right w:val="none" w:sz="0" w:space="0" w:color="auto"/>
          </w:divBdr>
        </w:div>
        <w:div w:id="981422159">
          <w:marLeft w:val="0"/>
          <w:marRight w:val="0"/>
          <w:marTop w:val="0"/>
          <w:marBottom w:val="0"/>
          <w:divBdr>
            <w:top w:val="none" w:sz="0" w:space="0" w:color="auto"/>
            <w:left w:val="none" w:sz="0" w:space="0" w:color="auto"/>
            <w:bottom w:val="none" w:sz="0" w:space="0" w:color="auto"/>
            <w:right w:val="none" w:sz="0" w:space="0" w:color="auto"/>
          </w:divBdr>
        </w:div>
        <w:div w:id="984361096">
          <w:marLeft w:val="0"/>
          <w:marRight w:val="0"/>
          <w:marTop w:val="0"/>
          <w:marBottom w:val="0"/>
          <w:divBdr>
            <w:top w:val="none" w:sz="0" w:space="0" w:color="auto"/>
            <w:left w:val="none" w:sz="0" w:space="0" w:color="auto"/>
            <w:bottom w:val="none" w:sz="0" w:space="0" w:color="auto"/>
            <w:right w:val="none" w:sz="0" w:space="0" w:color="auto"/>
          </w:divBdr>
        </w:div>
        <w:div w:id="988559538">
          <w:marLeft w:val="0"/>
          <w:marRight w:val="0"/>
          <w:marTop w:val="0"/>
          <w:marBottom w:val="0"/>
          <w:divBdr>
            <w:top w:val="none" w:sz="0" w:space="0" w:color="auto"/>
            <w:left w:val="none" w:sz="0" w:space="0" w:color="auto"/>
            <w:bottom w:val="none" w:sz="0" w:space="0" w:color="auto"/>
            <w:right w:val="none" w:sz="0" w:space="0" w:color="auto"/>
          </w:divBdr>
        </w:div>
        <w:div w:id="991526028">
          <w:marLeft w:val="0"/>
          <w:marRight w:val="0"/>
          <w:marTop w:val="0"/>
          <w:marBottom w:val="0"/>
          <w:divBdr>
            <w:top w:val="none" w:sz="0" w:space="0" w:color="auto"/>
            <w:left w:val="none" w:sz="0" w:space="0" w:color="auto"/>
            <w:bottom w:val="none" w:sz="0" w:space="0" w:color="auto"/>
            <w:right w:val="none" w:sz="0" w:space="0" w:color="auto"/>
          </w:divBdr>
        </w:div>
        <w:div w:id="996300255">
          <w:marLeft w:val="0"/>
          <w:marRight w:val="0"/>
          <w:marTop w:val="0"/>
          <w:marBottom w:val="0"/>
          <w:divBdr>
            <w:top w:val="none" w:sz="0" w:space="0" w:color="auto"/>
            <w:left w:val="none" w:sz="0" w:space="0" w:color="auto"/>
            <w:bottom w:val="none" w:sz="0" w:space="0" w:color="auto"/>
            <w:right w:val="none" w:sz="0" w:space="0" w:color="auto"/>
          </w:divBdr>
        </w:div>
        <w:div w:id="997536142">
          <w:marLeft w:val="0"/>
          <w:marRight w:val="0"/>
          <w:marTop w:val="0"/>
          <w:marBottom w:val="0"/>
          <w:divBdr>
            <w:top w:val="none" w:sz="0" w:space="0" w:color="auto"/>
            <w:left w:val="none" w:sz="0" w:space="0" w:color="auto"/>
            <w:bottom w:val="none" w:sz="0" w:space="0" w:color="auto"/>
            <w:right w:val="none" w:sz="0" w:space="0" w:color="auto"/>
          </w:divBdr>
        </w:div>
        <w:div w:id="997727233">
          <w:marLeft w:val="0"/>
          <w:marRight w:val="0"/>
          <w:marTop w:val="0"/>
          <w:marBottom w:val="0"/>
          <w:divBdr>
            <w:top w:val="none" w:sz="0" w:space="0" w:color="auto"/>
            <w:left w:val="none" w:sz="0" w:space="0" w:color="auto"/>
            <w:bottom w:val="none" w:sz="0" w:space="0" w:color="auto"/>
            <w:right w:val="none" w:sz="0" w:space="0" w:color="auto"/>
          </w:divBdr>
        </w:div>
        <w:div w:id="998534647">
          <w:marLeft w:val="0"/>
          <w:marRight w:val="0"/>
          <w:marTop w:val="0"/>
          <w:marBottom w:val="0"/>
          <w:divBdr>
            <w:top w:val="none" w:sz="0" w:space="0" w:color="auto"/>
            <w:left w:val="none" w:sz="0" w:space="0" w:color="auto"/>
            <w:bottom w:val="none" w:sz="0" w:space="0" w:color="auto"/>
            <w:right w:val="none" w:sz="0" w:space="0" w:color="auto"/>
          </w:divBdr>
        </w:div>
        <w:div w:id="1000426856">
          <w:marLeft w:val="0"/>
          <w:marRight w:val="0"/>
          <w:marTop w:val="0"/>
          <w:marBottom w:val="0"/>
          <w:divBdr>
            <w:top w:val="none" w:sz="0" w:space="0" w:color="auto"/>
            <w:left w:val="none" w:sz="0" w:space="0" w:color="auto"/>
            <w:bottom w:val="none" w:sz="0" w:space="0" w:color="auto"/>
            <w:right w:val="none" w:sz="0" w:space="0" w:color="auto"/>
          </w:divBdr>
        </w:div>
        <w:div w:id="1002465762">
          <w:marLeft w:val="0"/>
          <w:marRight w:val="0"/>
          <w:marTop w:val="0"/>
          <w:marBottom w:val="0"/>
          <w:divBdr>
            <w:top w:val="none" w:sz="0" w:space="0" w:color="auto"/>
            <w:left w:val="none" w:sz="0" w:space="0" w:color="auto"/>
            <w:bottom w:val="none" w:sz="0" w:space="0" w:color="auto"/>
            <w:right w:val="none" w:sz="0" w:space="0" w:color="auto"/>
          </w:divBdr>
        </w:div>
        <w:div w:id="1008212896">
          <w:marLeft w:val="0"/>
          <w:marRight w:val="0"/>
          <w:marTop w:val="0"/>
          <w:marBottom w:val="0"/>
          <w:divBdr>
            <w:top w:val="none" w:sz="0" w:space="0" w:color="auto"/>
            <w:left w:val="none" w:sz="0" w:space="0" w:color="auto"/>
            <w:bottom w:val="none" w:sz="0" w:space="0" w:color="auto"/>
            <w:right w:val="none" w:sz="0" w:space="0" w:color="auto"/>
          </w:divBdr>
        </w:div>
        <w:div w:id="1012562375">
          <w:marLeft w:val="0"/>
          <w:marRight w:val="0"/>
          <w:marTop w:val="0"/>
          <w:marBottom w:val="0"/>
          <w:divBdr>
            <w:top w:val="none" w:sz="0" w:space="0" w:color="auto"/>
            <w:left w:val="none" w:sz="0" w:space="0" w:color="auto"/>
            <w:bottom w:val="none" w:sz="0" w:space="0" w:color="auto"/>
            <w:right w:val="none" w:sz="0" w:space="0" w:color="auto"/>
          </w:divBdr>
        </w:div>
        <w:div w:id="1013532940">
          <w:marLeft w:val="0"/>
          <w:marRight w:val="0"/>
          <w:marTop w:val="0"/>
          <w:marBottom w:val="0"/>
          <w:divBdr>
            <w:top w:val="none" w:sz="0" w:space="0" w:color="auto"/>
            <w:left w:val="none" w:sz="0" w:space="0" w:color="auto"/>
            <w:bottom w:val="none" w:sz="0" w:space="0" w:color="auto"/>
            <w:right w:val="none" w:sz="0" w:space="0" w:color="auto"/>
          </w:divBdr>
        </w:div>
        <w:div w:id="1014385596">
          <w:marLeft w:val="0"/>
          <w:marRight w:val="0"/>
          <w:marTop w:val="0"/>
          <w:marBottom w:val="0"/>
          <w:divBdr>
            <w:top w:val="none" w:sz="0" w:space="0" w:color="auto"/>
            <w:left w:val="none" w:sz="0" w:space="0" w:color="auto"/>
            <w:bottom w:val="none" w:sz="0" w:space="0" w:color="auto"/>
            <w:right w:val="none" w:sz="0" w:space="0" w:color="auto"/>
          </w:divBdr>
        </w:div>
        <w:div w:id="1018196139">
          <w:marLeft w:val="0"/>
          <w:marRight w:val="0"/>
          <w:marTop w:val="0"/>
          <w:marBottom w:val="0"/>
          <w:divBdr>
            <w:top w:val="none" w:sz="0" w:space="0" w:color="auto"/>
            <w:left w:val="none" w:sz="0" w:space="0" w:color="auto"/>
            <w:bottom w:val="none" w:sz="0" w:space="0" w:color="auto"/>
            <w:right w:val="none" w:sz="0" w:space="0" w:color="auto"/>
          </w:divBdr>
        </w:div>
        <w:div w:id="1021668026">
          <w:marLeft w:val="0"/>
          <w:marRight w:val="0"/>
          <w:marTop w:val="0"/>
          <w:marBottom w:val="0"/>
          <w:divBdr>
            <w:top w:val="none" w:sz="0" w:space="0" w:color="auto"/>
            <w:left w:val="none" w:sz="0" w:space="0" w:color="auto"/>
            <w:bottom w:val="none" w:sz="0" w:space="0" w:color="auto"/>
            <w:right w:val="none" w:sz="0" w:space="0" w:color="auto"/>
          </w:divBdr>
        </w:div>
        <w:div w:id="1024404678">
          <w:marLeft w:val="0"/>
          <w:marRight w:val="0"/>
          <w:marTop w:val="0"/>
          <w:marBottom w:val="0"/>
          <w:divBdr>
            <w:top w:val="none" w:sz="0" w:space="0" w:color="auto"/>
            <w:left w:val="none" w:sz="0" w:space="0" w:color="auto"/>
            <w:bottom w:val="none" w:sz="0" w:space="0" w:color="auto"/>
            <w:right w:val="none" w:sz="0" w:space="0" w:color="auto"/>
          </w:divBdr>
        </w:div>
        <w:div w:id="1028792653">
          <w:marLeft w:val="0"/>
          <w:marRight w:val="0"/>
          <w:marTop w:val="0"/>
          <w:marBottom w:val="0"/>
          <w:divBdr>
            <w:top w:val="none" w:sz="0" w:space="0" w:color="auto"/>
            <w:left w:val="none" w:sz="0" w:space="0" w:color="auto"/>
            <w:bottom w:val="none" w:sz="0" w:space="0" w:color="auto"/>
            <w:right w:val="none" w:sz="0" w:space="0" w:color="auto"/>
          </w:divBdr>
        </w:div>
        <w:div w:id="1029724418">
          <w:marLeft w:val="0"/>
          <w:marRight w:val="0"/>
          <w:marTop w:val="0"/>
          <w:marBottom w:val="0"/>
          <w:divBdr>
            <w:top w:val="none" w:sz="0" w:space="0" w:color="auto"/>
            <w:left w:val="none" w:sz="0" w:space="0" w:color="auto"/>
            <w:bottom w:val="none" w:sz="0" w:space="0" w:color="auto"/>
            <w:right w:val="none" w:sz="0" w:space="0" w:color="auto"/>
          </w:divBdr>
        </w:div>
        <w:div w:id="1035807403">
          <w:marLeft w:val="0"/>
          <w:marRight w:val="0"/>
          <w:marTop w:val="0"/>
          <w:marBottom w:val="0"/>
          <w:divBdr>
            <w:top w:val="none" w:sz="0" w:space="0" w:color="auto"/>
            <w:left w:val="none" w:sz="0" w:space="0" w:color="auto"/>
            <w:bottom w:val="none" w:sz="0" w:space="0" w:color="auto"/>
            <w:right w:val="none" w:sz="0" w:space="0" w:color="auto"/>
          </w:divBdr>
        </w:div>
        <w:div w:id="1039479717">
          <w:marLeft w:val="0"/>
          <w:marRight w:val="0"/>
          <w:marTop w:val="0"/>
          <w:marBottom w:val="0"/>
          <w:divBdr>
            <w:top w:val="none" w:sz="0" w:space="0" w:color="auto"/>
            <w:left w:val="none" w:sz="0" w:space="0" w:color="auto"/>
            <w:bottom w:val="none" w:sz="0" w:space="0" w:color="auto"/>
            <w:right w:val="none" w:sz="0" w:space="0" w:color="auto"/>
          </w:divBdr>
        </w:div>
        <w:div w:id="1045714195">
          <w:marLeft w:val="0"/>
          <w:marRight w:val="0"/>
          <w:marTop w:val="0"/>
          <w:marBottom w:val="0"/>
          <w:divBdr>
            <w:top w:val="none" w:sz="0" w:space="0" w:color="auto"/>
            <w:left w:val="none" w:sz="0" w:space="0" w:color="auto"/>
            <w:bottom w:val="none" w:sz="0" w:space="0" w:color="auto"/>
            <w:right w:val="none" w:sz="0" w:space="0" w:color="auto"/>
          </w:divBdr>
        </w:div>
        <w:div w:id="1050425244">
          <w:marLeft w:val="0"/>
          <w:marRight w:val="0"/>
          <w:marTop w:val="0"/>
          <w:marBottom w:val="0"/>
          <w:divBdr>
            <w:top w:val="none" w:sz="0" w:space="0" w:color="auto"/>
            <w:left w:val="none" w:sz="0" w:space="0" w:color="auto"/>
            <w:bottom w:val="none" w:sz="0" w:space="0" w:color="auto"/>
            <w:right w:val="none" w:sz="0" w:space="0" w:color="auto"/>
          </w:divBdr>
        </w:div>
        <w:div w:id="1051880926">
          <w:marLeft w:val="0"/>
          <w:marRight w:val="0"/>
          <w:marTop w:val="0"/>
          <w:marBottom w:val="0"/>
          <w:divBdr>
            <w:top w:val="none" w:sz="0" w:space="0" w:color="auto"/>
            <w:left w:val="none" w:sz="0" w:space="0" w:color="auto"/>
            <w:bottom w:val="none" w:sz="0" w:space="0" w:color="auto"/>
            <w:right w:val="none" w:sz="0" w:space="0" w:color="auto"/>
          </w:divBdr>
        </w:div>
        <w:div w:id="1052735607">
          <w:marLeft w:val="0"/>
          <w:marRight w:val="0"/>
          <w:marTop w:val="0"/>
          <w:marBottom w:val="0"/>
          <w:divBdr>
            <w:top w:val="none" w:sz="0" w:space="0" w:color="auto"/>
            <w:left w:val="none" w:sz="0" w:space="0" w:color="auto"/>
            <w:bottom w:val="none" w:sz="0" w:space="0" w:color="auto"/>
            <w:right w:val="none" w:sz="0" w:space="0" w:color="auto"/>
          </w:divBdr>
        </w:div>
        <w:div w:id="1054042492">
          <w:marLeft w:val="0"/>
          <w:marRight w:val="0"/>
          <w:marTop w:val="0"/>
          <w:marBottom w:val="0"/>
          <w:divBdr>
            <w:top w:val="none" w:sz="0" w:space="0" w:color="auto"/>
            <w:left w:val="none" w:sz="0" w:space="0" w:color="auto"/>
            <w:bottom w:val="none" w:sz="0" w:space="0" w:color="auto"/>
            <w:right w:val="none" w:sz="0" w:space="0" w:color="auto"/>
          </w:divBdr>
        </w:div>
        <w:div w:id="1055349046">
          <w:marLeft w:val="0"/>
          <w:marRight w:val="0"/>
          <w:marTop w:val="0"/>
          <w:marBottom w:val="0"/>
          <w:divBdr>
            <w:top w:val="none" w:sz="0" w:space="0" w:color="auto"/>
            <w:left w:val="none" w:sz="0" w:space="0" w:color="auto"/>
            <w:bottom w:val="none" w:sz="0" w:space="0" w:color="auto"/>
            <w:right w:val="none" w:sz="0" w:space="0" w:color="auto"/>
          </w:divBdr>
        </w:div>
        <w:div w:id="1055812343">
          <w:marLeft w:val="0"/>
          <w:marRight w:val="0"/>
          <w:marTop w:val="0"/>
          <w:marBottom w:val="0"/>
          <w:divBdr>
            <w:top w:val="none" w:sz="0" w:space="0" w:color="auto"/>
            <w:left w:val="none" w:sz="0" w:space="0" w:color="auto"/>
            <w:bottom w:val="none" w:sz="0" w:space="0" w:color="auto"/>
            <w:right w:val="none" w:sz="0" w:space="0" w:color="auto"/>
          </w:divBdr>
        </w:div>
        <w:div w:id="1056314202">
          <w:marLeft w:val="0"/>
          <w:marRight w:val="0"/>
          <w:marTop w:val="0"/>
          <w:marBottom w:val="0"/>
          <w:divBdr>
            <w:top w:val="none" w:sz="0" w:space="0" w:color="auto"/>
            <w:left w:val="none" w:sz="0" w:space="0" w:color="auto"/>
            <w:bottom w:val="none" w:sz="0" w:space="0" w:color="auto"/>
            <w:right w:val="none" w:sz="0" w:space="0" w:color="auto"/>
          </w:divBdr>
        </w:div>
        <w:div w:id="1057751165">
          <w:marLeft w:val="0"/>
          <w:marRight w:val="0"/>
          <w:marTop w:val="0"/>
          <w:marBottom w:val="0"/>
          <w:divBdr>
            <w:top w:val="none" w:sz="0" w:space="0" w:color="auto"/>
            <w:left w:val="none" w:sz="0" w:space="0" w:color="auto"/>
            <w:bottom w:val="none" w:sz="0" w:space="0" w:color="auto"/>
            <w:right w:val="none" w:sz="0" w:space="0" w:color="auto"/>
          </w:divBdr>
        </w:div>
        <w:div w:id="1060519310">
          <w:marLeft w:val="0"/>
          <w:marRight w:val="0"/>
          <w:marTop w:val="0"/>
          <w:marBottom w:val="0"/>
          <w:divBdr>
            <w:top w:val="none" w:sz="0" w:space="0" w:color="auto"/>
            <w:left w:val="none" w:sz="0" w:space="0" w:color="auto"/>
            <w:bottom w:val="none" w:sz="0" w:space="0" w:color="auto"/>
            <w:right w:val="none" w:sz="0" w:space="0" w:color="auto"/>
          </w:divBdr>
        </w:div>
        <w:div w:id="1060523759">
          <w:marLeft w:val="0"/>
          <w:marRight w:val="0"/>
          <w:marTop w:val="0"/>
          <w:marBottom w:val="0"/>
          <w:divBdr>
            <w:top w:val="none" w:sz="0" w:space="0" w:color="auto"/>
            <w:left w:val="none" w:sz="0" w:space="0" w:color="auto"/>
            <w:bottom w:val="none" w:sz="0" w:space="0" w:color="auto"/>
            <w:right w:val="none" w:sz="0" w:space="0" w:color="auto"/>
          </w:divBdr>
        </w:div>
        <w:div w:id="1062484409">
          <w:marLeft w:val="0"/>
          <w:marRight w:val="0"/>
          <w:marTop w:val="0"/>
          <w:marBottom w:val="0"/>
          <w:divBdr>
            <w:top w:val="none" w:sz="0" w:space="0" w:color="auto"/>
            <w:left w:val="none" w:sz="0" w:space="0" w:color="auto"/>
            <w:bottom w:val="none" w:sz="0" w:space="0" w:color="auto"/>
            <w:right w:val="none" w:sz="0" w:space="0" w:color="auto"/>
          </w:divBdr>
        </w:div>
        <w:div w:id="1066337391">
          <w:marLeft w:val="0"/>
          <w:marRight w:val="0"/>
          <w:marTop w:val="0"/>
          <w:marBottom w:val="0"/>
          <w:divBdr>
            <w:top w:val="none" w:sz="0" w:space="0" w:color="auto"/>
            <w:left w:val="none" w:sz="0" w:space="0" w:color="auto"/>
            <w:bottom w:val="none" w:sz="0" w:space="0" w:color="auto"/>
            <w:right w:val="none" w:sz="0" w:space="0" w:color="auto"/>
          </w:divBdr>
        </w:div>
        <w:div w:id="1067076334">
          <w:marLeft w:val="0"/>
          <w:marRight w:val="0"/>
          <w:marTop w:val="0"/>
          <w:marBottom w:val="0"/>
          <w:divBdr>
            <w:top w:val="none" w:sz="0" w:space="0" w:color="auto"/>
            <w:left w:val="none" w:sz="0" w:space="0" w:color="auto"/>
            <w:bottom w:val="none" w:sz="0" w:space="0" w:color="auto"/>
            <w:right w:val="none" w:sz="0" w:space="0" w:color="auto"/>
          </w:divBdr>
        </w:div>
        <w:div w:id="1073506826">
          <w:marLeft w:val="0"/>
          <w:marRight w:val="0"/>
          <w:marTop w:val="0"/>
          <w:marBottom w:val="0"/>
          <w:divBdr>
            <w:top w:val="none" w:sz="0" w:space="0" w:color="auto"/>
            <w:left w:val="none" w:sz="0" w:space="0" w:color="auto"/>
            <w:bottom w:val="none" w:sz="0" w:space="0" w:color="auto"/>
            <w:right w:val="none" w:sz="0" w:space="0" w:color="auto"/>
          </w:divBdr>
        </w:div>
        <w:div w:id="1075470472">
          <w:marLeft w:val="0"/>
          <w:marRight w:val="0"/>
          <w:marTop w:val="0"/>
          <w:marBottom w:val="0"/>
          <w:divBdr>
            <w:top w:val="none" w:sz="0" w:space="0" w:color="auto"/>
            <w:left w:val="none" w:sz="0" w:space="0" w:color="auto"/>
            <w:bottom w:val="none" w:sz="0" w:space="0" w:color="auto"/>
            <w:right w:val="none" w:sz="0" w:space="0" w:color="auto"/>
          </w:divBdr>
        </w:div>
        <w:div w:id="1079326937">
          <w:marLeft w:val="0"/>
          <w:marRight w:val="0"/>
          <w:marTop w:val="0"/>
          <w:marBottom w:val="0"/>
          <w:divBdr>
            <w:top w:val="none" w:sz="0" w:space="0" w:color="auto"/>
            <w:left w:val="none" w:sz="0" w:space="0" w:color="auto"/>
            <w:bottom w:val="none" w:sz="0" w:space="0" w:color="auto"/>
            <w:right w:val="none" w:sz="0" w:space="0" w:color="auto"/>
          </w:divBdr>
        </w:div>
        <w:div w:id="1084764460">
          <w:marLeft w:val="0"/>
          <w:marRight w:val="0"/>
          <w:marTop w:val="0"/>
          <w:marBottom w:val="0"/>
          <w:divBdr>
            <w:top w:val="none" w:sz="0" w:space="0" w:color="auto"/>
            <w:left w:val="none" w:sz="0" w:space="0" w:color="auto"/>
            <w:bottom w:val="none" w:sz="0" w:space="0" w:color="auto"/>
            <w:right w:val="none" w:sz="0" w:space="0" w:color="auto"/>
          </w:divBdr>
        </w:div>
        <w:div w:id="1084836371">
          <w:marLeft w:val="0"/>
          <w:marRight w:val="0"/>
          <w:marTop w:val="0"/>
          <w:marBottom w:val="0"/>
          <w:divBdr>
            <w:top w:val="none" w:sz="0" w:space="0" w:color="auto"/>
            <w:left w:val="none" w:sz="0" w:space="0" w:color="auto"/>
            <w:bottom w:val="none" w:sz="0" w:space="0" w:color="auto"/>
            <w:right w:val="none" w:sz="0" w:space="0" w:color="auto"/>
          </w:divBdr>
        </w:div>
        <w:div w:id="1086801613">
          <w:marLeft w:val="0"/>
          <w:marRight w:val="0"/>
          <w:marTop w:val="0"/>
          <w:marBottom w:val="0"/>
          <w:divBdr>
            <w:top w:val="none" w:sz="0" w:space="0" w:color="auto"/>
            <w:left w:val="none" w:sz="0" w:space="0" w:color="auto"/>
            <w:bottom w:val="none" w:sz="0" w:space="0" w:color="auto"/>
            <w:right w:val="none" w:sz="0" w:space="0" w:color="auto"/>
          </w:divBdr>
        </w:div>
        <w:div w:id="1091585385">
          <w:marLeft w:val="0"/>
          <w:marRight w:val="0"/>
          <w:marTop w:val="0"/>
          <w:marBottom w:val="0"/>
          <w:divBdr>
            <w:top w:val="none" w:sz="0" w:space="0" w:color="auto"/>
            <w:left w:val="none" w:sz="0" w:space="0" w:color="auto"/>
            <w:bottom w:val="none" w:sz="0" w:space="0" w:color="auto"/>
            <w:right w:val="none" w:sz="0" w:space="0" w:color="auto"/>
          </w:divBdr>
        </w:div>
        <w:div w:id="1095175995">
          <w:marLeft w:val="0"/>
          <w:marRight w:val="0"/>
          <w:marTop w:val="0"/>
          <w:marBottom w:val="0"/>
          <w:divBdr>
            <w:top w:val="none" w:sz="0" w:space="0" w:color="auto"/>
            <w:left w:val="none" w:sz="0" w:space="0" w:color="auto"/>
            <w:bottom w:val="none" w:sz="0" w:space="0" w:color="auto"/>
            <w:right w:val="none" w:sz="0" w:space="0" w:color="auto"/>
          </w:divBdr>
        </w:div>
        <w:div w:id="1097017083">
          <w:marLeft w:val="0"/>
          <w:marRight w:val="0"/>
          <w:marTop w:val="0"/>
          <w:marBottom w:val="0"/>
          <w:divBdr>
            <w:top w:val="none" w:sz="0" w:space="0" w:color="auto"/>
            <w:left w:val="none" w:sz="0" w:space="0" w:color="auto"/>
            <w:bottom w:val="none" w:sz="0" w:space="0" w:color="auto"/>
            <w:right w:val="none" w:sz="0" w:space="0" w:color="auto"/>
          </w:divBdr>
        </w:div>
        <w:div w:id="1099908005">
          <w:marLeft w:val="0"/>
          <w:marRight w:val="0"/>
          <w:marTop w:val="0"/>
          <w:marBottom w:val="0"/>
          <w:divBdr>
            <w:top w:val="none" w:sz="0" w:space="0" w:color="auto"/>
            <w:left w:val="none" w:sz="0" w:space="0" w:color="auto"/>
            <w:bottom w:val="none" w:sz="0" w:space="0" w:color="auto"/>
            <w:right w:val="none" w:sz="0" w:space="0" w:color="auto"/>
          </w:divBdr>
        </w:div>
        <w:div w:id="1100756501">
          <w:marLeft w:val="0"/>
          <w:marRight w:val="0"/>
          <w:marTop w:val="0"/>
          <w:marBottom w:val="0"/>
          <w:divBdr>
            <w:top w:val="none" w:sz="0" w:space="0" w:color="auto"/>
            <w:left w:val="none" w:sz="0" w:space="0" w:color="auto"/>
            <w:bottom w:val="none" w:sz="0" w:space="0" w:color="auto"/>
            <w:right w:val="none" w:sz="0" w:space="0" w:color="auto"/>
          </w:divBdr>
        </w:div>
        <w:div w:id="1105467318">
          <w:marLeft w:val="0"/>
          <w:marRight w:val="0"/>
          <w:marTop w:val="0"/>
          <w:marBottom w:val="0"/>
          <w:divBdr>
            <w:top w:val="none" w:sz="0" w:space="0" w:color="auto"/>
            <w:left w:val="none" w:sz="0" w:space="0" w:color="auto"/>
            <w:bottom w:val="none" w:sz="0" w:space="0" w:color="auto"/>
            <w:right w:val="none" w:sz="0" w:space="0" w:color="auto"/>
          </w:divBdr>
        </w:div>
        <w:div w:id="1108888618">
          <w:marLeft w:val="0"/>
          <w:marRight w:val="0"/>
          <w:marTop w:val="0"/>
          <w:marBottom w:val="0"/>
          <w:divBdr>
            <w:top w:val="none" w:sz="0" w:space="0" w:color="auto"/>
            <w:left w:val="none" w:sz="0" w:space="0" w:color="auto"/>
            <w:bottom w:val="none" w:sz="0" w:space="0" w:color="auto"/>
            <w:right w:val="none" w:sz="0" w:space="0" w:color="auto"/>
          </w:divBdr>
        </w:div>
        <w:div w:id="1110004299">
          <w:marLeft w:val="0"/>
          <w:marRight w:val="0"/>
          <w:marTop w:val="0"/>
          <w:marBottom w:val="0"/>
          <w:divBdr>
            <w:top w:val="none" w:sz="0" w:space="0" w:color="auto"/>
            <w:left w:val="none" w:sz="0" w:space="0" w:color="auto"/>
            <w:bottom w:val="none" w:sz="0" w:space="0" w:color="auto"/>
            <w:right w:val="none" w:sz="0" w:space="0" w:color="auto"/>
          </w:divBdr>
        </w:div>
        <w:div w:id="1111241412">
          <w:marLeft w:val="0"/>
          <w:marRight w:val="0"/>
          <w:marTop w:val="0"/>
          <w:marBottom w:val="0"/>
          <w:divBdr>
            <w:top w:val="none" w:sz="0" w:space="0" w:color="auto"/>
            <w:left w:val="none" w:sz="0" w:space="0" w:color="auto"/>
            <w:bottom w:val="none" w:sz="0" w:space="0" w:color="auto"/>
            <w:right w:val="none" w:sz="0" w:space="0" w:color="auto"/>
          </w:divBdr>
        </w:div>
        <w:div w:id="1111432470">
          <w:marLeft w:val="0"/>
          <w:marRight w:val="0"/>
          <w:marTop w:val="0"/>
          <w:marBottom w:val="0"/>
          <w:divBdr>
            <w:top w:val="none" w:sz="0" w:space="0" w:color="auto"/>
            <w:left w:val="none" w:sz="0" w:space="0" w:color="auto"/>
            <w:bottom w:val="none" w:sz="0" w:space="0" w:color="auto"/>
            <w:right w:val="none" w:sz="0" w:space="0" w:color="auto"/>
          </w:divBdr>
        </w:div>
        <w:div w:id="1115635638">
          <w:marLeft w:val="0"/>
          <w:marRight w:val="0"/>
          <w:marTop w:val="0"/>
          <w:marBottom w:val="0"/>
          <w:divBdr>
            <w:top w:val="none" w:sz="0" w:space="0" w:color="auto"/>
            <w:left w:val="none" w:sz="0" w:space="0" w:color="auto"/>
            <w:bottom w:val="none" w:sz="0" w:space="0" w:color="auto"/>
            <w:right w:val="none" w:sz="0" w:space="0" w:color="auto"/>
          </w:divBdr>
        </w:div>
        <w:div w:id="1116219913">
          <w:marLeft w:val="0"/>
          <w:marRight w:val="0"/>
          <w:marTop w:val="0"/>
          <w:marBottom w:val="0"/>
          <w:divBdr>
            <w:top w:val="none" w:sz="0" w:space="0" w:color="auto"/>
            <w:left w:val="none" w:sz="0" w:space="0" w:color="auto"/>
            <w:bottom w:val="none" w:sz="0" w:space="0" w:color="auto"/>
            <w:right w:val="none" w:sz="0" w:space="0" w:color="auto"/>
          </w:divBdr>
        </w:div>
        <w:div w:id="1117943268">
          <w:marLeft w:val="0"/>
          <w:marRight w:val="0"/>
          <w:marTop w:val="0"/>
          <w:marBottom w:val="0"/>
          <w:divBdr>
            <w:top w:val="none" w:sz="0" w:space="0" w:color="auto"/>
            <w:left w:val="none" w:sz="0" w:space="0" w:color="auto"/>
            <w:bottom w:val="none" w:sz="0" w:space="0" w:color="auto"/>
            <w:right w:val="none" w:sz="0" w:space="0" w:color="auto"/>
          </w:divBdr>
        </w:div>
        <w:div w:id="1121221592">
          <w:marLeft w:val="0"/>
          <w:marRight w:val="0"/>
          <w:marTop w:val="0"/>
          <w:marBottom w:val="0"/>
          <w:divBdr>
            <w:top w:val="none" w:sz="0" w:space="0" w:color="auto"/>
            <w:left w:val="none" w:sz="0" w:space="0" w:color="auto"/>
            <w:bottom w:val="none" w:sz="0" w:space="0" w:color="auto"/>
            <w:right w:val="none" w:sz="0" w:space="0" w:color="auto"/>
          </w:divBdr>
        </w:div>
        <w:div w:id="1126772594">
          <w:marLeft w:val="0"/>
          <w:marRight w:val="0"/>
          <w:marTop w:val="0"/>
          <w:marBottom w:val="0"/>
          <w:divBdr>
            <w:top w:val="none" w:sz="0" w:space="0" w:color="auto"/>
            <w:left w:val="none" w:sz="0" w:space="0" w:color="auto"/>
            <w:bottom w:val="none" w:sz="0" w:space="0" w:color="auto"/>
            <w:right w:val="none" w:sz="0" w:space="0" w:color="auto"/>
          </w:divBdr>
        </w:div>
        <w:div w:id="1138299445">
          <w:marLeft w:val="0"/>
          <w:marRight w:val="0"/>
          <w:marTop w:val="0"/>
          <w:marBottom w:val="0"/>
          <w:divBdr>
            <w:top w:val="none" w:sz="0" w:space="0" w:color="auto"/>
            <w:left w:val="none" w:sz="0" w:space="0" w:color="auto"/>
            <w:bottom w:val="none" w:sz="0" w:space="0" w:color="auto"/>
            <w:right w:val="none" w:sz="0" w:space="0" w:color="auto"/>
          </w:divBdr>
        </w:div>
        <w:div w:id="1146049749">
          <w:marLeft w:val="0"/>
          <w:marRight w:val="0"/>
          <w:marTop w:val="0"/>
          <w:marBottom w:val="0"/>
          <w:divBdr>
            <w:top w:val="none" w:sz="0" w:space="0" w:color="auto"/>
            <w:left w:val="none" w:sz="0" w:space="0" w:color="auto"/>
            <w:bottom w:val="none" w:sz="0" w:space="0" w:color="auto"/>
            <w:right w:val="none" w:sz="0" w:space="0" w:color="auto"/>
          </w:divBdr>
        </w:div>
        <w:div w:id="1152596136">
          <w:marLeft w:val="0"/>
          <w:marRight w:val="0"/>
          <w:marTop w:val="0"/>
          <w:marBottom w:val="0"/>
          <w:divBdr>
            <w:top w:val="none" w:sz="0" w:space="0" w:color="auto"/>
            <w:left w:val="none" w:sz="0" w:space="0" w:color="auto"/>
            <w:bottom w:val="none" w:sz="0" w:space="0" w:color="auto"/>
            <w:right w:val="none" w:sz="0" w:space="0" w:color="auto"/>
          </w:divBdr>
        </w:div>
        <w:div w:id="1154953008">
          <w:marLeft w:val="0"/>
          <w:marRight w:val="0"/>
          <w:marTop w:val="0"/>
          <w:marBottom w:val="0"/>
          <w:divBdr>
            <w:top w:val="none" w:sz="0" w:space="0" w:color="auto"/>
            <w:left w:val="none" w:sz="0" w:space="0" w:color="auto"/>
            <w:bottom w:val="none" w:sz="0" w:space="0" w:color="auto"/>
            <w:right w:val="none" w:sz="0" w:space="0" w:color="auto"/>
          </w:divBdr>
        </w:div>
        <w:div w:id="1155024601">
          <w:marLeft w:val="0"/>
          <w:marRight w:val="0"/>
          <w:marTop w:val="0"/>
          <w:marBottom w:val="0"/>
          <w:divBdr>
            <w:top w:val="none" w:sz="0" w:space="0" w:color="auto"/>
            <w:left w:val="none" w:sz="0" w:space="0" w:color="auto"/>
            <w:bottom w:val="none" w:sz="0" w:space="0" w:color="auto"/>
            <w:right w:val="none" w:sz="0" w:space="0" w:color="auto"/>
          </w:divBdr>
        </w:div>
        <w:div w:id="1157040038">
          <w:marLeft w:val="0"/>
          <w:marRight w:val="0"/>
          <w:marTop w:val="0"/>
          <w:marBottom w:val="0"/>
          <w:divBdr>
            <w:top w:val="none" w:sz="0" w:space="0" w:color="auto"/>
            <w:left w:val="none" w:sz="0" w:space="0" w:color="auto"/>
            <w:bottom w:val="none" w:sz="0" w:space="0" w:color="auto"/>
            <w:right w:val="none" w:sz="0" w:space="0" w:color="auto"/>
          </w:divBdr>
        </w:div>
        <w:div w:id="1169637476">
          <w:marLeft w:val="0"/>
          <w:marRight w:val="0"/>
          <w:marTop w:val="0"/>
          <w:marBottom w:val="0"/>
          <w:divBdr>
            <w:top w:val="none" w:sz="0" w:space="0" w:color="auto"/>
            <w:left w:val="none" w:sz="0" w:space="0" w:color="auto"/>
            <w:bottom w:val="none" w:sz="0" w:space="0" w:color="auto"/>
            <w:right w:val="none" w:sz="0" w:space="0" w:color="auto"/>
          </w:divBdr>
        </w:div>
        <w:div w:id="1171871016">
          <w:marLeft w:val="0"/>
          <w:marRight w:val="0"/>
          <w:marTop w:val="0"/>
          <w:marBottom w:val="0"/>
          <w:divBdr>
            <w:top w:val="none" w:sz="0" w:space="0" w:color="auto"/>
            <w:left w:val="none" w:sz="0" w:space="0" w:color="auto"/>
            <w:bottom w:val="none" w:sz="0" w:space="0" w:color="auto"/>
            <w:right w:val="none" w:sz="0" w:space="0" w:color="auto"/>
          </w:divBdr>
        </w:div>
        <w:div w:id="1173225789">
          <w:marLeft w:val="0"/>
          <w:marRight w:val="0"/>
          <w:marTop w:val="0"/>
          <w:marBottom w:val="0"/>
          <w:divBdr>
            <w:top w:val="none" w:sz="0" w:space="0" w:color="auto"/>
            <w:left w:val="none" w:sz="0" w:space="0" w:color="auto"/>
            <w:bottom w:val="none" w:sz="0" w:space="0" w:color="auto"/>
            <w:right w:val="none" w:sz="0" w:space="0" w:color="auto"/>
          </w:divBdr>
        </w:div>
        <w:div w:id="1173227056">
          <w:marLeft w:val="0"/>
          <w:marRight w:val="0"/>
          <w:marTop w:val="0"/>
          <w:marBottom w:val="0"/>
          <w:divBdr>
            <w:top w:val="none" w:sz="0" w:space="0" w:color="auto"/>
            <w:left w:val="none" w:sz="0" w:space="0" w:color="auto"/>
            <w:bottom w:val="none" w:sz="0" w:space="0" w:color="auto"/>
            <w:right w:val="none" w:sz="0" w:space="0" w:color="auto"/>
          </w:divBdr>
        </w:div>
        <w:div w:id="1175339537">
          <w:marLeft w:val="0"/>
          <w:marRight w:val="0"/>
          <w:marTop w:val="0"/>
          <w:marBottom w:val="0"/>
          <w:divBdr>
            <w:top w:val="none" w:sz="0" w:space="0" w:color="auto"/>
            <w:left w:val="none" w:sz="0" w:space="0" w:color="auto"/>
            <w:bottom w:val="none" w:sz="0" w:space="0" w:color="auto"/>
            <w:right w:val="none" w:sz="0" w:space="0" w:color="auto"/>
          </w:divBdr>
        </w:div>
        <w:div w:id="1177112353">
          <w:marLeft w:val="0"/>
          <w:marRight w:val="0"/>
          <w:marTop w:val="0"/>
          <w:marBottom w:val="0"/>
          <w:divBdr>
            <w:top w:val="none" w:sz="0" w:space="0" w:color="auto"/>
            <w:left w:val="none" w:sz="0" w:space="0" w:color="auto"/>
            <w:bottom w:val="none" w:sz="0" w:space="0" w:color="auto"/>
            <w:right w:val="none" w:sz="0" w:space="0" w:color="auto"/>
          </w:divBdr>
        </w:div>
        <w:div w:id="1188955842">
          <w:marLeft w:val="0"/>
          <w:marRight w:val="0"/>
          <w:marTop w:val="0"/>
          <w:marBottom w:val="0"/>
          <w:divBdr>
            <w:top w:val="none" w:sz="0" w:space="0" w:color="auto"/>
            <w:left w:val="none" w:sz="0" w:space="0" w:color="auto"/>
            <w:bottom w:val="none" w:sz="0" w:space="0" w:color="auto"/>
            <w:right w:val="none" w:sz="0" w:space="0" w:color="auto"/>
          </w:divBdr>
        </w:div>
        <w:div w:id="1189104963">
          <w:marLeft w:val="0"/>
          <w:marRight w:val="0"/>
          <w:marTop w:val="0"/>
          <w:marBottom w:val="0"/>
          <w:divBdr>
            <w:top w:val="none" w:sz="0" w:space="0" w:color="auto"/>
            <w:left w:val="none" w:sz="0" w:space="0" w:color="auto"/>
            <w:bottom w:val="none" w:sz="0" w:space="0" w:color="auto"/>
            <w:right w:val="none" w:sz="0" w:space="0" w:color="auto"/>
          </w:divBdr>
        </w:div>
        <w:div w:id="1195922096">
          <w:marLeft w:val="0"/>
          <w:marRight w:val="0"/>
          <w:marTop w:val="0"/>
          <w:marBottom w:val="0"/>
          <w:divBdr>
            <w:top w:val="none" w:sz="0" w:space="0" w:color="auto"/>
            <w:left w:val="none" w:sz="0" w:space="0" w:color="auto"/>
            <w:bottom w:val="none" w:sz="0" w:space="0" w:color="auto"/>
            <w:right w:val="none" w:sz="0" w:space="0" w:color="auto"/>
          </w:divBdr>
        </w:div>
        <w:div w:id="1199129322">
          <w:marLeft w:val="0"/>
          <w:marRight w:val="0"/>
          <w:marTop w:val="0"/>
          <w:marBottom w:val="0"/>
          <w:divBdr>
            <w:top w:val="none" w:sz="0" w:space="0" w:color="auto"/>
            <w:left w:val="none" w:sz="0" w:space="0" w:color="auto"/>
            <w:bottom w:val="none" w:sz="0" w:space="0" w:color="auto"/>
            <w:right w:val="none" w:sz="0" w:space="0" w:color="auto"/>
          </w:divBdr>
        </w:div>
        <w:div w:id="1210532071">
          <w:marLeft w:val="0"/>
          <w:marRight w:val="0"/>
          <w:marTop w:val="0"/>
          <w:marBottom w:val="0"/>
          <w:divBdr>
            <w:top w:val="none" w:sz="0" w:space="0" w:color="auto"/>
            <w:left w:val="none" w:sz="0" w:space="0" w:color="auto"/>
            <w:bottom w:val="none" w:sz="0" w:space="0" w:color="auto"/>
            <w:right w:val="none" w:sz="0" w:space="0" w:color="auto"/>
          </w:divBdr>
        </w:div>
        <w:div w:id="1213999174">
          <w:marLeft w:val="0"/>
          <w:marRight w:val="0"/>
          <w:marTop w:val="0"/>
          <w:marBottom w:val="0"/>
          <w:divBdr>
            <w:top w:val="none" w:sz="0" w:space="0" w:color="auto"/>
            <w:left w:val="none" w:sz="0" w:space="0" w:color="auto"/>
            <w:bottom w:val="none" w:sz="0" w:space="0" w:color="auto"/>
            <w:right w:val="none" w:sz="0" w:space="0" w:color="auto"/>
          </w:divBdr>
        </w:div>
        <w:div w:id="1216157233">
          <w:marLeft w:val="0"/>
          <w:marRight w:val="0"/>
          <w:marTop w:val="0"/>
          <w:marBottom w:val="0"/>
          <w:divBdr>
            <w:top w:val="none" w:sz="0" w:space="0" w:color="auto"/>
            <w:left w:val="none" w:sz="0" w:space="0" w:color="auto"/>
            <w:bottom w:val="none" w:sz="0" w:space="0" w:color="auto"/>
            <w:right w:val="none" w:sz="0" w:space="0" w:color="auto"/>
          </w:divBdr>
        </w:div>
        <w:div w:id="1219048467">
          <w:marLeft w:val="0"/>
          <w:marRight w:val="0"/>
          <w:marTop w:val="0"/>
          <w:marBottom w:val="0"/>
          <w:divBdr>
            <w:top w:val="none" w:sz="0" w:space="0" w:color="auto"/>
            <w:left w:val="none" w:sz="0" w:space="0" w:color="auto"/>
            <w:bottom w:val="none" w:sz="0" w:space="0" w:color="auto"/>
            <w:right w:val="none" w:sz="0" w:space="0" w:color="auto"/>
          </w:divBdr>
        </w:div>
        <w:div w:id="1228761849">
          <w:marLeft w:val="0"/>
          <w:marRight w:val="0"/>
          <w:marTop w:val="0"/>
          <w:marBottom w:val="0"/>
          <w:divBdr>
            <w:top w:val="none" w:sz="0" w:space="0" w:color="auto"/>
            <w:left w:val="none" w:sz="0" w:space="0" w:color="auto"/>
            <w:bottom w:val="none" w:sz="0" w:space="0" w:color="auto"/>
            <w:right w:val="none" w:sz="0" w:space="0" w:color="auto"/>
          </w:divBdr>
        </w:div>
        <w:div w:id="1229222896">
          <w:marLeft w:val="0"/>
          <w:marRight w:val="0"/>
          <w:marTop w:val="0"/>
          <w:marBottom w:val="0"/>
          <w:divBdr>
            <w:top w:val="none" w:sz="0" w:space="0" w:color="auto"/>
            <w:left w:val="none" w:sz="0" w:space="0" w:color="auto"/>
            <w:bottom w:val="none" w:sz="0" w:space="0" w:color="auto"/>
            <w:right w:val="none" w:sz="0" w:space="0" w:color="auto"/>
          </w:divBdr>
        </w:div>
        <w:div w:id="1233656140">
          <w:marLeft w:val="0"/>
          <w:marRight w:val="0"/>
          <w:marTop w:val="0"/>
          <w:marBottom w:val="0"/>
          <w:divBdr>
            <w:top w:val="none" w:sz="0" w:space="0" w:color="auto"/>
            <w:left w:val="none" w:sz="0" w:space="0" w:color="auto"/>
            <w:bottom w:val="none" w:sz="0" w:space="0" w:color="auto"/>
            <w:right w:val="none" w:sz="0" w:space="0" w:color="auto"/>
          </w:divBdr>
        </w:div>
        <w:div w:id="1241790966">
          <w:marLeft w:val="0"/>
          <w:marRight w:val="0"/>
          <w:marTop w:val="0"/>
          <w:marBottom w:val="0"/>
          <w:divBdr>
            <w:top w:val="none" w:sz="0" w:space="0" w:color="auto"/>
            <w:left w:val="none" w:sz="0" w:space="0" w:color="auto"/>
            <w:bottom w:val="none" w:sz="0" w:space="0" w:color="auto"/>
            <w:right w:val="none" w:sz="0" w:space="0" w:color="auto"/>
          </w:divBdr>
        </w:div>
        <w:div w:id="1249384999">
          <w:marLeft w:val="0"/>
          <w:marRight w:val="0"/>
          <w:marTop w:val="0"/>
          <w:marBottom w:val="0"/>
          <w:divBdr>
            <w:top w:val="none" w:sz="0" w:space="0" w:color="auto"/>
            <w:left w:val="none" w:sz="0" w:space="0" w:color="auto"/>
            <w:bottom w:val="none" w:sz="0" w:space="0" w:color="auto"/>
            <w:right w:val="none" w:sz="0" w:space="0" w:color="auto"/>
          </w:divBdr>
        </w:div>
        <w:div w:id="1252859276">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1264220245">
          <w:marLeft w:val="0"/>
          <w:marRight w:val="0"/>
          <w:marTop w:val="0"/>
          <w:marBottom w:val="0"/>
          <w:divBdr>
            <w:top w:val="none" w:sz="0" w:space="0" w:color="auto"/>
            <w:left w:val="none" w:sz="0" w:space="0" w:color="auto"/>
            <w:bottom w:val="none" w:sz="0" w:space="0" w:color="auto"/>
            <w:right w:val="none" w:sz="0" w:space="0" w:color="auto"/>
          </w:divBdr>
        </w:div>
        <w:div w:id="1264220342">
          <w:marLeft w:val="0"/>
          <w:marRight w:val="0"/>
          <w:marTop w:val="0"/>
          <w:marBottom w:val="0"/>
          <w:divBdr>
            <w:top w:val="none" w:sz="0" w:space="0" w:color="auto"/>
            <w:left w:val="none" w:sz="0" w:space="0" w:color="auto"/>
            <w:bottom w:val="none" w:sz="0" w:space="0" w:color="auto"/>
            <w:right w:val="none" w:sz="0" w:space="0" w:color="auto"/>
          </w:divBdr>
        </w:div>
        <w:div w:id="1271161618">
          <w:marLeft w:val="0"/>
          <w:marRight w:val="0"/>
          <w:marTop w:val="0"/>
          <w:marBottom w:val="0"/>
          <w:divBdr>
            <w:top w:val="none" w:sz="0" w:space="0" w:color="auto"/>
            <w:left w:val="none" w:sz="0" w:space="0" w:color="auto"/>
            <w:bottom w:val="none" w:sz="0" w:space="0" w:color="auto"/>
            <w:right w:val="none" w:sz="0" w:space="0" w:color="auto"/>
          </w:divBdr>
        </w:div>
        <w:div w:id="1277181783">
          <w:marLeft w:val="0"/>
          <w:marRight w:val="0"/>
          <w:marTop w:val="0"/>
          <w:marBottom w:val="0"/>
          <w:divBdr>
            <w:top w:val="none" w:sz="0" w:space="0" w:color="auto"/>
            <w:left w:val="none" w:sz="0" w:space="0" w:color="auto"/>
            <w:bottom w:val="none" w:sz="0" w:space="0" w:color="auto"/>
            <w:right w:val="none" w:sz="0" w:space="0" w:color="auto"/>
          </w:divBdr>
        </w:div>
        <w:div w:id="1282422012">
          <w:marLeft w:val="0"/>
          <w:marRight w:val="0"/>
          <w:marTop w:val="0"/>
          <w:marBottom w:val="0"/>
          <w:divBdr>
            <w:top w:val="none" w:sz="0" w:space="0" w:color="auto"/>
            <w:left w:val="none" w:sz="0" w:space="0" w:color="auto"/>
            <w:bottom w:val="none" w:sz="0" w:space="0" w:color="auto"/>
            <w:right w:val="none" w:sz="0" w:space="0" w:color="auto"/>
          </w:divBdr>
        </w:div>
        <w:div w:id="1286766194">
          <w:marLeft w:val="0"/>
          <w:marRight w:val="0"/>
          <w:marTop w:val="0"/>
          <w:marBottom w:val="0"/>
          <w:divBdr>
            <w:top w:val="none" w:sz="0" w:space="0" w:color="auto"/>
            <w:left w:val="none" w:sz="0" w:space="0" w:color="auto"/>
            <w:bottom w:val="none" w:sz="0" w:space="0" w:color="auto"/>
            <w:right w:val="none" w:sz="0" w:space="0" w:color="auto"/>
          </w:divBdr>
        </w:div>
        <w:div w:id="1290092223">
          <w:marLeft w:val="0"/>
          <w:marRight w:val="0"/>
          <w:marTop w:val="0"/>
          <w:marBottom w:val="0"/>
          <w:divBdr>
            <w:top w:val="none" w:sz="0" w:space="0" w:color="auto"/>
            <w:left w:val="none" w:sz="0" w:space="0" w:color="auto"/>
            <w:bottom w:val="none" w:sz="0" w:space="0" w:color="auto"/>
            <w:right w:val="none" w:sz="0" w:space="0" w:color="auto"/>
          </w:divBdr>
        </w:div>
        <w:div w:id="1290815096">
          <w:marLeft w:val="0"/>
          <w:marRight w:val="0"/>
          <w:marTop w:val="0"/>
          <w:marBottom w:val="0"/>
          <w:divBdr>
            <w:top w:val="none" w:sz="0" w:space="0" w:color="auto"/>
            <w:left w:val="none" w:sz="0" w:space="0" w:color="auto"/>
            <w:bottom w:val="none" w:sz="0" w:space="0" w:color="auto"/>
            <w:right w:val="none" w:sz="0" w:space="0" w:color="auto"/>
          </w:divBdr>
        </w:div>
        <w:div w:id="1291085767">
          <w:marLeft w:val="0"/>
          <w:marRight w:val="0"/>
          <w:marTop w:val="0"/>
          <w:marBottom w:val="0"/>
          <w:divBdr>
            <w:top w:val="none" w:sz="0" w:space="0" w:color="auto"/>
            <w:left w:val="none" w:sz="0" w:space="0" w:color="auto"/>
            <w:bottom w:val="none" w:sz="0" w:space="0" w:color="auto"/>
            <w:right w:val="none" w:sz="0" w:space="0" w:color="auto"/>
          </w:divBdr>
        </w:div>
        <w:div w:id="1291548643">
          <w:marLeft w:val="0"/>
          <w:marRight w:val="0"/>
          <w:marTop w:val="0"/>
          <w:marBottom w:val="0"/>
          <w:divBdr>
            <w:top w:val="none" w:sz="0" w:space="0" w:color="auto"/>
            <w:left w:val="none" w:sz="0" w:space="0" w:color="auto"/>
            <w:bottom w:val="none" w:sz="0" w:space="0" w:color="auto"/>
            <w:right w:val="none" w:sz="0" w:space="0" w:color="auto"/>
          </w:divBdr>
        </w:div>
        <w:div w:id="1294404297">
          <w:marLeft w:val="0"/>
          <w:marRight w:val="0"/>
          <w:marTop w:val="0"/>
          <w:marBottom w:val="0"/>
          <w:divBdr>
            <w:top w:val="none" w:sz="0" w:space="0" w:color="auto"/>
            <w:left w:val="none" w:sz="0" w:space="0" w:color="auto"/>
            <w:bottom w:val="none" w:sz="0" w:space="0" w:color="auto"/>
            <w:right w:val="none" w:sz="0" w:space="0" w:color="auto"/>
          </w:divBdr>
        </w:div>
        <w:div w:id="1299606759">
          <w:marLeft w:val="0"/>
          <w:marRight w:val="0"/>
          <w:marTop w:val="0"/>
          <w:marBottom w:val="0"/>
          <w:divBdr>
            <w:top w:val="none" w:sz="0" w:space="0" w:color="auto"/>
            <w:left w:val="none" w:sz="0" w:space="0" w:color="auto"/>
            <w:bottom w:val="none" w:sz="0" w:space="0" w:color="auto"/>
            <w:right w:val="none" w:sz="0" w:space="0" w:color="auto"/>
          </w:divBdr>
        </w:div>
        <w:div w:id="1301496827">
          <w:marLeft w:val="0"/>
          <w:marRight w:val="0"/>
          <w:marTop w:val="0"/>
          <w:marBottom w:val="0"/>
          <w:divBdr>
            <w:top w:val="none" w:sz="0" w:space="0" w:color="auto"/>
            <w:left w:val="none" w:sz="0" w:space="0" w:color="auto"/>
            <w:bottom w:val="none" w:sz="0" w:space="0" w:color="auto"/>
            <w:right w:val="none" w:sz="0" w:space="0" w:color="auto"/>
          </w:divBdr>
        </w:div>
        <w:div w:id="1304382823">
          <w:marLeft w:val="0"/>
          <w:marRight w:val="0"/>
          <w:marTop w:val="0"/>
          <w:marBottom w:val="0"/>
          <w:divBdr>
            <w:top w:val="none" w:sz="0" w:space="0" w:color="auto"/>
            <w:left w:val="none" w:sz="0" w:space="0" w:color="auto"/>
            <w:bottom w:val="none" w:sz="0" w:space="0" w:color="auto"/>
            <w:right w:val="none" w:sz="0" w:space="0" w:color="auto"/>
          </w:divBdr>
        </w:div>
        <w:div w:id="1304769078">
          <w:marLeft w:val="0"/>
          <w:marRight w:val="0"/>
          <w:marTop w:val="0"/>
          <w:marBottom w:val="0"/>
          <w:divBdr>
            <w:top w:val="none" w:sz="0" w:space="0" w:color="auto"/>
            <w:left w:val="none" w:sz="0" w:space="0" w:color="auto"/>
            <w:bottom w:val="none" w:sz="0" w:space="0" w:color="auto"/>
            <w:right w:val="none" w:sz="0" w:space="0" w:color="auto"/>
          </w:divBdr>
        </w:div>
        <w:div w:id="1306198794">
          <w:marLeft w:val="0"/>
          <w:marRight w:val="0"/>
          <w:marTop w:val="0"/>
          <w:marBottom w:val="0"/>
          <w:divBdr>
            <w:top w:val="none" w:sz="0" w:space="0" w:color="auto"/>
            <w:left w:val="none" w:sz="0" w:space="0" w:color="auto"/>
            <w:bottom w:val="none" w:sz="0" w:space="0" w:color="auto"/>
            <w:right w:val="none" w:sz="0" w:space="0" w:color="auto"/>
          </w:divBdr>
        </w:div>
        <w:div w:id="1308321515">
          <w:marLeft w:val="0"/>
          <w:marRight w:val="0"/>
          <w:marTop w:val="0"/>
          <w:marBottom w:val="0"/>
          <w:divBdr>
            <w:top w:val="none" w:sz="0" w:space="0" w:color="auto"/>
            <w:left w:val="none" w:sz="0" w:space="0" w:color="auto"/>
            <w:bottom w:val="none" w:sz="0" w:space="0" w:color="auto"/>
            <w:right w:val="none" w:sz="0" w:space="0" w:color="auto"/>
          </w:divBdr>
        </w:div>
        <w:div w:id="1315721214">
          <w:marLeft w:val="0"/>
          <w:marRight w:val="0"/>
          <w:marTop w:val="0"/>
          <w:marBottom w:val="0"/>
          <w:divBdr>
            <w:top w:val="none" w:sz="0" w:space="0" w:color="auto"/>
            <w:left w:val="none" w:sz="0" w:space="0" w:color="auto"/>
            <w:bottom w:val="none" w:sz="0" w:space="0" w:color="auto"/>
            <w:right w:val="none" w:sz="0" w:space="0" w:color="auto"/>
          </w:divBdr>
        </w:div>
        <w:div w:id="1315912950">
          <w:marLeft w:val="0"/>
          <w:marRight w:val="0"/>
          <w:marTop w:val="0"/>
          <w:marBottom w:val="0"/>
          <w:divBdr>
            <w:top w:val="none" w:sz="0" w:space="0" w:color="auto"/>
            <w:left w:val="none" w:sz="0" w:space="0" w:color="auto"/>
            <w:bottom w:val="none" w:sz="0" w:space="0" w:color="auto"/>
            <w:right w:val="none" w:sz="0" w:space="0" w:color="auto"/>
          </w:divBdr>
        </w:div>
        <w:div w:id="1316108604">
          <w:marLeft w:val="0"/>
          <w:marRight w:val="0"/>
          <w:marTop w:val="0"/>
          <w:marBottom w:val="0"/>
          <w:divBdr>
            <w:top w:val="none" w:sz="0" w:space="0" w:color="auto"/>
            <w:left w:val="none" w:sz="0" w:space="0" w:color="auto"/>
            <w:bottom w:val="none" w:sz="0" w:space="0" w:color="auto"/>
            <w:right w:val="none" w:sz="0" w:space="0" w:color="auto"/>
          </w:divBdr>
        </w:div>
        <w:div w:id="1317881462">
          <w:marLeft w:val="0"/>
          <w:marRight w:val="0"/>
          <w:marTop w:val="0"/>
          <w:marBottom w:val="0"/>
          <w:divBdr>
            <w:top w:val="none" w:sz="0" w:space="0" w:color="auto"/>
            <w:left w:val="none" w:sz="0" w:space="0" w:color="auto"/>
            <w:bottom w:val="none" w:sz="0" w:space="0" w:color="auto"/>
            <w:right w:val="none" w:sz="0" w:space="0" w:color="auto"/>
          </w:divBdr>
        </w:div>
        <w:div w:id="1320578800">
          <w:marLeft w:val="0"/>
          <w:marRight w:val="0"/>
          <w:marTop w:val="0"/>
          <w:marBottom w:val="0"/>
          <w:divBdr>
            <w:top w:val="none" w:sz="0" w:space="0" w:color="auto"/>
            <w:left w:val="none" w:sz="0" w:space="0" w:color="auto"/>
            <w:bottom w:val="none" w:sz="0" w:space="0" w:color="auto"/>
            <w:right w:val="none" w:sz="0" w:space="0" w:color="auto"/>
          </w:divBdr>
        </w:div>
        <w:div w:id="1322931570">
          <w:marLeft w:val="0"/>
          <w:marRight w:val="0"/>
          <w:marTop w:val="0"/>
          <w:marBottom w:val="0"/>
          <w:divBdr>
            <w:top w:val="none" w:sz="0" w:space="0" w:color="auto"/>
            <w:left w:val="none" w:sz="0" w:space="0" w:color="auto"/>
            <w:bottom w:val="none" w:sz="0" w:space="0" w:color="auto"/>
            <w:right w:val="none" w:sz="0" w:space="0" w:color="auto"/>
          </w:divBdr>
        </w:div>
        <w:div w:id="1330522632">
          <w:marLeft w:val="0"/>
          <w:marRight w:val="0"/>
          <w:marTop w:val="0"/>
          <w:marBottom w:val="0"/>
          <w:divBdr>
            <w:top w:val="none" w:sz="0" w:space="0" w:color="auto"/>
            <w:left w:val="none" w:sz="0" w:space="0" w:color="auto"/>
            <w:bottom w:val="none" w:sz="0" w:space="0" w:color="auto"/>
            <w:right w:val="none" w:sz="0" w:space="0" w:color="auto"/>
          </w:divBdr>
        </w:div>
        <w:div w:id="1333411230">
          <w:marLeft w:val="0"/>
          <w:marRight w:val="0"/>
          <w:marTop w:val="0"/>
          <w:marBottom w:val="0"/>
          <w:divBdr>
            <w:top w:val="none" w:sz="0" w:space="0" w:color="auto"/>
            <w:left w:val="none" w:sz="0" w:space="0" w:color="auto"/>
            <w:bottom w:val="none" w:sz="0" w:space="0" w:color="auto"/>
            <w:right w:val="none" w:sz="0" w:space="0" w:color="auto"/>
          </w:divBdr>
        </w:div>
        <w:div w:id="1334379933">
          <w:marLeft w:val="0"/>
          <w:marRight w:val="0"/>
          <w:marTop w:val="0"/>
          <w:marBottom w:val="0"/>
          <w:divBdr>
            <w:top w:val="none" w:sz="0" w:space="0" w:color="auto"/>
            <w:left w:val="none" w:sz="0" w:space="0" w:color="auto"/>
            <w:bottom w:val="none" w:sz="0" w:space="0" w:color="auto"/>
            <w:right w:val="none" w:sz="0" w:space="0" w:color="auto"/>
          </w:divBdr>
        </w:div>
        <w:div w:id="1335454655">
          <w:marLeft w:val="0"/>
          <w:marRight w:val="0"/>
          <w:marTop w:val="0"/>
          <w:marBottom w:val="0"/>
          <w:divBdr>
            <w:top w:val="none" w:sz="0" w:space="0" w:color="auto"/>
            <w:left w:val="none" w:sz="0" w:space="0" w:color="auto"/>
            <w:bottom w:val="none" w:sz="0" w:space="0" w:color="auto"/>
            <w:right w:val="none" w:sz="0" w:space="0" w:color="auto"/>
          </w:divBdr>
        </w:div>
        <w:div w:id="1335500027">
          <w:marLeft w:val="0"/>
          <w:marRight w:val="0"/>
          <w:marTop w:val="0"/>
          <w:marBottom w:val="0"/>
          <w:divBdr>
            <w:top w:val="none" w:sz="0" w:space="0" w:color="auto"/>
            <w:left w:val="none" w:sz="0" w:space="0" w:color="auto"/>
            <w:bottom w:val="none" w:sz="0" w:space="0" w:color="auto"/>
            <w:right w:val="none" w:sz="0" w:space="0" w:color="auto"/>
          </w:divBdr>
        </w:div>
        <w:div w:id="1349911500">
          <w:marLeft w:val="0"/>
          <w:marRight w:val="0"/>
          <w:marTop w:val="0"/>
          <w:marBottom w:val="0"/>
          <w:divBdr>
            <w:top w:val="none" w:sz="0" w:space="0" w:color="auto"/>
            <w:left w:val="none" w:sz="0" w:space="0" w:color="auto"/>
            <w:bottom w:val="none" w:sz="0" w:space="0" w:color="auto"/>
            <w:right w:val="none" w:sz="0" w:space="0" w:color="auto"/>
          </w:divBdr>
        </w:div>
        <w:div w:id="1350133337">
          <w:marLeft w:val="0"/>
          <w:marRight w:val="0"/>
          <w:marTop w:val="0"/>
          <w:marBottom w:val="0"/>
          <w:divBdr>
            <w:top w:val="none" w:sz="0" w:space="0" w:color="auto"/>
            <w:left w:val="none" w:sz="0" w:space="0" w:color="auto"/>
            <w:bottom w:val="none" w:sz="0" w:space="0" w:color="auto"/>
            <w:right w:val="none" w:sz="0" w:space="0" w:color="auto"/>
          </w:divBdr>
        </w:div>
        <w:div w:id="1350597768">
          <w:marLeft w:val="0"/>
          <w:marRight w:val="0"/>
          <w:marTop w:val="0"/>
          <w:marBottom w:val="0"/>
          <w:divBdr>
            <w:top w:val="none" w:sz="0" w:space="0" w:color="auto"/>
            <w:left w:val="none" w:sz="0" w:space="0" w:color="auto"/>
            <w:bottom w:val="none" w:sz="0" w:space="0" w:color="auto"/>
            <w:right w:val="none" w:sz="0" w:space="0" w:color="auto"/>
          </w:divBdr>
        </w:div>
        <w:div w:id="1352486464">
          <w:marLeft w:val="0"/>
          <w:marRight w:val="0"/>
          <w:marTop w:val="0"/>
          <w:marBottom w:val="0"/>
          <w:divBdr>
            <w:top w:val="none" w:sz="0" w:space="0" w:color="auto"/>
            <w:left w:val="none" w:sz="0" w:space="0" w:color="auto"/>
            <w:bottom w:val="none" w:sz="0" w:space="0" w:color="auto"/>
            <w:right w:val="none" w:sz="0" w:space="0" w:color="auto"/>
          </w:divBdr>
        </w:div>
        <w:div w:id="1354380940">
          <w:marLeft w:val="0"/>
          <w:marRight w:val="0"/>
          <w:marTop w:val="0"/>
          <w:marBottom w:val="0"/>
          <w:divBdr>
            <w:top w:val="none" w:sz="0" w:space="0" w:color="auto"/>
            <w:left w:val="none" w:sz="0" w:space="0" w:color="auto"/>
            <w:bottom w:val="none" w:sz="0" w:space="0" w:color="auto"/>
            <w:right w:val="none" w:sz="0" w:space="0" w:color="auto"/>
          </w:divBdr>
        </w:div>
        <w:div w:id="1354571134">
          <w:marLeft w:val="0"/>
          <w:marRight w:val="0"/>
          <w:marTop w:val="0"/>
          <w:marBottom w:val="0"/>
          <w:divBdr>
            <w:top w:val="none" w:sz="0" w:space="0" w:color="auto"/>
            <w:left w:val="none" w:sz="0" w:space="0" w:color="auto"/>
            <w:bottom w:val="none" w:sz="0" w:space="0" w:color="auto"/>
            <w:right w:val="none" w:sz="0" w:space="0" w:color="auto"/>
          </w:divBdr>
        </w:div>
        <w:div w:id="1357734880">
          <w:marLeft w:val="0"/>
          <w:marRight w:val="0"/>
          <w:marTop w:val="0"/>
          <w:marBottom w:val="0"/>
          <w:divBdr>
            <w:top w:val="none" w:sz="0" w:space="0" w:color="auto"/>
            <w:left w:val="none" w:sz="0" w:space="0" w:color="auto"/>
            <w:bottom w:val="none" w:sz="0" w:space="0" w:color="auto"/>
            <w:right w:val="none" w:sz="0" w:space="0" w:color="auto"/>
          </w:divBdr>
        </w:div>
        <w:div w:id="1362048560">
          <w:marLeft w:val="0"/>
          <w:marRight w:val="0"/>
          <w:marTop w:val="0"/>
          <w:marBottom w:val="0"/>
          <w:divBdr>
            <w:top w:val="none" w:sz="0" w:space="0" w:color="auto"/>
            <w:left w:val="none" w:sz="0" w:space="0" w:color="auto"/>
            <w:bottom w:val="none" w:sz="0" w:space="0" w:color="auto"/>
            <w:right w:val="none" w:sz="0" w:space="0" w:color="auto"/>
          </w:divBdr>
        </w:div>
        <w:div w:id="1364404652">
          <w:marLeft w:val="0"/>
          <w:marRight w:val="0"/>
          <w:marTop w:val="0"/>
          <w:marBottom w:val="0"/>
          <w:divBdr>
            <w:top w:val="none" w:sz="0" w:space="0" w:color="auto"/>
            <w:left w:val="none" w:sz="0" w:space="0" w:color="auto"/>
            <w:bottom w:val="none" w:sz="0" w:space="0" w:color="auto"/>
            <w:right w:val="none" w:sz="0" w:space="0" w:color="auto"/>
          </w:divBdr>
        </w:div>
        <w:div w:id="1365520625">
          <w:marLeft w:val="0"/>
          <w:marRight w:val="0"/>
          <w:marTop w:val="0"/>
          <w:marBottom w:val="0"/>
          <w:divBdr>
            <w:top w:val="none" w:sz="0" w:space="0" w:color="auto"/>
            <w:left w:val="none" w:sz="0" w:space="0" w:color="auto"/>
            <w:bottom w:val="none" w:sz="0" w:space="0" w:color="auto"/>
            <w:right w:val="none" w:sz="0" w:space="0" w:color="auto"/>
          </w:divBdr>
        </w:div>
        <w:div w:id="1367563742">
          <w:marLeft w:val="0"/>
          <w:marRight w:val="0"/>
          <w:marTop w:val="0"/>
          <w:marBottom w:val="0"/>
          <w:divBdr>
            <w:top w:val="none" w:sz="0" w:space="0" w:color="auto"/>
            <w:left w:val="none" w:sz="0" w:space="0" w:color="auto"/>
            <w:bottom w:val="none" w:sz="0" w:space="0" w:color="auto"/>
            <w:right w:val="none" w:sz="0" w:space="0" w:color="auto"/>
          </w:divBdr>
        </w:div>
        <w:div w:id="1375890728">
          <w:marLeft w:val="0"/>
          <w:marRight w:val="0"/>
          <w:marTop w:val="0"/>
          <w:marBottom w:val="0"/>
          <w:divBdr>
            <w:top w:val="none" w:sz="0" w:space="0" w:color="auto"/>
            <w:left w:val="none" w:sz="0" w:space="0" w:color="auto"/>
            <w:bottom w:val="none" w:sz="0" w:space="0" w:color="auto"/>
            <w:right w:val="none" w:sz="0" w:space="0" w:color="auto"/>
          </w:divBdr>
        </w:div>
        <w:div w:id="1382097233">
          <w:marLeft w:val="0"/>
          <w:marRight w:val="0"/>
          <w:marTop w:val="0"/>
          <w:marBottom w:val="0"/>
          <w:divBdr>
            <w:top w:val="none" w:sz="0" w:space="0" w:color="auto"/>
            <w:left w:val="none" w:sz="0" w:space="0" w:color="auto"/>
            <w:bottom w:val="none" w:sz="0" w:space="0" w:color="auto"/>
            <w:right w:val="none" w:sz="0" w:space="0" w:color="auto"/>
          </w:divBdr>
        </w:div>
        <w:div w:id="1389643435">
          <w:marLeft w:val="0"/>
          <w:marRight w:val="0"/>
          <w:marTop w:val="0"/>
          <w:marBottom w:val="0"/>
          <w:divBdr>
            <w:top w:val="none" w:sz="0" w:space="0" w:color="auto"/>
            <w:left w:val="none" w:sz="0" w:space="0" w:color="auto"/>
            <w:bottom w:val="none" w:sz="0" w:space="0" w:color="auto"/>
            <w:right w:val="none" w:sz="0" w:space="0" w:color="auto"/>
          </w:divBdr>
        </w:div>
        <w:div w:id="1399816150">
          <w:marLeft w:val="0"/>
          <w:marRight w:val="0"/>
          <w:marTop w:val="0"/>
          <w:marBottom w:val="0"/>
          <w:divBdr>
            <w:top w:val="none" w:sz="0" w:space="0" w:color="auto"/>
            <w:left w:val="none" w:sz="0" w:space="0" w:color="auto"/>
            <w:bottom w:val="none" w:sz="0" w:space="0" w:color="auto"/>
            <w:right w:val="none" w:sz="0" w:space="0" w:color="auto"/>
          </w:divBdr>
        </w:div>
        <w:div w:id="1402678370">
          <w:marLeft w:val="0"/>
          <w:marRight w:val="0"/>
          <w:marTop w:val="0"/>
          <w:marBottom w:val="0"/>
          <w:divBdr>
            <w:top w:val="none" w:sz="0" w:space="0" w:color="auto"/>
            <w:left w:val="none" w:sz="0" w:space="0" w:color="auto"/>
            <w:bottom w:val="none" w:sz="0" w:space="0" w:color="auto"/>
            <w:right w:val="none" w:sz="0" w:space="0" w:color="auto"/>
          </w:divBdr>
        </w:div>
        <w:div w:id="1406225674">
          <w:marLeft w:val="0"/>
          <w:marRight w:val="0"/>
          <w:marTop w:val="0"/>
          <w:marBottom w:val="0"/>
          <w:divBdr>
            <w:top w:val="none" w:sz="0" w:space="0" w:color="auto"/>
            <w:left w:val="none" w:sz="0" w:space="0" w:color="auto"/>
            <w:bottom w:val="none" w:sz="0" w:space="0" w:color="auto"/>
            <w:right w:val="none" w:sz="0" w:space="0" w:color="auto"/>
          </w:divBdr>
        </w:div>
        <w:div w:id="1406486490">
          <w:marLeft w:val="0"/>
          <w:marRight w:val="0"/>
          <w:marTop w:val="0"/>
          <w:marBottom w:val="0"/>
          <w:divBdr>
            <w:top w:val="none" w:sz="0" w:space="0" w:color="auto"/>
            <w:left w:val="none" w:sz="0" w:space="0" w:color="auto"/>
            <w:bottom w:val="none" w:sz="0" w:space="0" w:color="auto"/>
            <w:right w:val="none" w:sz="0" w:space="0" w:color="auto"/>
          </w:divBdr>
        </w:div>
        <w:div w:id="1411776650">
          <w:marLeft w:val="0"/>
          <w:marRight w:val="0"/>
          <w:marTop w:val="0"/>
          <w:marBottom w:val="0"/>
          <w:divBdr>
            <w:top w:val="none" w:sz="0" w:space="0" w:color="auto"/>
            <w:left w:val="none" w:sz="0" w:space="0" w:color="auto"/>
            <w:bottom w:val="none" w:sz="0" w:space="0" w:color="auto"/>
            <w:right w:val="none" w:sz="0" w:space="0" w:color="auto"/>
          </w:divBdr>
        </w:div>
        <w:div w:id="1412778051">
          <w:marLeft w:val="0"/>
          <w:marRight w:val="0"/>
          <w:marTop w:val="0"/>
          <w:marBottom w:val="0"/>
          <w:divBdr>
            <w:top w:val="none" w:sz="0" w:space="0" w:color="auto"/>
            <w:left w:val="none" w:sz="0" w:space="0" w:color="auto"/>
            <w:bottom w:val="none" w:sz="0" w:space="0" w:color="auto"/>
            <w:right w:val="none" w:sz="0" w:space="0" w:color="auto"/>
          </w:divBdr>
        </w:div>
        <w:div w:id="1416708265">
          <w:marLeft w:val="0"/>
          <w:marRight w:val="0"/>
          <w:marTop w:val="0"/>
          <w:marBottom w:val="0"/>
          <w:divBdr>
            <w:top w:val="none" w:sz="0" w:space="0" w:color="auto"/>
            <w:left w:val="none" w:sz="0" w:space="0" w:color="auto"/>
            <w:bottom w:val="none" w:sz="0" w:space="0" w:color="auto"/>
            <w:right w:val="none" w:sz="0" w:space="0" w:color="auto"/>
          </w:divBdr>
        </w:div>
        <w:div w:id="1419711746">
          <w:marLeft w:val="0"/>
          <w:marRight w:val="0"/>
          <w:marTop w:val="0"/>
          <w:marBottom w:val="0"/>
          <w:divBdr>
            <w:top w:val="none" w:sz="0" w:space="0" w:color="auto"/>
            <w:left w:val="none" w:sz="0" w:space="0" w:color="auto"/>
            <w:bottom w:val="none" w:sz="0" w:space="0" w:color="auto"/>
            <w:right w:val="none" w:sz="0" w:space="0" w:color="auto"/>
          </w:divBdr>
        </w:div>
        <w:div w:id="1425416538">
          <w:marLeft w:val="0"/>
          <w:marRight w:val="0"/>
          <w:marTop w:val="0"/>
          <w:marBottom w:val="0"/>
          <w:divBdr>
            <w:top w:val="none" w:sz="0" w:space="0" w:color="auto"/>
            <w:left w:val="none" w:sz="0" w:space="0" w:color="auto"/>
            <w:bottom w:val="none" w:sz="0" w:space="0" w:color="auto"/>
            <w:right w:val="none" w:sz="0" w:space="0" w:color="auto"/>
          </w:divBdr>
        </w:div>
        <w:div w:id="1427924121">
          <w:marLeft w:val="0"/>
          <w:marRight w:val="0"/>
          <w:marTop w:val="0"/>
          <w:marBottom w:val="0"/>
          <w:divBdr>
            <w:top w:val="none" w:sz="0" w:space="0" w:color="auto"/>
            <w:left w:val="none" w:sz="0" w:space="0" w:color="auto"/>
            <w:bottom w:val="none" w:sz="0" w:space="0" w:color="auto"/>
            <w:right w:val="none" w:sz="0" w:space="0" w:color="auto"/>
          </w:divBdr>
        </w:div>
        <w:div w:id="1430001806">
          <w:marLeft w:val="0"/>
          <w:marRight w:val="0"/>
          <w:marTop w:val="0"/>
          <w:marBottom w:val="0"/>
          <w:divBdr>
            <w:top w:val="none" w:sz="0" w:space="0" w:color="auto"/>
            <w:left w:val="none" w:sz="0" w:space="0" w:color="auto"/>
            <w:bottom w:val="none" w:sz="0" w:space="0" w:color="auto"/>
            <w:right w:val="none" w:sz="0" w:space="0" w:color="auto"/>
          </w:divBdr>
        </w:div>
        <w:div w:id="1437560611">
          <w:marLeft w:val="0"/>
          <w:marRight w:val="0"/>
          <w:marTop w:val="0"/>
          <w:marBottom w:val="0"/>
          <w:divBdr>
            <w:top w:val="none" w:sz="0" w:space="0" w:color="auto"/>
            <w:left w:val="none" w:sz="0" w:space="0" w:color="auto"/>
            <w:bottom w:val="none" w:sz="0" w:space="0" w:color="auto"/>
            <w:right w:val="none" w:sz="0" w:space="0" w:color="auto"/>
          </w:divBdr>
        </w:div>
        <w:div w:id="1437871737">
          <w:marLeft w:val="0"/>
          <w:marRight w:val="0"/>
          <w:marTop w:val="0"/>
          <w:marBottom w:val="0"/>
          <w:divBdr>
            <w:top w:val="none" w:sz="0" w:space="0" w:color="auto"/>
            <w:left w:val="none" w:sz="0" w:space="0" w:color="auto"/>
            <w:bottom w:val="none" w:sz="0" w:space="0" w:color="auto"/>
            <w:right w:val="none" w:sz="0" w:space="0" w:color="auto"/>
          </w:divBdr>
        </w:div>
        <w:div w:id="1443107395">
          <w:marLeft w:val="0"/>
          <w:marRight w:val="0"/>
          <w:marTop w:val="0"/>
          <w:marBottom w:val="0"/>
          <w:divBdr>
            <w:top w:val="none" w:sz="0" w:space="0" w:color="auto"/>
            <w:left w:val="none" w:sz="0" w:space="0" w:color="auto"/>
            <w:bottom w:val="none" w:sz="0" w:space="0" w:color="auto"/>
            <w:right w:val="none" w:sz="0" w:space="0" w:color="auto"/>
          </w:divBdr>
        </w:div>
        <w:div w:id="1449931751">
          <w:marLeft w:val="0"/>
          <w:marRight w:val="0"/>
          <w:marTop w:val="0"/>
          <w:marBottom w:val="0"/>
          <w:divBdr>
            <w:top w:val="none" w:sz="0" w:space="0" w:color="auto"/>
            <w:left w:val="none" w:sz="0" w:space="0" w:color="auto"/>
            <w:bottom w:val="none" w:sz="0" w:space="0" w:color="auto"/>
            <w:right w:val="none" w:sz="0" w:space="0" w:color="auto"/>
          </w:divBdr>
        </w:div>
        <w:div w:id="1454330119">
          <w:marLeft w:val="0"/>
          <w:marRight w:val="0"/>
          <w:marTop w:val="0"/>
          <w:marBottom w:val="0"/>
          <w:divBdr>
            <w:top w:val="none" w:sz="0" w:space="0" w:color="auto"/>
            <w:left w:val="none" w:sz="0" w:space="0" w:color="auto"/>
            <w:bottom w:val="none" w:sz="0" w:space="0" w:color="auto"/>
            <w:right w:val="none" w:sz="0" w:space="0" w:color="auto"/>
          </w:divBdr>
        </w:div>
        <w:div w:id="1457865956">
          <w:marLeft w:val="0"/>
          <w:marRight w:val="0"/>
          <w:marTop w:val="0"/>
          <w:marBottom w:val="0"/>
          <w:divBdr>
            <w:top w:val="none" w:sz="0" w:space="0" w:color="auto"/>
            <w:left w:val="none" w:sz="0" w:space="0" w:color="auto"/>
            <w:bottom w:val="none" w:sz="0" w:space="0" w:color="auto"/>
            <w:right w:val="none" w:sz="0" w:space="0" w:color="auto"/>
          </w:divBdr>
        </w:div>
        <w:div w:id="1459487849">
          <w:marLeft w:val="0"/>
          <w:marRight w:val="0"/>
          <w:marTop w:val="0"/>
          <w:marBottom w:val="0"/>
          <w:divBdr>
            <w:top w:val="none" w:sz="0" w:space="0" w:color="auto"/>
            <w:left w:val="none" w:sz="0" w:space="0" w:color="auto"/>
            <w:bottom w:val="none" w:sz="0" w:space="0" w:color="auto"/>
            <w:right w:val="none" w:sz="0" w:space="0" w:color="auto"/>
          </w:divBdr>
        </w:div>
        <w:div w:id="1460949250">
          <w:marLeft w:val="0"/>
          <w:marRight w:val="0"/>
          <w:marTop w:val="0"/>
          <w:marBottom w:val="0"/>
          <w:divBdr>
            <w:top w:val="none" w:sz="0" w:space="0" w:color="auto"/>
            <w:left w:val="none" w:sz="0" w:space="0" w:color="auto"/>
            <w:bottom w:val="none" w:sz="0" w:space="0" w:color="auto"/>
            <w:right w:val="none" w:sz="0" w:space="0" w:color="auto"/>
          </w:divBdr>
        </w:div>
        <w:div w:id="1461462536">
          <w:marLeft w:val="0"/>
          <w:marRight w:val="0"/>
          <w:marTop w:val="0"/>
          <w:marBottom w:val="0"/>
          <w:divBdr>
            <w:top w:val="none" w:sz="0" w:space="0" w:color="auto"/>
            <w:left w:val="none" w:sz="0" w:space="0" w:color="auto"/>
            <w:bottom w:val="none" w:sz="0" w:space="0" w:color="auto"/>
            <w:right w:val="none" w:sz="0" w:space="0" w:color="auto"/>
          </w:divBdr>
        </w:div>
        <w:div w:id="1464494912">
          <w:marLeft w:val="0"/>
          <w:marRight w:val="0"/>
          <w:marTop w:val="0"/>
          <w:marBottom w:val="0"/>
          <w:divBdr>
            <w:top w:val="none" w:sz="0" w:space="0" w:color="auto"/>
            <w:left w:val="none" w:sz="0" w:space="0" w:color="auto"/>
            <w:bottom w:val="none" w:sz="0" w:space="0" w:color="auto"/>
            <w:right w:val="none" w:sz="0" w:space="0" w:color="auto"/>
          </w:divBdr>
        </w:div>
        <w:div w:id="1469130643">
          <w:marLeft w:val="0"/>
          <w:marRight w:val="0"/>
          <w:marTop w:val="0"/>
          <w:marBottom w:val="0"/>
          <w:divBdr>
            <w:top w:val="none" w:sz="0" w:space="0" w:color="auto"/>
            <w:left w:val="none" w:sz="0" w:space="0" w:color="auto"/>
            <w:bottom w:val="none" w:sz="0" w:space="0" w:color="auto"/>
            <w:right w:val="none" w:sz="0" w:space="0" w:color="auto"/>
          </w:divBdr>
        </w:div>
        <w:div w:id="1469546186">
          <w:marLeft w:val="0"/>
          <w:marRight w:val="0"/>
          <w:marTop w:val="0"/>
          <w:marBottom w:val="0"/>
          <w:divBdr>
            <w:top w:val="none" w:sz="0" w:space="0" w:color="auto"/>
            <w:left w:val="none" w:sz="0" w:space="0" w:color="auto"/>
            <w:bottom w:val="none" w:sz="0" w:space="0" w:color="auto"/>
            <w:right w:val="none" w:sz="0" w:space="0" w:color="auto"/>
          </w:divBdr>
        </w:div>
        <w:div w:id="1469862922">
          <w:marLeft w:val="0"/>
          <w:marRight w:val="0"/>
          <w:marTop w:val="0"/>
          <w:marBottom w:val="0"/>
          <w:divBdr>
            <w:top w:val="none" w:sz="0" w:space="0" w:color="auto"/>
            <w:left w:val="none" w:sz="0" w:space="0" w:color="auto"/>
            <w:bottom w:val="none" w:sz="0" w:space="0" w:color="auto"/>
            <w:right w:val="none" w:sz="0" w:space="0" w:color="auto"/>
          </w:divBdr>
        </w:div>
        <w:div w:id="1470511984">
          <w:marLeft w:val="0"/>
          <w:marRight w:val="0"/>
          <w:marTop w:val="0"/>
          <w:marBottom w:val="0"/>
          <w:divBdr>
            <w:top w:val="none" w:sz="0" w:space="0" w:color="auto"/>
            <w:left w:val="none" w:sz="0" w:space="0" w:color="auto"/>
            <w:bottom w:val="none" w:sz="0" w:space="0" w:color="auto"/>
            <w:right w:val="none" w:sz="0" w:space="0" w:color="auto"/>
          </w:divBdr>
        </w:div>
        <w:div w:id="1470898110">
          <w:marLeft w:val="0"/>
          <w:marRight w:val="0"/>
          <w:marTop w:val="0"/>
          <w:marBottom w:val="0"/>
          <w:divBdr>
            <w:top w:val="none" w:sz="0" w:space="0" w:color="auto"/>
            <w:left w:val="none" w:sz="0" w:space="0" w:color="auto"/>
            <w:bottom w:val="none" w:sz="0" w:space="0" w:color="auto"/>
            <w:right w:val="none" w:sz="0" w:space="0" w:color="auto"/>
          </w:divBdr>
        </w:div>
        <w:div w:id="1473644262">
          <w:marLeft w:val="0"/>
          <w:marRight w:val="0"/>
          <w:marTop w:val="0"/>
          <w:marBottom w:val="0"/>
          <w:divBdr>
            <w:top w:val="none" w:sz="0" w:space="0" w:color="auto"/>
            <w:left w:val="none" w:sz="0" w:space="0" w:color="auto"/>
            <w:bottom w:val="none" w:sz="0" w:space="0" w:color="auto"/>
            <w:right w:val="none" w:sz="0" w:space="0" w:color="auto"/>
          </w:divBdr>
        </w:div>
        <w:div w:id="1473906834">
          <w:marLeft w:val="0"/>
          <w:marRight w:val="0"/>
          <w:marTop w:val="0"/>
          <w:marBottom w:val="0"/>
          <w:divBdr>
            <w:top w:val="none" w:sz="0" w:space="0" w:color="auto"/>
            <w:left w:val="none" w:sz="0" w:space="0" w:color="auto"/>
            <w:bottom w:val="none" w:sz="0" w:space="0" w:color="auto"/>
            <w:right w:val="none" w:sz="0" w:space="0" w:color="auto"/>
          </w:divBdr>
        </w:div>
        <w:div w:id="1475639429">
          <w:marLeft w:val="0"/>
          <w:marRight w:val="0"/>
          <w:marTop w:val="0"/>
          <w:marBottom w:val="0"/>
          <w:divBdr>
            <w:top w:val="none" w:sz="0" w:space="0" w:color="auto"/>
            <w:left w:val="none" w:sz="0" w:space="0" w:color="auto"/>
            <w:bottom w:val="none" w:sz="0" w:space="0" w:color="auto"/>
            <w:right w:val="none" w:sz="0" w:space="0" w:color="auto"/>
          </w:divBdr>
        </w:div>
        <w:div w:id="1478449729">
          <w:marLeft w:val="0"/>
          <w:marRight w:val="0"/>
          <w:marTop w:val="0"/>
          <w:marBottom w:val="0"/>
          <w:divBdr>
            <w:top w:val="none" w:sz="0" w:space="0" w:color="auto"/>
            <w:left w:val="none" w:sz="0" w:space="0" w:color="auto"/>
            <w:bottom w:val="none" w:sz="0" w:space="0" w:color="auto"/>
            <w:right w:val="none" w:sz="0" w:space="0" w:color="auto"/>
          </w:divBdr>
        </w:div>
        <w:div w:id="1480460744">
          <w:marLeft w:val="0"/>
          <w:marRight w:val="0"/>
          <w:marTop w:val="0"/>
          <w:marBottom w:val="0"/>
          <w:divBdr>
            <w:top w:val="none" w:sz="0" w:space="0" w:color="auto"/>
            <w:left w:val="none" w:sz="0" w:space="0" w:color="auto"/>
            <w:bottom w:val="none" w:sz="0" w:space="0" w:color="auto"/>
            <w:right w:val="none" w:sz="0" w:space="0" w:color="auto"/>
          </w:divBdr>
        </w:div>
        <w:div w:id="1481267362">
          <w:marLeft w:val="0"/>
          <w:marRight w:val="0"/>
          <w:marTop w:val="0"/>
          <w:marBottom w:val="0"/>
          <w:divBdr>
            <w:top w:val="none" w:sz="0" w:space="0" w:color="auto"/>
            <w:left w:val="none" w:sz="0" w:space="0" w:color="auto"/>
            <w:bottom w:val="none" w:sz="0" w:space="0" w:color="auto"/>
            <w:right w:val="none" w:sz="0" w:space="0" w:color="auto"/>
          </w:divBdr>
        </w:div>
        <w:div w:id="1484197878">
          <w:marLeft w:val="0"/>
          <w:marRight w:val="0"/>
          <w:marTop w:val="0"/>
          <w:marBottom w:val="0"/>
          <w:divBdr>
            <w:top w:val="none" w:sz="0" w:space="0" w:color="auto"/>
            <w:left w:val="none" w:sz="0" w:space="0" w:color="auto"/>
            <w:bottom w:val="none" w:sz="0" w:space="0" w:color="auto"/>
            <w:right w:val="none" w:sz="0" w:space="0" w:color="auto"/>
          </w:divBdr>
        </w:div>
        <w:div w:id="1485470830">
          <w:marLeft w:val="0"/>
          <w:marRight w:val="0"/>
          <w:marTop w:val="0"/>
          <w:marBottom w:val="0"/>
          <w:divBdr>
            <w:top w:val="none" w:sz="0" w:space="0" w:color="auto"/>
            <w:left w:val="none" w:sz="0" w:space="0" w:color="auto"/>
            <w:bottom w:val="none" w:sz="0" w:space="0" w:color="auto"/>
            <w:right w:val="none" w:sz="0" w:space="0" w:color="auto"/>
          </w:divBdr>
        </w:div>
        <w:div w:id="1488596717">
          <w:marLeft w:val="0"/>
          <w:marRight w:val="0"/>
          <w:marTop w:val="0"/>
          <w:marBottom w:val="0"/>
          <w:divBdr>
            <w:top w:val="none" w:sz="0" w:space="0" w:color="auto"/>
            <w:left w:val="none" w:sz="0" w:space="0" w:color="auto"/>
            <w:bottom w:val="none" w:sz="0" w:space="0" w:color="auto"/>
            <w:right w:val="none" w:sz="0" w:space="0" w:color="auto"/>
          </w:divBdr>
        </w:div>
        <w:div w:id="1490318749">
          <w:marLeft w:val="0"/>
          <w:marRight w:val="0"/>
          <w:marTop w:val="0"/>
          <w:marBottom w:val="0"/>
          <w:divBdr>
            <w:top w:val="none" w:sz="0" w:space="0" w:color="auto"/>
            <w:left w:val="none" w:sz="0" w:space="0" w:color="auto"/>
            <w:bottom w:val="none" w:sz="0" w:space="0" w:color="auto"/>
            <w:right w:val="none" w:sz="0" w:space="0" w:color="auto"/>
          </w:divBdr>
        </w:div>
        <w:div w:id="1492478709">
          <w:marLeft w:val="0"/>
          <w:marRight w:val="0"/>
          <w:marTop w:val="0"/>
          <w:marBottom w:val="0"/>
          <w:divBdr>
            <w:top w:val="none" w:sz="0" w:space="0" w:color="auto"/>
            <w:left w:val="none" w:sz="0" w:space="0" w:color="auto"/>
            <w:bottom w:val="none" w:sz="0" w:space="0" w:color="auto"/>
            <w:right w:val="none" w:sz="0" w:space="0" w:color="auto"/>
          </w:divBdr>
        </w:div>
        <w:div w:id="1495796964">
          <w:marLeft w:val="0"/>
          <w:marRight w:val="0"/>
          <w:marTop w:val="0"/>
          <w:marBottom w:val="0"/>
          <w:divBdr>
            <w:top w:val="none" w:sz="0" w:space="0" w:color="auto"/>
            <w:left w:val="none" w:sz="0" w:space="0" w:color="auto"/>
            <w:bottom w:val="none" w:sz="0" w:space="0" w:color="auto"/>
            <w:right w:val="none" w:sz="0" w:space="0" w:color="auto"/>
          </w:divBdr>
        </w:div>
        <w:div w:id="1496412296">
          <w:marLeft w:val="0"/>
          <w:marRight w:val="0"/>
          <w:marTop w:val="0"/>
          <w:marBottom w:val="0"/>
          <w:divBdr>
            <w:top w:val="none" w:sz="0" w:space="0" w:color="auto"/>
            <w:left w:val="none" w:sz="0" w:space="0" w:color="auto"/>
            <w:bottom w:val="none" w:sz="0" w:space="0" w:color="auto"/>
            <w:right w:val="none" w:sz="0" w:space="0" w:color="auto"/>
          </w:divBdr>
        </w:div>
        <w:div w:id="1498107891">
          <w:marLeft w:val="0"/>
          <w:marRight w:val="0"/>
          <w:marTop w:val="0"/>
          <w:marBottom w:val="0"/>
          <w:divBdr>
            <w:top w:val="none" w:sz="0" w:space="0" w:color="auto"/>
            <w:left w:val="none" w:sz="0" w:space="0" w:color="auto"/>
            <w:bottom w:val="none" w:sz="0" w:space="0" w:color="auto"/>
            <w:right w:val="none" w:sz="0" w:space="0" w:color="auto"/>
          </w:divBdr>
        </w:div>
        <w:div w:id="1508867624">
          <w:marLeft w:val="0"/>
          <w:marRight w:val="0"/>
          <w:marTop w:val="0"/>
          <w:marBottom w:val="0"/>
          <w:divBdr>
            <w:top w:val="none" w:sz="0" w:space="0" w:color="auto"/>
            <w:left w:val="none" w:sz="0" w:space="0" w:color="auto"/>
            <w:bottom w:val="none" w:sz="0" w:space="0" w:color="auto"/>
            <w:right w:val="none" w:sz="0" w:space="0" w:color="auto"/>
          </w:divBdr>
        </w:div>
        <w:div w:id="1510369482">
          <w:marLeft w:val="0"/>
          <w:marRight w:val="0"/>
          <w:marTop w:val="0"/>
          <w:marBottom w:val="0"/>
          <w:divBdr>
            <w:top w:val="none" w:sz="0" w:space="0" w:color="auto"/>
            <w:left w:val="none" w:sz="0" w:space="0" w:color="auto"/>
            <w:bottom w:val="none" w:sz="0" w:space="0" w:color="auto"/>
            <w:right w:val="none" w:sz="0" w:space="0" w:color="auto"/>
          </w:divBdr>
        </w:div>
        <w:div w:id="1511212534">
          <w:marLeft w:val="0"/>
          <w:marRight w:val="0"/>
          <w:marTop w:val="0"/>
          <w:marBottom w:val="0"/>
          <w:divBdr>
            <w:top w:val="none" w:sz="0" w:space="0" w:color="auto"/>
            <w:left w:val="none" w:sz="0" w:space="0" w:color="auto"/>
            <w:bottom w:val="none" w:sz="0" w:space="0" w:color="auto"/>
            <w:right w:val="none" w:sz="0" w:space="0" w:color="auto"/>
          </w:divBdr>
        </w:div>
        <w:div w:id="1517962114">
          <w:marLeft w:val="0"/>
          <w:marRight w:val="0"/>
          <w:marTop w:val="0"/>
          <w:marBottom w:val="0"/>
          <w:divBdr>
            <w:top w:val="none" w:sz="0" w:space="0" w:color="auto"/>
            <w:left w:val="none" w:sz="0" w:space="0" w:color="auto"/>
            <w:bottom w:val="none" w:sz="0" w:space="0" w:color="auto"/>
            <w:right w:val="none" w:sz="0" w:space="0" w:color="auto"/>
          </w:divBdr>
        </w:div>
        <w:div w:id="1519418821">
          <w:marLeft w:val="0"/>
          <w:marRight w:val="0"/>
          <w:marTop w:val="0"/>
          <w:marBottom w:val="0"/>
          <w:divBdr>
            <w:top w:val="none" w:sz="0" w:space="0" w:color="auto"/>
            <w:left w:val="none" w:sz="0" w:space="0" w:color="auto"/>
            <w:bottom w:val="none" w:sz="0" w:space="0" w:color="auto"/>
            <w:right w:val="none" w:sz="0" w:space="0" w:color="auto"/>
          </w:divBdr>
        </w:div>
        <w:div w:id="1530996941">
          <w:marLeft w:val="0"/>
          <w:marRight w:val="0"/>
          <w:marTop w:val="0"/>
          <w:marBottom w:val="0"/>
          <w:divBdr>
            <w:top w:val="none" w:sz="0" w:space="0" w:color="auto"/>
            <w:left w:val="none" w:sz="0" w:space="0" w:color="auto"/>
            <w:bottom w:val="none" w:sz="0" w:space="0" w:color="auto"/>
            <w:right w:val="none" w:sz="0" w:space="0" w:color="auto"/>
          </w:divBdr>
        </w:div>
        <w:div w:id="1535729499">
          <w:marLeft w:val="0"/>
          <w:marRight w:val="0"/>
          <w:marTop w:val="0"/>
          <w:marBottom w:val="0"/>
          <w:divBdr>
            <w:top w:val="none" w:sz="0" w:space="0" w:color="auto"/>
            <w:left w:val="none" w:sz="0" w:space="0" w:color="auto"/>
            <w:bottom w:val="none" w:sz="0" w:space="0" w:color="auto"/>
            <w:right w:val="none" w:sz="0" w:space="0" w:color="auto"/>
          </w:divBdr>
        </w:div>
        <w:div w:id="1536622847">
          <w:marLeft w:val="0"/>
          <w:marRight w:val="0"/>
          <w:marTop w:val="0"/>
          <w:marBottom w:val="0"/>
          <w:divBdr>
            <w:top w:val="none" w:sz="0" w:space="0" w:color="auto"/>
            <w:left w:val="none" w:sz="0" w:space="0" w:color="auto"/>
            <w:bottom w:val="none" w:sz="0" w:space="0" w:color="auto"/>
            <w:right w:val="none" w:sz="0" w:space="0" w:color="auto"/>
          </w:divBdr>
        </w:div>
        <w:div w:id="1546717681">
          <w:marLeft w:val="0"/>
          <w:marRight w:val="0"/>
          <w:marTop w:val="0"/>
          <w:marBottom w:val="0"/>
          <w:divBdr>
            <w:top w:val="none" w:sz="0" w:space="0" w:color="auto"/>
            <w:left w:val="none" w:sz="0" w:space="0" w:color="auto"/>
            <w:bottom w:val="none" w:sz="0" w:space="0" w:color="auto"/>
            <w:right w:val="none" w:sz="0" w:space="0" w:color="auto"/>
          </w:divBdr>
        </w:div>
        <w:div w:id="1547907135">
          <w:marLeft w:val="0"/>
          <w:marRight w:val="0"/>
          <w:marTop w:val="0"/>
          <w:marBottom w:val="0"/>
          <w:divBdr>
            <w:top w:val="none" w:sz="0" w:space="0" w:color="auto"/>
            <w:left w:val="none" w:sz="0" w:space="0" w:color="auto"/>
            <w:bottom w:val="none" w:sz="0" w:space="0" w:color="auto"/>
            <w:right w:val="none" w:sz="0" w:space="0" w:color="auto"/>
          </w:divBdr>
        </w:div>
        <w:div w:id="1549486980">
          <w:marLeft w:val="0"/>
          <w:marRight w:val="0"/>
          <w:marTop w:val="0"/>
          <w:marBottom w:val="0"/>
          <w:divBdr>
            <w:top w:val="none" w:sz="0" w:space="0" w:color="auto"/>
            <w:left w:val="none" w:sz="0" w:space="0" w:color="auto"/>
            <w:bottom w:val="none" w:sz="0" w:space="0" w:color="auto"/>
            <w:right w:val="none" w:sz="0" w:space="0" w:color="auto"/>
          </w:divBdr>
        </w:div>
        <w:div w:id="1559709746">
          <w:marLeft w:val="0"/>
          <w:marRight w:val="0"/>
          <w:marTop w:val="0"/>
          <w:marBottom w:val="0"/>
          <w:divBdr>
            <w:top w:val="none" w:sz="0" w:space="0" w:color="auto"/>
            <w:left w:val="none" w:sz="0" w:space="0" w:color="auto"/>
            <w:bottom w:val="none" w:sz="0" w:space="0" w:color="auto"/>
            <w:right w:val="none" w:sz="0" w:space="0" w:color="auto"/>
          </w:divBdr>
        </w:div>
        <w:div w:id="1562788914">
          <w:marLeft w:val="0"/>
          <w:marRight w:val="0"/>
          <w:marTop w:val="0"/>
          <w:marBottom w:val="0"/>
          <w:divBdr>
            <w:top w:val="none" w:sz="0" w:space="0" w:color="auto"/>
            <w:left w:val="none" w:sz="0" w:space="0" w:color="auto"/>
            <w:bottom w:val="none" w:sz="0" w:space="0" w:color="auto"/>
            <w:right w:val="none" w:sz="0" w:space="0" w:color="auto"/>
          </w:divBdr>
        </w:div>
        <w:div w:id="1563563395">
          <w:marLeft w:val="0"/>
          <w:marRight w:val="0"/>
          <w:marTop w:val="0"/>
          <w:marBottom w:val="0"/>
          <w:divBdr>
            <w:top w:val="none" w:sz="0" w:space="0" w:color="auto"/>
            <w:left w:val="none" w:sz="0" w:space="0" w:color="auto"/>
            <w:bottom w:val="none" w:sz="0" w:space="0" w:color="auto"/>
            <w:right w:val="none" w:sz="0" w:space="0" w:color="auto"/>
          </w:divBdr>
        </w:div>
        <w:div w:id="1564755303">
          <w:marLeft w:val="0"/>
          <w:marRight w:val="0"/>
          <w:marTop w:val="0"/>
          <w:marBottom w:val="0"/>
          <w:divBdr>
            <w:top w:val="none" w:sz="0" w:space="0" w:color="auto"/>
            <w:left w:val="none" w:sz="0" w:space="0" w:color="auto"/>
            <w:bottom w:val="none" w:sz="0" w:space="0" w:color="auto"/>
            <w:right w:val="none" w:sz="0" w:space="0" w:color="auto"/>
          </w:divBdr>
        </w:div>
        <w:div w:id="1574661549">
          <w:marLeft w:val="0"/>
          <w:marRight w:val="0"/>
          <w:marTop w:val="0"/>
          <w:marBottom w:val="0"/>
          <w:divBdr>
            <w:top w:val="none" w:sz="0" w:space="0" w:color="auto"/>
            <w:left w:val="none" w:sz="0" w:space="0" w:color="auto"/>
            <w:bottom w:val="none" w:sz="0" w:space="0" w:color="auto"/>
            <w:right w:val="none" w:sz="0" w:space="0" w:color="auto"/>
          </w:divBdr>
        </w:div>
        <w:div w:id="1578897616">
          <w:marLeft w:val="0"/>
          <w:marRight w:val="0"/>
          <w:marTop w:val="0"/>
          <w:marBottom w:val="0"/>
          <w:divBdr>
            <w:top w:val="none" w:sz="0" w:space="0" w:color="auto"/>
            <w:left w:val="none" w:sz="0" w:space="0" w:color="auto"/>
            <w:bottom w:val="none" w:sz="0" w:space="0" w:color="auto"/>
            <w:right w:val="none" w:sz="0" w:space="0" w:color="auto"/>
          </w:divBdr>
        </w:div>
        <w:div w:id="1580797491">
          <w:marLeft w:val="0"/>
          <w:marRight w:val="0"/>
          <w:marTop w:val="0"/>
          <w:marBottom w:val="0"/>
          <w:divBdr>
            <w:top w:val="none" w:sz="0" w:space="0" w:color="auto"/>
            <w:left w:val="none" w:sz="0" w:space="0" w:color="auto"/>
            <w:bottom w:val="none" w:sz="0" w:space="0" w:color="auto"/>
            <w:right w:val="none" w:sz="0" w:space="0" w:color="auto"/>
          </w:divBdr>
        </w:div>
        <w:div w:id="1581258830">
          <w:marLeft w:val="0"/>
          <w:marRight w:val="0"/>
          <w:marTop w:val="0"/>
          <w:marBottom w:val="0"/>
          <w:divBdr>
            <w:top w:val="none" w:sz="0" w:space="0" w:color="auto"/>
            <w:left w:val="none" w:sz="0" w:space="0" w:color="auto"/>
            <w:bottom w:val="none" w:sz="0" w:space="0" w:color="auto"/>
            <w:right w:val="none" w:sz="0" w:space="0" w:color="auto"/>
          </w:divBdr>
        </w:div>
        <w:div w:id="1581595762">
          <w:marLeft w:val="0"/>
          <w:marRight w:val="0"/>
          <w:marTop w:val="0"/>
          <w:marBottom w:val="0"/>
          <w:divBdr>
            <w:top w:val="none" w:sz="0" w:space="0" w:color="auto"/>
            <w:left w:val="none" w:sz="0" w:space="0" w:color="auto"/>
            <w:bottom w:val="none" w:sz="0" w:space="0" w:color="auto"/>
            <w:right w:val="none" w:sz="0" w:space="0" w:color="auto"/>
          </w:divBdr>
        </w:div>
        <w:div w:id="1583105550">
          <w:marLeft w:val="0"/>
          <w:marRight w:val="0"/>
          <w:marTop w:val="0"/>
          <w:marBottom w:val="0"/>
          <w:divBdr>
            <w:top w:val="none" w:sz="0" w:space="0" w:color="auto"/>
            <w:left w:val="none" w:sz="0" w:space="0" w:color="auto"/>
            <w:bottom w:val="none" w:sz="0" w:space="0" w:color="auto"/>
            <w:right w:val="none" w:sz="0" w:space="0" w:color="auto"/>
          </w:divBdr>
        </w:div>
        <w:div w:id="1583685383">
          <w:marLeft w:val="0"/>
          <w:marRight w:val="0"/>
          <w:marTop w:val="0"/>
          <w:marBottom w:val="0"/>
          <w:divBdr>
            <w:top w:val="none" w:sz="0" w:space="0" w:color="auto"/>
            <w:left w:val="none" w:sz="0" w:space="0" w:color="auto"/>
            <w:bottom w:val="none" w:sz="0" w:space="0" w:color="auto"/>
            <w:right w:val="none" w:sz="0" w:space="0" w:color="auto"/>
          </w:divBdr>
        </w:div>
        <w:div w:id="1584298281">
          <w:marLeft w:val="0"/>
          <w:marRight w:val="0"/>
          <w:marTop w:val="0"/>
          <w:marBottom w:val="0"/>
          <w:divBdr>
            <w:top w:val="none" w:sz="0" w:space="0" w:color="auto"/>
            <w:left w:val="none" w:sz="0" w:space="0" w:color="auto"/>
            <w:bottom w:val="none" w:sz="0" w:space="0" w:color="auto"/>
            <w:right w:val="none" w:sz="0" w:space="0" w:color="auto"/>
          </w:divBdr>
        </w:div>
        <w:div w:id="1587111420">
          <w:marLeft w:val="0"/>
          <w:marRight w:val="0"/>
          <w:marTop w:val="0"/>
          <w:marBottom w:val="0"/>
          <w:divBdr>
            <w:top w:val="none" w:sz="0" w:space="0" w:color="auto"/>
            <w:left w:val="none" w:sz="0" w:space="0" w:color="auto"/>
            <w:bottom w:val="none" w:sz="0" w:space="0" w:color="auto"/>
            <w:right w:val="none" w:sz="0" w:space="0" w:color="auto"/>
          </w:divBdr>
        </w:div>
        <w:div w:id="1588804177">
          <w:marLeft w:val="0"/>
          <w:marRight w:val="0"/>
          <w:marTop w:val="0"/>
          <w:marBottom w:val="0"/>
          <w:divBdr>
            <w:top w:val="none" w:sz="0" w:space="0" w:color="auto"/>
            <w:left w:val="none" w:sz="0" w:space="0" w:color="auto"/>
            <w:bottom w:val="none" w:sz="0" w:space="0" w:color="auto"/>
            <w:right w:val="none" w:sz="0" w:space="0" w:color="auto"/>
          </w:divBdr>
        </w:div>
        <w:div w:id="1588879714">
          <w:marLeft w:val="0"/>
          <w:marRight w:val="0"/>
          <w:marTop w:val="0"/>
          <w:marBottom w:val="0"/>
          <w:divBdr>
            <w:top w:val="none" w:sz="0" w:space="0" w:color="auto"/>
            <w:left w:val="none" w:sz="0" w:space="0" w:color="auto"/>
            <w:bottom w:val="none" w:sz="0" w:space="0" w:color="auto"/>
            <w:right w:val="none" w:sz="0" w:space="0" w:color="auto"/>
          </w:divBdr>
        </w:div>
        <w:div w:id="1592736289">
          <w:marLeft w:val="0"/>
          <w:marRight w:val="0"/>
          <w:marTop w:val="0"/>
          <w:marBottom w:val="0"/>
          <w:divBdr>
            <w:top w:val="none" w:sz="0" w:space="0" w:color="auto"/>
            <w:left w:val="none" w:sz="0" w:space="0" w:color="auto"/>
            <w:bottom w:val="none" w:sz="0" w:space="0" w:color="auto"/>
            <w:right w:val="none" w:sz="0" w:space="0" w:color="auto"/>
          </w:divBdr>
        </w:div>
        <w:div w:id="1593471363">
          <w:marLeft w:val="0"/>
          <w:marRight w:val="0"/>
          <w:marTop w:val="0"/>
          <w:marBottom w:val="0"/>
          <w:divBdr>
            <w:top w:val="none" w:sz="0" w:space="0" w:color="auto"/>
            <w:left w:val="none" w:sz="0" w:space="0" w:color="auto"/>
            <w:bottom w:val="none" w:sz="0" w:space="0" w:color="auto"/>
            <w:right w:val="none" w:sz="0" w:space="0" w:color="auto"/>
          </w:divBdr>
        </w:div>
        <w:div w:id="1597060308">
          <w:marLeft w:val="0"/>
          <w:marRight w:val="0"/>
          <w:marTop w:val="0"/>
          <w:marBottom w:val="0"/>
          <w:divBdr>
            <w:top w:val="none" w:sz="0" w:space="0" w:color="auto"/>
            <w:left w:val="none" w:sz="0" w:space="0" w:color="auto"/>
            <w:bottom w:val="none" w:sz="0" w:space="0" w:color="auto"/>
            <w:right w:val="none" w:sz="0" w:space="0" w:color="auto"/>
          </w:divBdr>
        </w:div>
        <w:div w:id="1602567557">
          <w:marLeft w:val="0"/>
          <w:marRight w:val="0"/>
          <w:marTop w:val="0"/>
          <w:marBottom w:val="0"/>
          <w:divBdr>
            <w:top w:val="none" w:sz="0" w:space="0" w:color="auto"/>
            <w:left w:val="none" w:sz="0" w:space="0" w:color="auto"/>
            <w:bottom w:val="none" w:sz="0" w:space="0" w:color="auto"/>
            <w:right w:val="none" w:sz="0" w:space="0" w:color="auto"/>
          </w:divBdr>
        </w:div>
        <w:div w:id="1604457408">
          <w:marLeft w:val="0"/>
          <w:marRight w:val="0"/>
          <w:marTop w:val="0"/>
          <w:marBottom w:val="0"/>
          <w:divBdr>
            <w:top w:val="none" w:sz="0" w:space="0" w:color="auto"/>
            <w:left w:val="none" w:sz="0" w:space="0" w:color="auto"/>
            <w:bottom w:val="none" w:sz="0" w:space="0" w:color="auto"/>
            <w:right w:val="none" w:sz="0" w:space="0" w:color="auto"/>
          </w:divBdr>
        </w:div>
        <w:div w:id="1607275580">
          <w:marLeft w:val="0"/>
          <w:marRight w:val="0"/>
          <w:marTop w:val="0"/>
          <w:marBottom w:val="0"/>
          <w:divBdr>
            <w:top w:val="none" w:sz="0" w:space="0" w:color="auto"/>
            <w:left w:val="none" w:sz="0" w:space="0" w:color="auto"/>
            <w:bottom w:val="none" w:sz="0" w:space="0" w:color="auto"/>
            <w:right w:val="none" w:sz="0" w:space="0" w:color="auto"/>
          </w:divBdr>
        </w:div>
        <w:div w:id="1608153591">
          <w:marLeft w:val="0"/>
          <w:marRight w:val="0"/>
          <w:marTop w:val="0"/>
          <w:marBottom w:val="0"/>
          <w:divBdr>
            <w:top w:val="none" w:sz="0" w:space="0" w:color="auto"/>
            <w:left w:val="none" w:sz="0" w:space="0" w:color="auto"/>
            <w:bottom w:val="none" w:sz="0" w:space="0" w:color="auto"/>
            <w:right w:val="none" w:sz="0" w:space="0" w:color="auto"/>
          </w:divBdr>
        </w:div>
        <w:div w:id="1609309773">
          <w:marLeft w:val="0"/>
          <w:marRight w:val="0"/>
          <w:marTop w:val="0"/>
          <w:marBottom w:val="0"/>
          <w:divBdr>
            <w:top w:val="none" w:sz="0" w:space="0" w:color="auto"/>
            <w:left w:val="none" w:sz="0" w:space="0" w:color="auto"/>
            <w:bottom w:val="none" w:sz="0" w:space="0" w:color="auto"/>
            <w:right w:val="none" w:sz="0" w:space="0" w:color="auto"/>
          </w:divBdr>
        </w:div>
        <w:div w:id="1610427766">
          <w:marLeft w:val="0"/>
          <w:marRight w:val="0"/>
          <w:marTop w:val="0"/>
          <w:marBottom w:val="0"/>
          <w:divBdr>
            <w:top w:val="none" w:sz="0" w:space="0" w:color="auto"/>
            <w:left w:val="none" w:sz="0" w:space="0" w:color="auto"/>
            <w:bottom w:val="none" w:sz="0" w:space="0" w:color="auto"/>
            <w:right w:val="none" w:sz="0" w:space="0" w:color="auto"/>
          </w:divBdr>
        </w:div>
        <w:div w:id="1616669987">
          <w:marLeft w:val="0"/>
          <w:marRight w:val="0"/>
          <w:marTop w:val="0"/>
          <w:marBottom w:val="0"/>
          <w:divBdr>
            <w:top w:val="none" w:sz="0" w:space="0" w:color="auto"/>
            <w:left w:val="none" w:sz="0" w:space="0" w:color="auto"/>
            <w:bottom w:val="none" w:sz="0" w:space="0" w:color="auto"/>
            <w:right w:val="none" w:sz="0" w:space="0" w:color="auto"/>
          </w:divBdr>
        </w:div>
        <w:div w:id="1623265658">
          <w:marLeft w:val="0"/>
          <w:marRight w:val="0"/>
          <w:marTop w:val="0"/>
          <w:marBottom w:val="0"/>
          <w:divBdr>
            <w:top w:val="none" w:sz="0" w:space="0" w:color="auto"/>
            <w:left w:val="none" w:sz="0" w:space="0" w:color="auto"/>
            <w:bottom w:val="none" w:sz="0" w:space="0" w:color="auto"/>
            <w:right w:val="none" w:sz="0" w:space="0" w:color="auto"/>
          </w:divBdr>
        </w:div>
        <w:div w:id="1629123410">
          <w:marLeft w:val="0"/>
          <w:marRight w:val="0"/>
          <w:marTop w:val="0"/>
          <w:marBottom w:val="0"/>
          <w:divBdr>
            <w:top w:val="none" w:sz="0" w:space="0" w:color="auto"/>
            <w:left w:val="none" w:sz="0" w:space="0" w:color="auto"/>
            <w:bottom w:val="none" w:sz="0" w:space="0" w:color="auto"/>
            <w:right w:val="none" w:sz="0" w:space="0" w:color="auto"/>
          </w:divBdr>
        </w:div>
        <w:div w:id="1634403662">
          <w:marLeft w:val="0"/>
          <w:marRight w:val="0"/>
          <w:marTop w:val="0"/>
          <w:marBottom w:val="0"/>
          <w:divBdr>
            <w:top w:val="none" w:sz="0" w:space="0" w:color="auto"/>
            <w:left w:val="none" w:sz="0" w:space="0" w:color="auto"/>
            <w:bottom w:val="none" w:sz="0" w:space="0" w:color="auto"/>
            <w:right w:val="none" w:sz="0" w:space="0" w:color="auto"/>
          </w:divBdr>
        </w:div>
        <w:div w:id="1643733277">
          <w:marLeft w:val="0"/>
          <w:marRight w:val="0"/>
          <w:marTop w:val="0"/>
          <w:marBottom w:val="0"/>
          <w:divBdr>
            <w:top w:val="none" w:sz="0" w:space="0" w:color="auto"/>
            <w:left w:val="none" w:sz="0" w:space="0" w:color="auto"/>
            <w:bottom w:val="none" w:sz="0" w:space="0" w:color="auto"/>
            <w:right w:val="none" w:sz="0" w:space="0" w:color="auto"/>
          </w:divBdr>
        </w:div>
        <w:div w:id="1653438424">
          <w:marLeft w:val="0"/>
          <w:marRight w:val="0"/>
          <w:marTop w:val="0"/>
          <w:marBottom w:val="0"/>
          <w:divBdr>
            <w:top w:val="none" w:sz="0" w:space="0" w:color="auto"/>
            <w:left w:val="none" w:sz="0" w:space="0" w:color="auto"/>
            <w:bottom w:val="none" w:sz="0" w:space="0" w:color="auto"/>
            <w:right w:val="none" w:sz="0" w:space="0" w:color="auto"/>
          </w:divBdr>
        </w:div>
        <w:div w:id="1655914639">
          <w:marLeft w:val="0"/>
          <w:marRight w:val="0"/>
          <w:marTop w:val="0"/>
          <w:marBottom w:val="0"/>
          <w:divBdr>
            <w:top w:val="none" w:sz="0" w:space="0" w:color="auto"/>
            <w:left w:val="none" w:sz="0" w:space="0" w:color="auto"/>
            <w:bottom w:val="none" w:sz="0" w:space="0" w:color="auto"/>
            <w:right w:val="none" w:sz="0" w:space="0" w:color="auto"/>
          </w:divBdr>
        </w:div>
        <w:div w:id="1659573018">
          <w:marLeft w:val="0"/>
          <w:marRight w:val="0"/>
          <w:marTop w:val="0"/>
          <w:marBottom w:val="0"/>
          <w:divBdr>
            <w:top w:val="none" w:sz="0" w:space="0" w:color="auto"/>
            <w:left w:val="none" w:sz="0" w:space="0" w:color="auto"/>
            <w:bottom w:val="none" w:sz="0" w:space="0" w:color="auto"/>
            <w:right w:val="none" w:sz="0" w:space="0" w:color="auto"/>
          </w:divBdr>
        </w:div>
        <w:div w:id="1663312216">
          <w:marLeft w:val="0"/>
          <w:marRight w:val="0"/>
          <w:marTop w:val="0"/>
          <w:marBottom w:val="0"/>
          <w:divBdr>
            <w:top w:val="none" w:sz="0" w:space="0" w:color="auto"/>
            <w:left w:val="none" w:sz="0" w:space="0" w:color="auto"/>
            <w:bottom w:val="none" w:sz="0" w:space="0" w:color="auto"/>
            <w:right w:val="none" w:sz="0" w:space="0" w:color="auto"/>
          </w:divBdr>
        </w:div>
        <w:div w:id="1670015715">
          <w:marLeft w:val="0"/>
          <w:marRight w:val="0"/>
          <w:marTop w:val="0"/>
          <w:marBottom w:val="0"/>
          <w:divBdr>
            <w:top w:val="none" w:sz="0" w:space="0" w:color="auto"/>
            <w:left w:val="none" w:sz="0" w:space="0" w:color="auto"/>
            <w:bottom w:val="none" w:sz="0" w:space="0" w:color="auto"/>
            <w:right w:val="none" w:sz="0" w:space="0" w:color="auto"/>
          </w:divBdr>
        </w:div>
        <w:div w:id="1684699404">
          <w:marLeft w:val="0"/>
          <w:marRight w:val="0"/>
          <w:marTop w:val="0"/>
          <w:marBottom w:val="0"/>
          <w:divBdr>
            <w:top w:val="none" w:sz="0" w:space="0" w:color="auto"/>
            <w:left w:val="none" w:sz="0" w:space="0" w:color="auto"/>
            <w:bottom w:val="none" w:sz="0" w:space="0" w:color="auto"/>
            <w:right w:val="none" w:sz="0" w:space="0" w:color="auto"/>
          </w:divBdr>
        </w:div>
        <w:div w:id="1684865594">
          <w:marLeft w:val="0"/>
          <w:marRight w:val="0"/>
          <w:marTop w:val="0"/>
          <w:marBottom w:val="0"/>
          <w:divBdr>
            <w:top w:val="none" w:sz="0" w:space="0" w:color="auto"/>
            <w:left w:val="none" w:sz="0" w:space="0" w:color="auto"/>
            <w:bottom w:val="none" w:sz="0" w:space="0" w:color="auto"/>
            <w:right w:val="none" w:sz="0" w:space="0" w:color="auto"/>
          </w:divBdr>
        </w:div>
        <w:div w:id="1684933282">
          <w:marLeft w:val="0"/>
          <w:marRight w:val="0"/>
          <w:marTop w:val="0"/>
          <w:marBottom w:val="0"/>
          <w:divBdr>
            <w:top w:val="none" w:sz="0" w:space="0" w:color="auto"/>
            <w:left w:val="none" w:sz="0" w:space="0" w:color="auto"/>
            <w:bottom w:val="none" w:sz="0" w:space="0" w:color="auto"/>
            <w:right w:val="none" w:sz="0" w:space="0" w:color="auto"/>
          </w:divBdr>
        </w:div>
        <w:div w:id="1686664416">
          <w:marLeft w:val="0"/>
          <w:marRight w:val="0"/>
          <w:marTop w:val="0"/>
          <w:marBottom w:val="0"/>
          <w:divBdr>
            <w:top w:val="none" w:sz="0" w:space="0" w:color="auto"/>
            <w:left w:val="none" w:sz="0" w:space="0" w:color="auto"/>
            <w:bottom w:val="none" w:sz="0" w:space="0" w:color="auto"/>
            <w:right w:val="none" w:sz="0" w:space="0" w:color="auto"/>
          </w:divBdr>
        </w:div>
        <w:div w:id="1690834050">
          <w:marLeft w:val="0"/>
          <w:marRight w:val="0"/>
          <w:marTop w:val="0"/>
          <w:marBottom w:val="0"/>
          <w:divBdr>
            <w:top w:val="none" w:sz="0" w:space="0" w:color="auto"/>
            <w:left w:val="none" w:sz="0" w:space="0" w:color="auto"/>
            <w:bottom w:val="none" w:sz="0" w:space="0" w:color="auto"/>
            <w:right w:val="none" w:sz="0" w:space="0" w:color="auto"/>
          </w:divBdr>
        </w:div>
        <w:div w:id="1690837157">
          <w:marLeft w:val="0"/>
          <w:marRight w:val="0"/>
          <w:marTop w:val="0"/>
          <w:marBottom w:val="0"/>
          <w:divBdr>
            <w:top w:val="none" w:sz="0" w:space="0" w:color="auto"/>
            <w:left w:val="none" w:sz="0" w:space="0" w:color="auto"/>
            <w:bottom w:val="none" w:sz="0" w:space="0" w:color="auto"/>
            <w:right w:val="none" w:sz="0" w:space="0" w:color="auto"/>
          </w:divBdr>
        </w:div>
        <w:div w:id="1691947976">
          <w:marLeft w:val="0"/>
          <w:marRight w:val="0"/>
          <w:marTop w:val="0"/>
          <w:marBottom w:val="0"/>
          <w:divBdr>
            <w:top w:val="none" w:sz="0" w:space="0" w:color="auto"/>
            <w:left w:val="none" w:sz="0" w:space="0" w:color="auto"/>
            <w:bottom w:val="none" w:sz="0" w:space="0" w:color="auto"/>
            <w:right w:val="none" w:sz="0" w:space="0" w:color="auto"/>
          </w:divBdr>
        </w:div>
        <w:div w:id="1693998128">
          <w:marLeft w:val="0"/>
          <w:marRight w:val="0"/>
          <w:marTop w:val="0"/>
          <w:marBottom w:val="0"/>
          <w:divBdr>
            <w:top w:val="none" w:sz="0" w:space="0" w:color="auto"/>
            <w:left w:val="none" w:sz="0" w:space="0" w:color="auto"/>
            <w:bottom w:val="none" w:sz="0" w:space="0" w:color="auto"/>
            <w:right w:val="none" w:sz="0" w:space="0" w:color="auto"/>
          </w:divBdr>
        </w:div>
        <w:div w:id="1694499085">
          <w:marLeft w:val="0"/>
          <w:marRight w:val="0"/>
          <w:marTop w:val="0"/>
          <w:marBottom w:val="0"/>
          <w:divBdr>
            <w:top w:val="none" w:sz="0" w:space="0" w:color="auto"/>
            <w:left w:val="none" w:sz="0" w:space="0" w:color="auto"/>
            <w:bottom w:val="none" w:sz="0" w:space="0" w:color="auto"/>
            <w:right w:val="none" w:sz="0" w:space="0" w:color="auto"/>
          </w:divBdr>
        </w:div>
        <w:div w:id="1696539298">
          <w:marLeft w:val="0"/>
          <w:marRight w:val="0"/>
          <w:marTop w:val="0"/>
          <w:marBottom w:val="0"/>
          <w:divBdr>
            <w:top w:val="none" w:sz="0" w:space="0" w:color="auto"/>
            <w:left w:val="none" w:sz="0" w:space="0" w:color="auto"/>
            <w:bottom w:val="none" w:sz="0" w:space="0" w:color="auto"/>
            <w:right w:val="none" w:sz="0" w:space="0" w:color="auto"/>
          </w:divBdr>
        </w:div>
        <w:div w:id="1697656517">
          <w:marLeft w:val="0"/>
          <w:marRight w:val="0"/>
          <w:marTop w:val="0"/>
          <w:marBottom w:val="0"/>
          <w:divBdr>
            <w:top w:val="none" w:sz="0" w:space="0" w:color="auto"/>
            <w:left w:val="none" w:sz="0" w:space="0" w:color="auto"/>
            <w:bottom w:val="none" w:sz="0" w:space="0" w:color="auto"/>
            <w:right w:val="none" w:sz="0" w:space="0" w:color="auto"/>
          </w:divBdr>
        </w:div>
        <w:div w:id="1701004253">
          <w:marLeft w:val="0"/>
          <w:marRight w:val="0"/>
          <w:marTop w:val="0"/>
          <w:marBottom w:val="0"/>
          <w:divBdr>
            <w:top w:val="none" w:sz="0" w:space="0" w:color="auto"/>
            <w:left w:val="none" w:sz="0" w:space="0" w:color="auto"/>
            <w:bottom w:val="none" w:sz="0" w:space="0" w:color="auto"/>
            <w:right w:val="none" w:sz="0" w:space="0" w:color="auto"/>
          </w:divBdr>
        </w:div>
        <w:div w:id="1704019184">
          <w:marLeft w:val="0"/>
          <w:marRight w:val="0"/>
          <w:marTop w:val="0"/>
          <w:marBottom w:val="0"/>
          <w:divBdr>
            <w:top w:val="none" w:sz="0" w:space="0" w:color="auto"/>
            <w:left w:val="none" w:sz="0" w:space="0" w:color="auto"/>
            <w:bottom w:val="none" w:sz="0" w:space="0" w:color="auto"/>
            <w:right w:val="none" w:sz="0" w:space="0" w:color="auto"/>
          </w:divBdr>
        </w:div>
        <w:div w:id="1705977407">
          <w:marLeft w:val="0"/>
          <w:marRight w:val="0"/>
          <w:marTop w:val="0"/>
          <w:marBottom w:val="0"/>
          <w:divBdr>
            <w:top w:val="none" w:sz="0" w:space="0" w:color="auto"/>
            <w:left w:val="none" w:sz="0" w:space="0" w:color="auto"/>
            <w:bottom w:val="none" w:sz="0" w:space="0" w:color="auto"/>
            <w:right w:val="none" w:sz="0" w:space="0" w:color="auto"/>
          </w:divBdr>
        </w:div>
        <w:div w:id="1708025471">
          <w:marLeft w:val="0"/>
          <w:marRight w:val="0"/>
          <w:marTop w:val="0"/>
          <w:marBottom w:val="0"/>
          <w:divBdr>
            <w:top w:val="none" w:sz="0" w:space="0" w:color="auto"/>
            <w:left w:val="none" w:sz="0" w:space="0" w:color="auto"/>
            <w:bottom w:val="none" w:sz="0" w:space="0" w:color="auto"/>
            <w:right w:val="none" w:sz="0" w:space="0" w:color="auto"/>
          </w:divBdr>
        </w:div>
        <w:div w:id="1712145351">
          <w:marLeft w:val="0"/>
          <w:marRight w:val="0"/>
          <w:marTop w:val="0"/>
          <w:marBottom w:val="0"/>
          <w:divBdr>
            <w:top w:val="none" w:sz="0" w:space="0" w:color="auto"/>
            <w:left w:val="none" w:sz="0" w:space="0" w:color="auto"/>
            <w:bottom w:val="none" w:sz="0" w:space="0" w:color="auto"/>
            <w:right w:val="none" w:sz="0" w:space="0" w:color="auto"/>
          </w:divBdr>
        </w:div>
        <w:div w:id="1717389851">
          <w:marLeft w:val="0"/>
          <w:marRight w:val="0"/>
          <w:marTop w:val="0"/>
          <w:marBottom w:val="0"/>
          <w:divBdr>
            <w:top w:val="none" w:sz="0" w:space="0" w:color="auto"/>
            <w:left w:val="none" w:sz="0" w:space="0" w:color="auto"/>
            <w:bottom w:val="none" w:sz="0" w:space="0" w:color="auto"/>
            <w:right w:val="none" w:sz="0" w:space="0" w:color="auto"/>
          </w:divBdr>
        </w:div>
        <w:div w:id="1722365595">
          <w:marLeft w:val="0"/>
          <w:marRight w:val="0"/>
          <w:marTop w:val="0"/>
          <w:marBottom w:val="0"/>
          <w:divBdr>
            <w:top w:val="none" w:sz="0" w:space="0" w:color="auto"/>
            <w:left w:val="none" w:sz="0" w:space="0" w:color="auto"/>
            <w:bottom w:val="none" w:sz="0" w:space="0" w:color="auto"/>
            <w:right w:val="none" w:sz="0" w:space="0" w:color="auto"/>
          </w:divBdr>
        </w:div>
        <w:div w:id="1725332051">
          <w:marLeft w:val="0"/>
          <w:marRight w:val="0"/>
          <w:marTop w:val="0"/>
          <w:marBottom w:val="0"/>
          <w:divBdr>
            <w:top w:val="none" w:sz="0" w:space="0" w:color="auto"/>
            <w:left w:val="none" w:sz="0" w:space="0" w:color="auto"/>
            <w:bottom w:val="none" w:sz="0" w:space="0" w:color="auto"/>
            <w:right w:val="none" w:sz="0" w:space="0" w:color="auto"/>
          </w:divBdr>
        </w:div>
        <w:div w:id="1727219879">
          <w:marLeft w:val="0"/>
          <w:marRight w:val="0"/>
          <w:marTop w:val="0"/>
          <w:marBottom w:val="0"/>
          <w:divBdr>
            <w:top w:val="none" w:sz="0" w:space="0" w:color="auto"/>
            <w:left w:val="none" w:sz="0" w:space="0" w:color="auto"/>
            <w:bottom w:val="none" w:sz="0" w:space="0" w:color="auto"/>
            <w:right w:val="none" w:sz="0" w:space="0" w:color="auto"/>
          </w:divBdr>
        </w:div>
        <w:div w:id="1727995953">
          <w:marLeft w:val="0"/>
          <w:marRight w:val="0"/>
          <w:marTop w:val="0"/>
          <w:marBottom w:val="0"/>
          <w:divBdr>
            <w:top w:val="none" w:sz="0" w:space="0" w:color="auto"/>
            <w:left w:val="none" w:sz="0" w:space="0" w:color="auto"/>
            <w:bottom w:val="none" w:sz="0" w:space="0" w:color="auto"/>
            <w:right w:val="none" w:sz="0" w:space="0" w:color="auto"/>
          </w:divBdr>
        </w:div>
        <w:div w:id="1729065978">
          <w:marLeft w:val="0"/>
          <w:marRight w:val="0"/>
          <w:marTop w:val="0"/>
          <w:marBottom w:val="0"/>
          <w:divBdr>
            <w:top w:val="none" w:sz="0" w:space="0" w:color="auto"/>
            <w:left w:val="none" w:sz="0" w:space="0" w:color="auto"/>
            <w:bottom w:val="none" w:sz="0" w:space="0" w:color="auto"/>
            <w:right w:val="none" w:sz="0" w:space="0" w:color="auto"/>
          </w:divBdr>
        </w:div>
        <w:div w:id="1729958189">
          <w:marLeft w:val="0"/>
          <w:marRight w:val="0"/>
          <w:marTop w:val="0"/>
          <w:marBottom w:val="0"/>
          <w:divBdr>
            <w:top w:val="none" w:sz="0" w:space="0" w:color="auto"/>
            <w:left w:val="none" w:sz="0" w:space="0" w:color="auto"/>
            <w:bottom w:val="none" w:sz="0" w:space="0" w:color="auto"/>
            <w:right w:val="none" w:sz="0" w:space="0" w:color="auto"/>
          </w:divBdr>
        </w:div>
        <w:div w:id="1731879708">
          <w:marLeft w:val="0"/>
          <w:marRight w:val="0"/>
          <w:marTop w:val="0"/>
          <w:marBottom w:val="0"/>
          <w:divBdr>
            <w:top w:val="none" w:sz="0" w:space="0" w:color="auto"/>
            <w:left w:val="none" w:sz="0" w:space="0" w:color="auto"/>
            <w:bottom w:val="none" w:sz="0" w:space="0" w:color="auto"/>
            <w:right w:val="none" w:sz="0" w:space="0" w:color="auto"/>
          </w:divBdr>
        </w:div>
        <w:div w:id="1740980367">
          <w:marLeft w:val="0"/>
          <w:marRight w:val="0"/>
          <w:marTop w:val="0"/>
          <w:marBottom w:val="0"/>
          <w:divBdr>
            <w:top w:val="none" w:sz="0" w:space="0" w:color="auto"/>
            <w:left w:val="none" w:sz="0" w:space="0" w:color="auto"/>
            <w:bottom w:val="none" w:sz="0" w:space="0" w:color="auto"/>
            <w:right w:val="none" w:sz="0" w:space="0" w:color="auto"/>
          </w:divBdr>
        </w:div>
        <w:div w:id="1745686782">
          <w:marLeft w:val="0"/>
          <w:marRight w:val="0"/>
          <w:marTop w:val="0"/>
          <w:marBottom w:val="0"/>
          <w:divBdr>
            <w:top w:val="none" w:sz="0" w:space="0" w:color="auto"/>
            <w:left w:val="none" w:sz="0" w:space="0" w:color="auto"/>
            <w:bottom w:val="none" w:sz="0" w:space="0" w:color="auto"/>
            <w:right w:val="none" w:sz="0" w:space="0" w:color="auto"/>
          </w:divBdr>
        </w:div>
        <w:div w:id="1747067131">
          <w:marLeft w:val="0"/>
          <w:marRight w:val="0"/>
          <w:marTop w:val="0"/>
          <w:marBottom w:val="0"/>
          <w:divBdr>
            <w:top w:val="none" w:sz="0" w:space="0" w:color="auto"/>
            <w:left w:val="none" w:sz="0" w:space="0" w:color="auto"/>
            <w:bottom w:val="none" w:sz="0" w:space="0" w:color="auto"/>
            <w:right w:val="none" w:sz="0" w:space="0" w:color="auto"/>
          </w:divBdr>
        </w:div>
        <w:div w:id="1754737764">
          <w:marLeft w:val="0"/>
          <w:marRight w:val="0"/>
          <w:marTop w:val="0"/>
          <w:marBottom w:val="0"/>
          <w:divBdr>
            <w:top w:val="none" w:sz="0" w:space="0" w:color="auto"/>
            <w:left w:val="none" w:sz="0" w:space="0" w:color="auto"/>
            <w:bottom w:val="none" w:sz="0" w:space="0" w:color="auto"/>
            <w:right w:val="none" w:sz="0" w:space="0" w:color="auto"/>
          </w:divBdr>
        </w:div>
        <w:div w:id="1759519692">
          <w:marLeft w:val="0"/>
          <w:marRight w:val="0"/>
          <w:marTop w:val="0"/>
          <w:marBottom w:val="0"/>
          <w:divBdr>
            <w:top w:val="none" w:sz="0" w:space="0" w:color="auto"/>
            <w:left w:val="none" w:sz="0" w:space="0" w:color="auto"/>
            <w:bottom w:val="none" w:sz="0" w:space="0" w:color="auto"/>
            <w:right w:val="none" w:sz="0" w:space="0" w:color="auto"/>
          </w:divBdr>
        </w:div>
        <w:div w:id="1763914702">
          <w:marLeft w:val="0"/>
          <w:marRight w:val="0"/>
          <w:marTop w:val="0"/>
          <w:marBottom w:val="0"/>
          <w:divBdr>
            <w:top w:val="none" w:sz="0" w:space="0" w:color="auto"/>
            <w:left w:val="none" w:sz="0" w:space="0" w:color="auto"/>
            <w:bottom w:val="none" w:sz="0" w:space="0" w:color="auto"/>
            <w:right w:val="none" w:sz="0" w:space="0" w:color="auto"/>
          </w:divBdr>
        </w:div>
        <w:div w:id="1775200260">
          <w:marLeft w:val="0"/>
          <w:marRight w:val="0"/>
          <w:marTop w:val="0"/>
          <w:marBottom w:val="0"/>
          <w:divBdr>
            <w:top w:val="none" w:sz="0" w:space="0" w:color="auto"/>
            <w:left w:val="none" w:sz="0" w:space="0" w:color="auto"/>
            <w:bottom w:val="none" w:sz="0" w:space="0" w:color="auto"/>
            <w:right w:val="none" w:sz="0" w:space="0" w:color="auto"/>
          </w:divBdr>
        </w:div>
        <w:div w:id="1776829745">
          <w:marLeft w:val="0"/>
          <w:marRight w:val="0"/>
          <w:marTop w:val="0"/>
          <w:marBottom w:val="0"/>
          <w:divBdr>
            <w:top w:val="none" w:sz="0" w:space="0" w:color="auto"/>
            <w:left w:val="none" w:sz="0" w:space="0" w:color="auto"/>
            <w:bottom w:val="none" w:sz="0" w:space="0" w:color="auto"/>
            <w:right w:val="none" w:sz="0" w:space="0" w:color="auto"/>
          </w:divBdr>
        </w:div>
        <w:div w:id="1777942937">
          <w:marLeft w:val="0"/>
          <w:marRight w:val="0"/>
          <w:marTop w:val="0"/>
          <w:marBottom w:val="0"/>
          <w:divBdr>
            <w:top w:val="none" w:sz="0" w:space="0" w:color="auto"/>
            <w:left w:val="none" w:sz="0" w:space="0" w:color="auto"/>
            <w:bottom w:val="none" w:sz="0" w:space="0" w:color="auto"/>
            <w:right w:val="none" w:sz="0" w:space="0" w:color="auto"/>
          </w:divBdr>
        </w:div>
        <w:div w:id="1788154314">
          <w:marLeft w:val="0"/>
          <w:marRight w:val="0"/>
          <w:marTop w:val="0"/>
          <w:marBottom w:val="0"/>
          <w:divBdr>
            <w:top w:val="none" w:sz="0" w:space="0" w:color="auto"/>
            <w:left w:val="none" w:sz="0" w:space="0" w:color="auto"/>
            <w:bottom w:val="none" w:sz="0" w:space="0" w:color="auto"/>
            <w:right w:val="none" w:sz="0" w:space="0" w:color="auto"/>
          </w:divBdr>
        </w:div>
        <w:div w:id="1791122266">
          <w:marLeft w:val="0"/>
          <w:marRight w:val="0"/>
          <w:marTop w:val="0"/>
          <w:marBottom w:val="0"/>
          <w:divBdr>
            <w:top w:val="none" w:sz="0" w:space="0" w:color="auto"/>
            <w:left w:val="none" w:sz="0" w:space="0" w:color="auto"/>
            <w:bottom w:val="none" w:sz="0" w:space="0" w:color="auto"/>
            <w:right w:val="none" w:sz="0" w:space="0" w:color="auto"/>
          </w:divBdr>
        </w:div>
        <w:div w:id="1793281273">
          <w:marLeft w:val="0"/>
          <w:marRight w:val="0"/>
          <w:marTop w:val="0"/>
          <w:marBottom w:val="0"/>
          <w:divBdr>
            <w:top w:val="none" w:sz="0" w:space="0" w:color="auto"/>
            <w:left w:val="none" w:sz="0" w:space="0" w:color="auto"/>
            <w:bottom w:val="none" w:sz="0" w:space="0" w:color="auto"/>
            <w:right w:val="none" w:sz="0" w:space="0" w:color="auto"/>
          </w:divBdr>
        </w:div>
        <w:div w:id="1795711390">
          <w:marLeft w:val="0"/>
          <w:marRight w:val="0"/>
          <w:marTop w:val="0"/>
          <w:marBottom w:val="0"/>
          <w:divBdr>
            <w:top w:val="none" w:sz="0" w:space="0" w:color="auto"/>
            <w:left w:val="none" w:sz="0" w:space="0" w:color="auto"/>
            <w:bottom w:val="none" w:sz="0" w:space="0" w:color="auto"/>
            <w:right w:val="none" w:sz="0" w:space="0" w:color="auto"/>
          </w:divBdr>
        </w:div>
        <w:div w:id="1802962503">
          <w:marLeft w:val="0"/>
          <w:marRight w:val="0"/>
          <w:marTop w:val="0"/>
          <w:marBottom w:val="0"/>
          <w:divBdr>
            <w:top w:val="none" w:sz="0" w:space="0" w:color="auto"/>
            <w:left w:val="none" w:sz="0" w:space="0" w:color="auto"/>
            <w:bottom w:val="none" w:sz="0" w:space="0" w:color="auto"/>
            <w:right w:val="none" w:sz="0" w:space="0" w:color="auto"/>
          </w:divBdr>
        </w:div>
        <w:div w:id="1804232410">
          <w:marLeft w:val="0"/>
          <w:marRight w:val="0"/>
          <w:marTop w:val="0"/>
          <w:marBottom w:val="0"/>
          <w:divBdr>
            <w:top w:val="none" w:sz="0" w:space="0" w:color="auto"/>
            <w:left w:val="none" w:sz="0" w:space="0" w:color="auto"/>
            <w:bottom w:val="none" w:sz="0" w:space="0" w:color="auto"/>
            <w:right w:val="none" w:sz="0" w:space="0" w:color="auto"/>
          </w:divBdr>
        </w:div>
        <w:div w:id="1810398734">
          <w:marLeft w:val="0"/>
          <w:marRight w:val="0"/>
          <w:marTop w:val="0"/>
          <w:marBottom w:val="0"/>
          <w:divBdr>
            <w:top w:val="none" w:sz="0" w:space="0" w:color="auto"/>
            <w:left w:val="none" w:sz="0" w:space="0" w:color="auto"/>
            <w:bottom w:val="none" w:sz="0" w:space="0" w:color="auto"/>
            <w:right w:val="none" w:sz="0" w:space="0" w:color="auto"/>
          </w:divBdr>
        </w:div>
        <w:div w:id="1812943786">
          <w:marLeft w:val="0"/>
          <w:marRight w:val="0"/>
          <w:marTop w:val="0"/>
          <w:marBottom w:val="0"/>
          <w:divBdr>
            <w:top w:val="none" w:sz="0" w:space="0" w:color="auto"/>
            <w:left w:val="none" w:sz="0" w:space="0" w:color="auto"/>
            <w:bottom w:val="none" w:sz="0" w:space="0" w:color="auto"/>
            <w:right w:val="none" w:sz="0" w:space="0" w:color="auto"/>
          </w:divBdr>
        </w:div>
        <w:div w:id="1824733597">
          <w:marLeft w:val="0"/>
          <w:marRight w:val="0"/>
          <w:marTop w:val="0"/>
          <w:marBottom w:val="0"/>
          <w:divBdr>
            <w:top w:val="none" w:sz="0" w:space="0" w:color="auto"/>
            <w:left w:val="none" w:sz="0" w:space="0" w:color="auto"/>
            <w:bottom w:val="none" w:sz="0" w:space="0" w:color="auto"/>
            <w:right w:val="none" w:sz="0" w:space="0" w:color="auto"/>
          </w:divBdr>
        </w:div>
        <w:div w:id="1825586266">
          <w:marLeft w:val="0"/>
          <w:marRight w:val="0"/>
          <w:marTop w:val="0"/>
          <w:marBottom w:val="0"/>
          <w:divBdr>
            <w:top w:val="none" w:sz="0" w:space="0" w:color="auto"/>
            <w:left w:val="none" w:sz="0" w:space="0" w:color="auto"/>
            <w:bottom w:val="none" w:sz="0" w:space="0" w:color="auto"/>
            <w:right w:val="none" w:sz="0" w:space="0" w:color="auto"/>
          </w:divBdr>
        </w:div>
        <w:div w:id="1833250809">
          <w:marLeft w:val="0"/>
          <w:marRight w:val="0"/>
          <w:marTop w:val="0"/>
          <w:marBottom w:val="0"/>
          <w:divBdr>
            <w:top w:val="none" w:sz="0" w:space="0" w:color="auto"/>
            <w:left w:val="none" w:sz="0" w:space="0" w:color="auto"/>
            <w:bottom w:val="none" w:sz="0" w:space="0" w:color="auto"/>
            <w:right w:val="none" w:sz="0" w:space="0" w:color="auto"/>
          </w:divBdr>
        </w:div>
        <w:div w:id="1837186843">
          <w:marLeft w:val="0"/>
          <w:marRight w:val="0"/>
          <w:marTop w:val="0"/>
          <w:marBottom w:val="0"/>
          <w:divBdr>
            <w:top w:val="none" w:sz="0" w:space="0" w:color="auto"/>
            <w:left w:val="none" w:sz="0" w:space="0" w:color="auto"/>
            <w:bottom w:val="none" w:sz="0" w:space="0" w:color="auto"/>
            <w:right w:val="none" w:sz="0" w:space="0" w:color="auto"/>
          </w:divBdr>
        </w:div>
        <w:div w:id="1837963882">
          <w:marLeft w:val="0"/>
          <w:marRight w:val="0"/>
          <w:marTop w:val="0"/>
          <w:marBottom w:val="0"/>
          <w:divBdr>
            <w:top w:val="none" w:sz="0" w:space="0" w:color="auto"/>
            <w:left w:val="none" w:sz="0" w:space="0" w:color="auto"/>
            <w:bottom w:val="none" w:sz="0" w:space="0" w:color="auto"/>
            <w:right w:val="none" w:sz="0" w:space="0" w:color="auto"/>
          </w:divBdr>
        </w:div>
        <w:div w:id="1838302071">
          <w:marLeft w:val="0"/>
          <w:marRight w:val="0"/>
          <w:marTop w:val="0"/>
          <w:marBottom w:val="0"/>
          <w:divBdr>
            <w:top w:val="none" w:sz="0" w:space="0" w:color="auto"/>
            <w:left w:val="none" w:sz="0" w:space="0" w:color="auto"/>
            <w:bottom w:val="none" w:sz="0" w:space="0" w:color="auto"/>
            <w:right w:val="none" w:sz="0" w:space="0" w:color="auto"/>
          </w:divBdr>
        </w:div>
        <w:div w:id="1840538978">
          <w:marLeft w:val="0"/>
          <w:marRight w:val="0"/>
          <w:marTop w:val="0"/>
          <w:marBottom w:val="0"/>
          <w:divBdr>
            <w:top w:val="none" w:sz="0" w:space="0" w:color="auto"/>
            <w:left w:val="none" w:sz="0" w:space="0" w:color="auto"/>
            <w:bottom w:val="none" w:sz="0" w:space="0" w:color="auto"/>
            <w:right w:val="none" w:sz="0" w:space="0" w:color="auto"/>
          </w:divBdr>
        </w:div>
        <w:div w:id="1843860339">
          <w:marLeft w:val="0"/>
          <w:marRight w:val="0"/>
          <w:marTop w:val="0"/>
          <w:marBottom w:val="0"/>
          <w:divBdr>
            <w:top w:val="none" w:sz="0" w:space="0" w:color="auto"/>
            <w:left w:val="none" w:sz="0" w:space="0" w:color="auto"/>
            <w:bottom w:val="none" w:sz="0" w:space="0" w:color="auto"/>
            <w:right w:val="none" w:sz="0" w:space="0" w:color="auto"/>
          </w:divBdr>
        </w:div>
        <w:div w:id="1844394951">
          <w:marLeft w:val="0"/>
          <w:marRight w:val="0"/>
          <w:marTop w:val="0"/>
          <w:marBottom w:val="0"/>
          <w:divBdr>
            <w:top w:val="none" w:sz="0" w:space="0" w:color="auto"/>
            <w:left w:val="none" w:sz="0" w:space="0" w:color="auto"/>
            <w:bottom w:val="none" w:sz="0" w:space="0" w:color="auto"/>
            <w:right w:val="none" w:sz="0" w:space="0" w:color="auto"/>
          </w:divBdr>
        </w:div>
        <w:div w:id="1846479001">
          <w:marLeft w:val="0"/>
          <w:marRight w:val="0"/>
          <w:marTop w:val="0"/>
          <w:marBottom w:val="0"/>
          <w:divBdr>
            <w:top w:val="none" w:sz="0" w:space="0" w:color="auto"/>
            <w:left w:val="none" w:sz="0" w:space="0" w:color="auto"/>
            <w:bottom w:val="none" w:sz="0" w:space="0" w:color="auto"/>
            <w:right w:val="none" w:sz="0" w:space="0" w:color="auto"/>
          </w:divBdr>
        </w:div>
        <w:div w:id="1846626411">
          <w:marLeft w:val="0"/>
          <w:marRight w:val="0"/>
          <w:marTop w:val="0"/>
          <w:marBottom w:val="0"/>
          <w:divBdr>
            <w:top w:val="none" w:sz="0" w:space="0" w:color="auto"/>
            <w:left w:val="none" w:sz="0" w:space="0" w:color="auto"/>
            <w:bottom w:val="none" w:sz="0" w:space="0" w:color="auto"/>
            <w:right w:val="none" w:sz="0" w:space="0" w:color="auto"/>
          </w:divBdr>
        </w:div>
        <w:div w:id="1848595314">
          <w:marLeft w:val="0"/>
          <w:marRight w:val="0"/>
          <w:marTop w:val="0"/>
          <w:marBottom w:val="0"/>
          <w:divBdr>
            <w:top w:val="none" w:sz="0" w:space="0" w:color="auto"/>
            <w:left w:val="none" w:sz="0" w:space="0" w:color="auto"/>
            <w:bottom w:val="none" w:sz="0" w:space="0" w:color="auto"/>
            <w:right w:val="none" w:sz="0" w:space="0" w:color="auto"/>
          </w:divBdr>
        </w:div>
        <w:div w:id="1848666229">
          <w:marLeft w:val="0"/>
          <w:marRight w:val="0"/>
          <w:marTop w:val="0"/>
          <w:marBottom w:val="0"/>
          <w:divBdr>
            <w:top w:val="none" w:sz="0" w:space="0" w:color="auto"/>
            <w:left w:val="none" w:sz="0" w:space="0" w:color="auto"/>
            <w:bottom w:val="none" w:sz="0" w:space="0" w:color="auto"/>
            <w:right w:val="none" w:sz="0" w:space="0" w:color="auto"/>
          </w:divBdr>
        </w:div>
        <w:div w:id="1849363134">
          <w:marLeft w:val="0"/>
          <w:marRight w:val="0"/>
          <w:marTop w:val="0"/>
          <w:marBottom w:val="0"/>
          <w:divBdr>
            <w:top w:val="none" w:sz="0" w:space="0" w:color="auto"/>
            <w:left w:val="none" w:sz="0" w:space="0" w:color="auto"/>
            <w:bottom w:val="none" w:sz="0" w:space="0" w:color="auto"/>
            <w:right w:val="none" w:sz="0" w:space="0" w:color="auto"/>
          </w:divBdr>
        </w:div>
        <w:div w:id="1852453636">
          <w:marLeft w:val="0"/>
          <w:marRight w:val="0"/>
          <w:marTop w:val="0"/>
          <w:marBottom w:val="0"/>
          <w:divBdr>
            <w:top w:val="none" w:sz="0" w:space="0" w:color="auto"/>
            <w:left w:val="none" w:sz="0" w:space="0" w:color="auto"/>
            <w:bottom w:val="none" w:sz="0" w:space="0" w:color="auto"/>
            <w:right w:val="none" w:sz="0" w:space="0" w:color="auto"/>
          </w:divBdr>
        </w:div>
        <w:div w:id="1866746977">
          <w:marLeft w:val="0"/>
          <w:marRight w:val="0"/>
          <w:marTop w:val="0"/>
          <w:marBottom w:val="0"/>
          <w:divBdr>
            <w:top w:val="none" w:sz="0" w:space="0" w:color="auto"/>
            <w:left w:val="none" w:sz="0" w:space="0" w:color="auto"/>
            <w:bottom w:val="none" w:sz="0" w:space="0" w:color="auto"/>
            <w:right w:val="none" w:sz="0" w:space="0" w:color="auto"/>
          </w:divBdr>
        </w:div>
        <w:div w:id="1868256277">
          <w:marLeft w:val="0"/>
          <w:marRight w:val="0"/>
          <w:marTop w:val="0"/>
          <w:marBottom w:val="0"/>
          <w:divBdr>
            <w:top w:val="none" w:sz="0" w:space="0" w:color="auto"/>
            <w:left w:val="none" w:sz="0" w:space="0" w:color="auto"/>
            <w:bottom w:val="none" w:sz="0" w:space="0" w:color="auto"/>
            <w:right w:val="none" w:sz="0" w:space="0" w:color="auto"/>
          </w:divBdr>
        </w:div>
        <w:div w:id="1869294890">
          <w:marLeft w:val="0"/>
          <w:marRight w:val="0"/>
          <w:marTop w:val="0"/>
          <w:marBottom w:val="0"/>
          <w:divBdr>
            <w:top w:val="none" w:sz="0" w:space="0" w:color="auto"/>
            <w:left w:val="none" w:sz="0" w:space="0" w:color="auto"/>
            <w:bottom w:val="none" w:sz="0" w:space="0" w:color="auto"/>
            <w:right w:val="none" w:sz="0" w:space="0" w:color="auto"/>
          </w:divBdr>
        </w:div>
        <w:div w:id="1870293149">
          <w:marLeft w:val="0"/>
          <w:marRight w:val="0"/>
          <w:marTop w:val="0"/>
          <w:marBottom w:val="0"/>
          <w:divBdr>
            <w:top w:val="none" w:sz="0" w:space="0" w:color="auto"/>
            <w:left w:val="none" w:sz="0" w:space="0" w:color="auto"/>
            <w:bottom w:val="none" w:sz="0" w:space="0" w:color="auto"/>
            <w:right w:val="none" w:sz="0" w:space="0" w:color="auto"/>
          </w:divBdr>
        </w:div>
        <w:div w:id="1881673325">
          <w:marLeft w:val="0"/>
          <w:marRight w:val="0"/>
          <w:marTop w:val="0"/>
          <w:marBottom w:val="0"/>
          <w:divBdr>
            <w:top w:val="none" w:sz="0" w:space="0" w:color="auto"/>
            <w:left w:val="none" w:sz="0" w:space="0" w:color="auto"/>
            <w:bottom w:val="none" w:sz="0" w:space="0" w:color="auto"/>
            <w:right w:val="none" w:sz="0" w:space="0" w:color="auto"/>
          </w:divBdr>
        </w:div>
        <w:div w:id="1886214787">
          <w:marLeft w:val="0"/>
          <w:marRight w:val="0"/>
          <w:marTop w:val="0"/>
          <w:marBottom w:val="0"/>
          <w:divBdr>
            <w:top w:val="none" w:sz="0" w:space="0" w:color="auto"/>
            <w:left w:val="none" w:sz="0" w:space="0" w:color="auto"/>
            <w:bottom w:val="none" w:sz="0" w:space="0" w:color="auto"/>
            <w:right w:val="none" w:sz="0" w:space="0" w:color="auto"/>
          </w:divBdr>
        </w:div>
        <w:div w:id="1889488638">
          <w:marLeft w:val="0"/>
          <w:marRight w:val="0"/>
          <w:marTop w:val="0"/>
          <w:marBottom w:val="0"/>
          <w:divBdr>
            <w:top w:val="none" w:sz="0" w:space="0" w:color="auto"/>
            <w:left w:val="none" w:sz="0" w:space="0" w:color="auto"/>
            <w:bottom w:val="none" w:sz="0" w:space="0" w:color="auto"/>
            <w:right w:val="none" w:sz="0" w:space="0" w:color="auto"/>
          </w:divBdr>
        </w:div>
        <w:div w:id="1892879382">
          <w:marLeft w:val="0"/>
          <w:marRight w:val="0"/>
          <w:marTop w:val="0"/>
          <w:marBottom w:val="0"/>
          <w:divBdr>
            <w:top w:val="none" w:sz="0" w:space="0" w:color="auto"/>
            <w:left w:val="none" w:sz="0" w:space="0" w:color="auto"/>
            <w:bottom w:val="none" w:sz="0" w:space="0" w:color="auto"/>
            <w:right w:val="none" w:sz="0" w:space="0" w:color="auto"/>
          </w:divBdr>
        </w:div>
        <w:div w:id="1894123407">
          <w:marLeft w:val="0"/>
          <w:marRight w:val="0"/>
          <w:marTop w:val="0"/>
          <w:marBottom w:val="0"/>
          <w:divBdr>
            <w:top w:val="none" w:sz="0" w:space="0" w:color="auto"/>
            <w:left w:val="none" w:sz="0" w:space="0" w:color="auto"/>
            <w:bottom w:val="none" w:sz="0" w:space="0" w:color="auto"/>
            <w:right w:val="none" w:sz="0" w:space="0" w:color="auto"/>
          </w:divBdr>
        </w:div>
        <w:div w:id="1897356080">
          <w:marLeft w:val="0"/>
          <w:marRight w:val="0"/>
          <w:marTop w:val="0"/>
          <w:marBottom w:val="0"/>
          <w:divBdr>
            <w:top w:val="none" w:sz="0" w:space="0" w:color="auto"/>
            <w:left w:val="none" w:sz="0" w:space="0" w:color="auto"/>
            <w:bottom w:val="none" w:sz="0" w:space="0" w:color="auto"/>
            <w:right w:val="none" w:sz="0" w:space="0" w:color="auto"/>
          </w:divBdr>
        </w:div>
        <w:div w:id="1900555416">
          <w:marLeft w:val="0"/>
          <w:marRight w:val="0"/>
          <w:marTop w:val="0"/>
          <w:marBottom w:val="0"/>
          <w:divBdr>
            <w:top w:val="none" w:sz="0" w:space="0" w:color="auto"/>
            <w:left w:val="none" w:sz="0" w:space="0" w:color="auto"/>
            <w:bottom w:val="none" w:sz="0" w:space="0" w:color="auto"/>
            <w:right w:val="none" w:sz="0" w:space="0" w:color="auto"/>
          </w:divBdr>
        </w:div>
        <w:div w:id="1911229906">
          <w:marLeft w:val="0"/>
          <w:marRight w:val="0"/>
          <w:marTop w:val="0"/>
          <w:marBottom w:val="0"/>
          <w:divBdr>
            <w:top w:val="none" w:sz="0" w:space="0" w:color="auto"/>
            <w:left w:val="none" w:sz="0" w:space="0" w:color="auto"/>
            <w:bottom w:val="none" w:sz="0" w:space="0" w:color="auto"/>
            <w:right w:val="none" w:sz="0" w:space="0" w:color="auto"/>
          </w:divBdr>
        </w:div>
        <w:div w:id="1911310904">
          <w:marLeft w:val="0"/>
          <w:marRight w:val="0"/>
          <w:marTop w:val="0"/>
          <w:marBottom w:val="0"/>
          <w:divBdr>
            <w:top w:val="none" w:sz="0" w:space="0" w:color="auto"/>
            <w:left w:val="none" w:sz="0" w:space="0" w:color="auto"/>
            <w:bottom w:val="none" w:sz="0" w:space="0" w:color="auto"/>
            <w:right w:val="none" w:sz="0" w:space="0" w:color="auto"/>
          </w:divBdr>
        </w:div>
        <w:div w:id="1918125145">
          <w:marLeft w:val="0"/>
          <w:marRight w:val="0"/>
          <w:marTop w:val="0"/>
          <w:marBottom w:val="0"/>
          <w:divBdr>
            <w:top w:val="none" w:sz="0" w:space="0" w:color="auto"/>
            <w:left w:val="none" w:sz="0" w:space="0" w:color="auto"/>
            <w:bottom w:val="none" w:sz="0" w:space="0" w:color="auto"/>
            <w:right w:val="none" w:sz="0" w:space="0" w:color="auto"/>
          </w:divBdr>
        </w:div>
        <w:div w:id="1922327109">
          <w:marLeft w:val="0"/>
          <w:marRight w:val="0"/>
          <w:marTop w:val="0"/>
          <w:marBottom w:val="0"/>
          <w:divBdr>
            <w:top w:val="none" w:sz="0" w:space="0" w:color="auto"/>
            <w:left w:val="none" w:sz="0" w:space="0" w:color="auto"/>
            <w:bottom w:val="none" w:sz="0" w:space="0" w:color="auto"/>
            <w:right w:val="none" w:sz="0" w:space="0" w:color="auto"/>
          </w:divBdr>
        </w:div>
        <w:div w:id="1924098645">
          <w:marLeft w:val="0"/>
          <w:marRight w:val="0"/>
          <w:marTop w:val="0"/>
          <w:marBottom w:val="0"/>
          <w:divBdr>
            <w:top w:val="none" w:sz="0" w:space="0" w:color="auto"/>
            <w:left w:val="none" w:sz="0" w:space="0" w:color="auto"/>
            <w:bottom w:val="none" w:sz="0" w:space="0" w:color="auto"/>
            <w:right w:val="none" w:sz="0" w:space="0" w:color="auto"/>
          </w:divBdr>
        </w:div>
        <w:div w:id="1927565943">
          <w:marLeft w:val="0"/>
          <w:marRight w:val="0"/>
          <w:marTop w:val="0"/>
          <w:marBottom w:val="0"/>
          <w:divBdr>
            <w:top w:val="none" w:sz="0" w:space="0" w:color="auto"/>
            <w:left w:val="none" w:sz="0" w:space="0" w:color="auto"/>
            <w:bottom w:val="none" w:sz="0" w:space="0" w:color="auto"/>
            <w:right w:val="none" w:sz="0" w:space="0" w:color="auto"/>
          </w:divBdr>
        </w:div>
        <w:div w:id="1930231843">
          <w:marLeft w:val="0"/>
          <w:marRight w:val="0"/>
          <w:marTop w:val="0"/>
          <w:marBottom w:val="0"/>
          <w:divBdr>
            <w:top w:val="none" w:sz="0" w:space="0" w:color="auto"/>
            <w:left w:val="none" w:sz="0" w:space="0" w:color="auto"/>
            <w:bottom w:val="none" w:sz="0" w:space="0" w:color="auto"/>
            <w:right w:val="none" w:sz="0" w:space="0" w:color="auto"/>
          </w:divBdr>
        </w:div>
        <w:div w:id="1933194838">
          <w:marLeft w:val="0"/>
          <w:marRight w:val="0"/>
          <w:marTop w:val="0"/>
          <w:marBottom w:val="0"/>
          <w:divBdr>
            <w:top w:val="none" w:sz="0" w:space="0" w:color="auto"/>
            <w:left w:val="none" w:sz="0" w:space="0" w:color="auto"/>
            <w:bottom w:val="none" w:sz="0" w:space="0" w:color="auto"/>
            <w:right w:val="none" w:sz="0" w:space="0" w:color="auto"/>
          </w:divBdr>
        </w:div>
        <w:div w:id="1934514651">
          <w:marLeft w:val="0"/>
          <w:marRight w:val="0"/>
          <w:marTop w:val="0"/>
          <w:marBottom w:val="0"/>
          <w:divBdr>
            <w:top w:val="none" w:sz="0" w:space="0" w:color="auto"/>
            <w:left w:val="none" w:sz="0" w:space="0" w:color="auto"/>
            <w:bottom w:val="none" w:sz="0" w:space="0" w:color="auto"/>
            <w:right w:val="none" w:sz="0" w:space="0" w:color="auto"/>
          </w:divBdr>
        </w:div>
        <w:div w:id="1945335081">
          <w:marLeft w:val="0"/>
          <w:marRight w:val="0"/>
          <w:marTop w:val="0"/>
          <w:marBottom w:val="0"/>
          <w:divBdr>
            <w:top w:val="none" w:sz="0" w:space="0" w:color="auto"/>
            <w:left w:val="none" w:sz="0" w:space="0" w:color="auto"/>
            <w:bottom w:val="none" w:sz="0" w:space="0" w:color="auto"/>
            <w:right w:val="none" w:sz="0" w:space="0" w:color="auto"/>
          </w:divBdr>
        </w:div>
        <w:div w:id="1947883171">
          <w:marLeft w:val="0"/>
          <w:marRight w:val="0"/>
          <w:marTop w:val="0"/>
          <w:marBottom w:val="0"/>
          <w:divBdr>
            <w:top w:val="none" w:sz="0" w:space="0" w:color="auto"/>
            <w:left w:val="none" w:sz="0" w:space="0" w:color="auto"/>
            <w:bottom w:val="none" w:sz="0" w:space="0" w:color="auto"/>
            <w:right w:val="none" w:sz="0" w:space="0" w:color="auto"/>
          </w:divBdr>
        </w:div>
        <w:div w:id="1956523932">
          <w:marLeft w:val="0"/>
          <w:marRight w:val="0"/>
          <w:marTop w:val="0"/>
          <w:marBottom w:val="0"/>
          <w:divBdr>
            <w:top w:val="none" w:sz="0" w:space="0" w:color="auto"/>
            <w:left w:val="none" w:sz="0" w:space="0" w:color="auto"/>
            <w:bottom w:val="none" w:sz="0" w:space="0" w:color="auto"/>
            <w:right w:val="none" w:sz="0" w:space="0" w:color="auto"/>
          </w:divBdr>
        </w:div>
        <w:div w:id="1963683522">
          <w:marLeft w:val="0"/>
          <w:marRight w:val="0"/>
          <w:marTop w:val="0"/>
          <w:marBottom w:val="0"/>
          <w:divBdr>
            <w:top w:val="none" w:sz="0" w:space="0" w:color="auto"/>
            <w:left w:val="none" w:sz="0" w:space="0" w:color="auto"/>
            <w:bottom w:val="none" w:sz="0" w:space="0" w:color="auto"/>
            <w:right w:val="none" w:sz="0" w:space="0" w:color="auto"/>
          </w:divBdr>
        </w:div>
        <w:div w:id="1967613136">
          <w:marLeft w:val="0"/>
          <w:marRight w:val="0"/>
          <w:marTop w:val="0"/>
          <w:marBottom w:val="0"/>
          <w:divBdr>
            <w:top w:val="none" w:sz="0" w:space="0" w:color="auto"/>
            <w:left w:val="none" w:sz="0" w:space="0" w:color="auto"/>
            <w:bottom w:val="none" w:sz="0" w:space="0" w:color="auto"/>
            <w:right w:val="none" w:sz="0" w:space="0" w:color="auto"/>
          </w:divBdr>
        </w:div>
        <w:div w:id="1967663835">
          <w:marLeft w:val="0"/>
          <w:marRight w:val="0"/>
          <w:marTop w:val="0"/>
          <w:marBottom w:val="0"/>
          <w:divBdr>
            <w:top w:val="none" w:sz="0" w:space="0" w:color="auto"/>
            <w:left w:val="none" w:sz="0" w:space="0" w:color="auto"/>
            <w:bottom w:val="none" w:sz="0" w:space="0" w:color="auto"/>
            <w:right w:val="none" w:sz="0" w:space="0" w:color="auto"/>
          </w:divBdr>
        </w:div>
        <w:div w:id="1968201289">
          <w:marLeft w:val="0"/>
          <w:marRight w:val="0"/>
          <w:marTop w:val="0"/>
          <w:marBottom w:val="0"/>
          <w:divBdr>
            <w:top w:val="none" w:sz="0" w:space="0" w:color="auto"/>
            <w:left w:val="none" w:sz="0" w:space="0" w:color="auto"/>
            <w:bottom w:val="none" w:sz="0" w:space="0" w:color="auto"/>
            <w:right w:val="none" w:sz="0" w:space="0" w:color="auto"/>
          </w:divBdr>
        </w:div>
        <w:div w:id="1969966617">
          <w:marLeft w:val="0"/>
          <w:marRight w:val="0"/>
          <w:marTop w:val="0"/>
          <w:marBottom w:val="0"/>
          <w:divBdr>
            <w:top w:val="none" w:sz="0" w:space="0" w:color="auto"/>
            <w:left w:val="none" w:sz="0" w:space="0" w:color="auto"/>
            <w:bottom w:val="none" w:sz="0" w:space="0" w:color="auto"/>
            <w:right w:val="none" w:sz="0" w:space="0" w:color="auto"/>
          </w:divBdr>
        </w:div>
        <w:div w:id="1977029307">
          <w:marLeft w:val="0"/>
          <w:marRight w:val="0"/>
          <w:marTop w:val="0"/>
          <w:marBottom w:val="0"/>
          <w:divBdr>
            <w:top w:val="none" w:sz="0" w:space="0" w:color="auto"/>
            <w:left w:val="none" w:sz="0" w:space="0" w:color="auto"/>
            <w:bottom w:val="none" w:sz="0" w:space="0" w:color="auto"/>
            <w:right w:val="none" w:sz="0" w:space="0" w:color="auto"/>
          </w:divBdr>
        </w:div>
        <w:div w:id="1978562827">
          <w:marLeft w:val="0"/>
          <w:marRight w:val="0"/>
          <w:marTop w:val="0"/>
          <w:marBottom w:val="0"/>
          <w:divBdr>
            <w:top w:val="none" w:sz="0" w:space="0" w:color="auto"/>
            <w:left w:val="none" w:sz="0" w:space="0" w:color="auto"/>
            <w:bottom w:val="none" w:sz="0" w:space="0" w:color="auto"/>
            <w:right w:val="none" w:sz="0" w:space="0" w:color="auto"/>
          </w:divBdr>
        </w:div>
        <w:div w:id="1982155274">
          <w:marLeft w:val="0"/>
          <w:marRight w:val="0"/>
          <w:marTop w:val="0"/>
          <w:marBottom w:val="0"/>
          <w:divBdr>
            <w:top w:val="none" w:sz="0" w:space="0" w:color="auto"/>
            <w:left w:val="none" w:sz="0" w:space="0" w:color="auto"/>
            <w:bottom w:val="none" w:sz="0" w:space="0" w:color="auto"/>
            <w:right w:val="none" w:sz="0" w:space="0" w:color="auto"/>
          </w:divBdr>
        </w:div>
        <w:div w:id="1982423614">
          <w:marLeft w:val="0"/>
          <w:marRight w:val="0"/>
          <w:marTop w:val="0"/>
          <w:marBottom w:val="0"/>
          <w:divBdr>
            <w:top w:val="none" w:sz="0" w:space="0" w:color="auto"/>
            <w:left w:val="none" w:sz="0" w:space="0" w:color="auto"/>
            <w:bottom w:val="none" w:sz="0" w:space="0" w:color="auto"/>
            <w:right w:val="none" w:sz="0" w:space="0" w:color="auto"/>
          </w:divBdr>
        </w:div>
        <w:div w:id="1985043010">
          <w:marLeft w:val="0"/>
          <w:marRight w:val="0"/>
          <w:marTop w:val="0"/>
          <w:marBottom w:val="0"/>
          <w:divBdr>
            <w:top w:val="none" w:sz="0" w:space="0" w:color="auto"/>
            <w:left w:val="none" w:sz="0" w:space="0" w:color="auto"/>
            <w:bottom w:val="none" w:sz="0" w:space="0" w:color="auto"/>
            <w:right w:val="none" w:sz="0" w:space="0" w:color="auto"/>
          </w:divBdr>
        </w:div>
        <w:div w:id="1987204687">
          <w:marLeft w:val="0"/>
          <w:marRight w:val="0"/>
          <w:marTop w:val="0"/>
          <w:marBottom w:val="0"/>
          <w:divBdr>
            <w:top w:val="none" w:sz="0" w:space="0" w:color="auto"/>
            <w:left w:val="none" w:sz="0" w:space="0" w:color="auto"/>
            <w:bottom w:val="none" w:sz="0" w:space="0" w:color="auto"/>
            <w:right w:val="none" w:sz="0" w:space="0" w:color="auto"/>
          </w:divBdr>
        </w:div>
        <w:div w:id="1987391116">
          <w:marLeft w:val="0"/>
          <w:marRight w:val="0"/>
          <w:marTop w:val="0"/>
          <w:marBottom w:val="0"/>
          <w:divBdr>
            <w:top w:val="none" w:sz="0" w:space="0" w:color="auto"/>
            <w:left w:val="none" w:sz="0" w:space="0" w:color="auto"/>
            <w:bottom w:val="none" w:sz="0" w:space="0" w:color="auto"/>
            <w:right w:val="none" w:sz="0" w:space="0" w:color="auto"/>
          </w:divBdr>
        </w:div>
        <w:div w:id="1989631564">
          <w:marLeft w:val="0"/>
          <w:marRight w:val="0"/>
          <w:marTop w:val="0"/>
          <w:marBottom w:val="0"/>
          <w:divBdr>
            <w:top w:val="none" w:sz="0" w:space="0" w:color="auto"/>
            <w:left w:val="none" w:sz="0" w:space="0" w:color="auto"/>
            <w:bottom w:val="none" w:sz="0" w:space="0" w:color="auto"/>
            <w:right w:val="none" w:sz="0" w:space="0" w:color="auto"/>
          </w:divBdr>
        </w:div>
        <w:div w:id="1991322847">
          <w:marLeft w:val="0"/>
          <w:marRight w:val="0"/>
          <w:marTop w:val="0"/>
          <w:marBottom w:val="0"/>
          <w:divBdr>
            <w:top w:val="none" w:sz="0" w:space="0" w:color="auto"/>
            <w:left w:val="none" w:sz="0" w:space="0" w:color="auto"/>
            <w:bottom w:val="none" w:sz="0" w:space="0" w:color="auto"/>
            <w:right w:val="none" w:sz="0" w:space="0" w:color="auto"/>
          </w:divBdr>
        </w:div>
        <w:div w:id="1993409700">
          <w:marLeft w:val="0"/>
          <w:marRight w:val="0"/>
          <w:marTop w:val="0"/>
          <w:marBottom w:val="0"/>
          <w:divBdr>
            <w:top w:val="none" w:sz="0" w:space="0" w:color="auto"/>
            <w:left w:val="none" w:sz="0" w:space="0" w:color="auto"/>
            <w:bottom w:val="none" w:sz="0" w:space="0" w:color="auto"/>
            <w:right w:val="none" w:sz="0" w:space="0" w:color="auto"/>
          </w:divBdr>
        </w:div>
        <w:div w:id="1997998422">
          <w:marLeft w:val="0"/>
          <w:marRight w:val="0"/>
          <w:marTop w:val="0"/>
          <w:marBottom w:val="0"/>
          <w:divBdr>
            <w:top w:val="none" w:sz="0" w:space="0" w:color="auto"/>
            <w:left w:val="none" w:sz="0" w:space="0" w:color="auto"/>
            <w:bottom w:val="none" w:sz="0" w:space="0" w:color="auto"/>
            <w:right w:val="none" w:sz="0" w:space="0" w:color="auto"/>
          </w:divBdr>
        </w:div>
        <w:div w:id="2002537850">
          <w:marLeft w:val="0"/>
          <w:marRight w:val="0"/>
          <w:marTop w:val="0"/>
          <w:marBottom w:val="0"/>
          <w:divBdr>
            <w:top w:val="none" w:sz="0" w:space="0" w:color="auto"/>
            <w:left w:val="none" w:sz="0" w:space="0" w:color="auto"/>
            <w:bottom w:val="none" w:sz="0" w:space="0" w:color="auto"/>
            <w:right w:val="none" w:sz="0" w:space="0" w:color="auto"/>
          </w:divBdr>
        </w:div>
        <w:div w:id="2002539318">
          <w:marLeft w:val="0"/>
          <w:marRight w:val="0"/>
          <w:marTop w:val="0"/>
          <w:marBottom w:val="0"/>
          <w:divBdr>
            <w:top w:val="none" w:sz="0" w:space="0" w:color="auto"/>
            <w:left w:val="none" w:sz="0" w:space="0" w:color="auto"/>
            <w:bottom w:val="none" w:sz="0" w:space="0" w:color="auto"/>
            <w:right w:val="none" w:sz="0" w:space="0" w:color="auto"/>
          </w:divBdr>
        </w:div>
        <w:div w:id="2004894222">
          <w:marLeft w:val="0"/>
          <w:marRight w:val="0"/>
          <w:marTop w:val="0"/>
          <w:marBottom w:val="0"/>
          <w:divBdr>
            <w:top w:val="none" w:sz="0" w:space="0" w:color="auto"/>
            <w:left w:val="none" w:sz="0" w:space="0" w:color="auto"/>
            <w:bottom w:val="none" w:sz="0" w:space="0" w:color="auto"/>
            <w:right w:val="none" w:sz="0" w:space="0" w:color="auto"/>
          </w:divBdr>
        </w:div>
        <w:div w:id="2014525601">
          <w:marLeft w:val="0"/>
          <w:marRight w:val="0"/>
          <w:marTop w:val="0"/>
          <w:marBottom w:val="0"/>
          <w:divBdr>
            <w:top w:val="none" w:sz="0" w:space="0" w:color="auto"/>
            <w:left w:val="none" w:sz="0" w:space="0" w:color="auto"/>
            <w:bottom w:val="none" w:sz="0" w:space="0" w:color="auto"/>
            <w:right w:val="none" w:sz="0" w:space="0" w:color="auto"/>
          </w:divBdr>
        </w:div>
        <w:div w:id="2014871083">
          <w:marLeft w:val="0"/>
          <w:marRight w:val="0"/>
          <w:marTop w:val="0"/>
          <w:marBottom w:val="0"/>
          <w:divBdr>
            <w:top w:val="none" w:sz="0" w:space="0" w:color="auto"/>
            <w:left w:val="none" w:sz="0" w:space="0" w:color="auto"/>
            <w:bottom w:val="none" w:sz="0" w:space="0" w:color="auto"/>
            <w:right w:val="none" w:sz="0" w:space="0" w:color="auto"/>
          </w:divBdr>
        </w:div>
        <w:div w:id="2024085370">
          <w:marLeft w:val="0"/>
          <w:marRight w:val="0"/>
          <w:marTop w:val="0"/>
          <w:marBottom w:val="0"/>
          <w:divBdr>
            <w:top w:val="none" w:sz="0" w:space="0" w:color="auto"/>
            <w:left w:val="none" w:sz="0" w:space="0" w:color="auto"/>
            <w:bottom w:val="none" w:sz="0" w:space="0" w:color="auto"/>
            <w:right w:val="none" w:sz="0" w:space="0" w:color="auto"/>
          </w:divBdr>
        </w:div>
        <w:div w:id="2025009181">
          <w:marLeft w:val="0"/>
          <w:marRight w:val="0"/>
          <w:marTop w:val="0"/>
          <w:marBottom w:val="0"/>
          <w:divBdr>
            <w:top w:val="none" w:sz="0" w:space="0" w:color="auto"/>
            <w:left w:val="none" w:sz="0" w:space="0" w:color="auto"/>
            <w:bottom w:val="none" w:sz="0" w:space="0" w:color="auto"/>
            <w:right w:val="none" w:sz="0" w:space="0" w:color="auto"/>
          </w:divBdr>
        </w:div>
        <w:div w:id="2028437006">
          <w:marLeft w:val="0"/>
          <w:marRight w:val="0"/>
          <w:marTop w:val="0"/>
          <w:marBottom w:val="0"/>
          <w:divBdr>
            <w:top w:val="none" w:sz="0" w:space="0" w:color="auto"/>
            <w:left w:val="none" w:sz="0" w:space="0" w:color="auto"/>
            <w:bottom w:val="none" w:sz="0" w:space="0" w:color="auto"/>
            <w:right w:val="none" w:sz="0" w:space="0" w:color="auto"/>
          </w:divBdr>
        </w:div>
        <w:div w:id="2028630043">
          <w:marLeft w:val="0"/>
          <w:marRight w:val="0"/>
          <w:marTop w:val="0"/>
          <w:marBottom w:val="0"/>
          <w:divBdr>
            <w:top w:val="none" w:sz="0" w:space="0" w:color="auto"/>
            <w:left w:val="none" w:sz="0" w:space="0" w:color="auto"/>
            <w:bottom w:val="none" w:sz="0" w:space="0" w:color="auto"/>
            <w:right w:val="none" w:sz="0" w:space="0" w:color="auto"/>
          </w:divBdr>
        </w:div>
        <w:div w:id="2031444271">
          <w:marLeft w:val="0"/>
          <w:marRight w:val="0"/>
          <w:marTop w:val="0"/>
          <w:marBottom w:val="0"/>
          <w:divBdr>
            <w:top w:val="none" w:sz="0" w:space="0" w:color="auto"/>
            <w:left w:val="none" w:sz="0" w:space="0" w:color="auto"/>
            <w:bottom w:val="none" w:sz="0" w:space="0" w:color="auto"/>
            <w:right w:val="none" w:sz="0" w:space="0" w:color="auto"/>
          </w:divBdr>
        </w:div>
        <w:div w:id="2032338691">
          <w:marLeft w:val="0"/>
          <w:marRight w:val="0"/>
          <w:marTop w:val="0"/>
          <w:marBottom w:val="0"/>
          <w:divBdr>
            <w:top w:val="none" w:sz="0" w:space="0" w:color="auto"/>
            <w:left w:val="none" w:sz="0" w:space="0" w:color="auto"/>
            <w:bottom w:val="none" w:sz="0" w:space="0" w:color="auto"/>
            <w:right w:val="none" w:sz="0" w:space="0" w:color="auto"/>
          </w:divBdr>
        </w:div>
        <w:div w:id="2033528765">
          <w:marLeft w:val="0"/>
          <w:marRight w:val="0"/>
          <w:marTop w:val="0"/>
          <w:marBottom w:val="0"/>
          <w:divBdr>
            <w:top w:val="none" w:sz="0" w:space="0" w:color="auto"/>
            <w:left w:val="none" w:sz="0" w:space="0" w:color="auto"/>
            <w:bottom w:val="none" w:sz="0" w:space="0" w:color="auto"/>
            <w:right w:val="none" w:sz="0" w:space="0" w:color="auto"/>
          </w:divBdr>
        </w:div>
        <w:div w:id="2036149927">
          <w:marLeft w:val="0"/>
          <w:marRight w:val="0"/>
          <w:marTop w:val="0"/>
          <w:marBottom w:val="0"/>
          <w:divBdr>
            <w:top w:val="none" w:sz="0" w:space="0" w:color="auto"/>
            <w:left w:val="none" w:sz="0" w:space="0" w:color="auto"/>
            <w:bottom w:val="none" w:sz="0" w:space="0" w:color="auto"/>
            <w:right w:val="none" w:sz="0" w:space="0" w:color="auto"/>
          </w:divBdr>
        </w:div>
        <w:div w:id="2036494201">
          <w:marLeft w:val="0"/>
          <w:marRight w:val="0"/>
          <w:marTop w:val="0"/>
          <w:marBottom w:val="0"/>
          <w:divBdr>
            <w:top w:val="none" w:sz="0" w:space="0" w:color="auto"/>
            <w:left w:val="none" w:sz="0" w:space="0" w:color="auto"/>
            <w:bottom w:val="none" w:sz="0" w:space="0" w:color="auto"/>
            <w:right w:val="none" w:sz="0" w:space="0" w:color="auto"/>
          </w:divBdr>
        </w:div>
        <w:div w:id="2043699883">
          <w:marLeft w:val="0"/>
          <w:marRight w:val="0"/>
          <w:marTop w:val="0"/>
          <w:marBottom w:val="0"/>
          <w:divBdr>
            <w:top w:val="none" w:sz="0" w:space="0" w:color="auto"/>
            <w:left w:val="none" w:sz="0" w:space="0" w:color="auto"/>
            <w:bottom w:val="none" w:sz="0" w:space="0" w:color="auto"/>
            <w:right w:val="none" w:sz="0" w:space="0" w:color="auto"/>
          </w:divBdr>
        </w:div>
        <w:div w:id="2047750614">
          <w:marLeft w:val="0"/>
          <w:marRight w:val="0"/>
          <w:marTop w:val="0"/>
          <w:marBottom w:val="0"/>
          <w:divBdr>
            <w:top w:val="none" w:sz="0" w:space="0" w:color="auto"/>
            <w:left w:val="none" w:sz="0" w:space="0" w:color="auto"/>
            <w:bottom w:val="none" w:sz="0" w:space="0" w:color="auto"/>
            <w:right w:val="none" w:sz="0" w:space="0" w:color="auto"/>
          </w:divBdr>
        </w:div>
        <w:div w:id="2052028703">
          <w:marLeft w:val="0"/>
          <w:marRight w:val="0"/>
          <w:marTop w:val="0"/>
          <w:marBottom w:val="0"/>
          <w:divBdr>
            <w:top w:val="none" w:sz="0" w:space="0" w:color="auto"/>
            <w:left w:val="none" w:sz="0" w:space="0" w:color="auto"/>
            <w:bottom w:val="none" w:sz="0" w:space="0" w:color="auto"/>
            <w:right w:val="none" w:sz="0" w:space="0" w:color="auto"/>
          </w:divBdr>
        </w:div>
        <w:div w:id="2060008405">
          <w:marLeft w:val="0"/>
          <w:marRight w:val="0"/>
          <w:marTop w:val="0"/>
          <w:marBottom w:val="0"/>
          <w:divBdr>
            <w:top w:val="none" w:sz="0" w:space="0" w:color="auto"/>
            <w:left w:val="none" w:sz="0" w:space="0" w:color="auto"/>
            <w:bottom w:val="none" w:sz="0" w:space="0" w:color="auto"/>
            <w:right w:val="none" w:sz="0" w:space="0" w:color="auto"/>
          </w:divBdr>
        </w:div>
        <w:div w:id="2065135580">
          <w:marLeft w:val="0"/>
          <w:marRight w:val="0"/>
          <w:marTop w:val="0"/>
          <w:marBottom w:val="0"/>
          <w:divBdr>
            <w:top w:val="none" w:sz="0" w:space="0" w:color="auto"/>
            <w:left w:val="none" w:sz="0" w:space="0" w:color="auto"/>
            <w:bottom w:val="none" w:sz="0" w:space="0" w:color="auto"/>
            <w:right w:val="none" w:sz="0" w:space="0" w:color="auto"/>
          </w:divBdr>
        </w:div>
        <w:div w:id="2075270955">
          <w:marLeft w:val="0"/>
          <w:marRight w:val="0"/>
          <w:marTop w:val="0"/>
          <w:marBottom w:val="0"/>
          <w:divBdr>
            <w:top w:val="none" w:sz="0" w:space="0" w:color="auto"/>
            <w:left w:val="none" w:sz="0" w:space="0" w:color="auto"/>
            <w:bottom w:val="none" w:sz="0" w:space="0" w:color="auto"/>
            <w:right w:val="none" w:sz="0" w:space="0" w:color="auto"/>
          </w:divBdr>
        </w:div>
        <w:div w:id="2079092195">
          <w:marLeft w:val="0"/>
          <w:marRight w:val="0"/>
          <w:marTop w:val="0"/>
          <w:marBottom w:val="0"/>
          <w:divBdr>
            <w:top w:val="none" w:sz="0" w:space="0" w:color="auto"/>
            <w:left w:val="none" w:sz="0" w:space="0" w:color="auto"/>
            <w:bottom w:val="none" w:sz="0" w:space="0" w:color="auto"/>
            <w:right w:val="none" w:sz="0" w:space="0" w:color="auto"/>
          </w:divBdr>
        </w:div>
        <w:div w:id="2079671577">
          <w:marLeft w:val="0"/>
          <w:marRight w:val="0"/>
          <w:marTop w:val="0"/>
          <w:marBottom w:val="0"/>
          <w:divBdr>
            <w:top w:val="none" w:sz="0" w:space="0" w:color="auto"/>
            <w:left w:val="none" w:sz="0" w:space="0" w:color="auto"/>
            <w:bottom w:val="none" w:sz="0" w:space="0" w:color="auto"/>
            <w:right w:val="none" w:sz="0" w:space="0" w:color="auto"/>
          </w:divBdr>
        </w:div>
        <w:div w:id="2085175147">
          <w:marLeft w:val="0"/>
          <w:marRight w:val="0"/>
          <w:marTop w:val="0"/>
          <w:marBottom w:val="0"/>
          <w:divBdr>
            <w:top w:val="none" w:sz="0" w:space="0" w:color="auto"/>
            <w:left w:val="none" w:sz="0" w:space="0" w:color="auto"/>
            <w:bottom w:val="none" w:sz="0" w:space="0" w:color="auto"/>
            <w:right w:val="none" w:sz="0" w:space="0" w:color="auto"/>
          </w:divBdr>
        </w:div>
        <w:div w:id="2087994697">
          <w:marLeft w:val="0"/>
          <w:marRight w:val="0"/>
          <w:marTop w:val="0"/>
          <w:marBottom w:val="0"/>
          <w:divBdr>
            <w:top w:val="none" w:sz="0" w:space="0" w:color="auto"/>
            <w:left w:val="none" w:sz="0" w:space="0" w:color="auto"/>
            <w:bottom w:val="none" w:sz="0" w:space="0" w:color="auto"/>
            <w:right w:val="none" w:sz="0" w:space="0" w:color="auto"/>
          </w:divBdr>
        </w:div>
        <w:div w:id="2098553588">
          <w:marLeft w:val="0"/>
          <w:marRight w:val="0"/>
          <w:marTop w:val="0"/>
          <w:marBottom w:val="0"/>
          <w:divBdr>
            <w:top w:val="none" w:sz="0" w:space="0" w:color="auto"/>
            <w:left w:val="none" w:sz="0" w:space="0" w:color="auto"/>
            <w:bottom w:val="none" w:sz="0" w:space="0" w:color="auto"/>
            <w:right w:val="none" w:sz="0" w:space="0" w:color="auto"/>
          </w:divBdr>
        </w:div>
        <w:div w:id="2102988519">
          <w:marLeft w:val="0"/>
          <w:marRight w:val="0"/>
          <w:marTop w:val="0"/>
          <w:marBottom w:val="0"/>
          <w:divBdr>
            <w:top w:val="none" w:sz="0" w:space="0" w:color="auto"/>
            <w:left w:val="none" w:sz="0" w:space="0" w:color="auto"/>
            <w:bottom w:val="none" w:sz="0" w:space="0" w:color="auto"/>
            <w:right w:val="none" w:sz="0" w:space="0" w:color="auto"/>
          </w:divBdr>
        </w:div>
        <w:div w:id="2109083763">
          <w:marLeft w:val="0"/>
          <w:marRight w:val="0"/>
          <w:marTop w:val="0"/>
          <w:marBottom w:val="0"/>
          <w:divBdr>
            <w:top w:val="none" w:sz="0" w:space="0" w:color="auto"/>
            <w:left w:val="none" w:sz="0" w:space="0" w:color="auto"/>
            <w:bottom w:val="none" w:sz="0" w:space="0" w:color="auto"/>
            <w:right w:val="none" w:sz="0" w:space="0" w:color="auto"/>
          </w:divBdr>
        </w:div>
        <w:div w:id="2110158415">
          <w:marLeft w:val="0"/>
          <w:marRight w:val="0"/>
          <w:marTop w:val="0"/>
          <w:marBottom w:val="0"/>
          <w:divBdr>
            <w:top w:val="none" w:sz="0" w:space="0" w:color="auto"/>
            <w:left w:val="none" w:sz="0" w:space="0" w:color="auto"/>
            <w:bottom w:val="none" w:sz="0" w:space="0" w:color="auto"/>
            <w:right w:val="none" w:sz="0" w:space="0" w:color="auto"/>
          </w:divBdr>
        </w:div>
        <w:div w:id="2110926392">
          <w:marLeft w:val="0"/>
          <w:marRight w:val="0"/>
          <w:marTop w:val="0"/>
          <w:marBottom w:val="0"/>
          <w:divBdr>
            <w:top w:val="none" w:sz="0" w:space="0" w:color="auto"/>
            <w:left w:val="none" w:sz="0" w:space="0" w:color="auto"/>
            <w:bottom w:val="none" w:sz="0" w:space="0" w:color="auto"/>
            <w:right w:val="none" w:sz="0" w:space="0" w:color="auto"/>
          </w:divBdr>
        </w:div>
        <w:div w:id="2114743362">
          <w:marLeft w:val="0"/>
          <w:marRight w:val="0"/>
          <w:marTop w:val="0"/>
          <w:marBottom w:val="0"/>
          <w:divBdr>
            <w:top w:val="none" w:sz="0" w:space="0" w:color="auto"/>
            <w:left w:val="none" w:sz="0" w:space="0" w:color="auto"/>
            <w:bottom w:val="none" w:sz="0" w:space="0" w:color="auto"/>
            <w:right w:val="none" w:sz="0" w:space="0" w:color="auto"/>
          </w:divBdr>
        </w:div>
        <w:div w:id="2118593376">
          <w:marLeft w:val="0"/>
          <w:marRight w:val="0"/>
          <w:marTop w:val="0"/>
          <w:marBottom w:val="0"/>
          <w:divBdr>
            <w:top w:val="none" w:sz="0" w:space="0" w:color="auto"/>
            <w:left w:val="none" w:sz="0" w:space="0" w:color="auto"/>
            <w:bottom w:val="none" w:sz="0" w:space="0" w:color="auto"/>
            <w:right w:val="none" w:sz="0" w:space="0" w:color="auto"/>
          </w:divBdr>
        </w:div>
        <w:div w:id="2128696143">
          <w:marLeft w:val="0"/>
          <w:marRight w:val="0"/>
          <w:marTop w:val="0"/>
          <w:marBottom w:val="0"/>
          <w:divBdr>
            <w:top w:val="none" w:sz="0" w:space="0" w:color="auto"/>
            <w:left w:val="none" w:sz="0" w:space="0" w:color="auto"/>
            <w:bottom w:val="none" w:sz="0" w:space="0" w:color="auto"/>
            <w:right w:val="none" w:sz="0" w:space="0" w:color="auto"/>
          </w:divBdr>
        </w:div>
        <w:div w:id="2130003439">
          <w:marLeft w:val="0"/>
          <w:marRight w:val="0"/>
          <w:marTop w:val="0"/>
          <w:marBottom w:val="0"/>
          <w:divBdr>
            <w:top w:val="none" w:sz="0" w:space="0" w:color="auto"/>
            <w:left w:val="none" w:sz="0" w:space="0" w:color="auto"/>
            <w:bottom w:val="none" w:sz="0" w:space="0" w:color="auto"/>
            <w:right w:val="none" w:sz="0" w:space="0" w:color="auto"/>
          </w:divBdr>
        </w:div>
        <w:div w:id="2131363537">
          <w:marLeft w:val="0"/>
          <w:marRight w:val="0"/>
          <w:marTop w:val="0"/>
          <w:marBottom w:val="0"/>
          <w:divBdr>
            <w:top w:val="none" w:sz="0" w:space="0" w:color="auto"/>
            <w:left w:val="none" w:sz="0" w:space="0" w:color="auto"/>
            <w:bottom w:val="none" w:sz="0" w:space="0" w:color="auto"/>
            <w:right w:val="none" w:sz="0" w:space="0" w:color="auto"/>
          </w:divBdr>
        </w:div>
        <w:div w:id="2133397717">
          <w:marLeft w:val="0"/>
          <w:marRight w:val="0"/>
          <w:marTop w:val="0"/>
          <w:marBottom w:val="0"/>
          <w:divBdr>
            <w:top w:val="none" w:sz="0" w:space="0" w:color="auto"/>
            <w:left w:val="none" w:sz="0" w:space="0" w:color="auto"/>
            <w:bottom w:val="none" w:sz="0" w:space="0" w:color="auto"/>
            <w:right w:val="none" w:sz="0" w:space="0" w:color="auto"/>
          </w:divBdr>
        </w:div>
        <w:div w:id="2141796797">
          <w:marLeft w:val="0"/>
          <w:marRight w:val="0"/>
          <w:marTop w:val="0"/>
          <w:marBottom w:val="0"/>
          <w:divBdr>
            <w:top w:val="none" w:sz="0" w:space="0" w:color="auto"/>
            <w:left w:val="none" w:sz="0" w:space="0" w:color="auto"/>
            <w:bottom w:val="none" w:sz="0" w:space="0" w:color="auto"/>
            <w:right w:val="none" w:sz="0" w:space="0" w:color="auto"/>
          </w:divBdr>
        </w:div>
        <w:div w:id="2145341971">
          <w:marLeft w:val="0"/>
          <w:marRight w:val="0"/>
          <w:marTop w:val="0"/>
          <w:marBottom w:val="0"/>
          <w:divBdr>
            <w:top w:val="none" w:sz="0" w:space="0" w:color="auto"/>
            <w:left w:val="none" w:sz="0" w:space="0" w:color="auto"/>
            <w:bottom w:val="none" w:sz="0" w:space="0" w:color="auto"/>
            <w:right w:val="none" w:sz="0" w:space="0" w:color="auto"/>
          </w:divBdr>
        </w:div>
      </w:divsChild>
    </w:div>
    <w:div w:id="207843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image" Target="media/image2.jpeg"/><Relationship Id="rId42" Type="http://schemas.openxmlformats.org/officeDocument/2006/relationships/oleObject" Target="embeddings/oleObject4.bin"/><Relationship Id="rId47" Type="http://schemas.openxmlformats.org/officeDocument/2006/relationships/oleObject" Target="embeddings/oleObject6.bin"/><Relationship Id="rId63" Type="http://schemas.openxmlformats.org/officeDocument/2006/relationships/image" Target="media/image37.png"/><Relationship Id="rId68" Type="http://schemas.openxmlformats.org/officeDocument/2006/relationships/oleObject" Target="embeddings/oleObject10.bin"/><Relationship Id="rId84" Type="http://schemas.openxmlformats.org/officeDocument/2006/relationships/hyperlink" Target="https://eur-lex.europa.eu/legal-content/RO/TXT/?qid=1562221054252&amp;uri=CELEX:32017R0460" TargetMode="External"/><Relationship Id="rId89" Type="http://schemas.openxmlformats.org/officeDocument/2006/relationships/hyperlink" Target="bookmark://_bookmark5" TargetMode="External"/><Relationship Id="rId16" Type="http://schemas.openxmlformats.org/officeDocument/2006/relationships/image" Target="media/image1.png"/><Relationship Id="rId11" Type="http://schemas.openxmlformats.org/officeDocument/2006/relationships/hyperlink" Target="https://eur-lex.europa.eu/legal-content/RO/TXT/HTML/?uri=CELEX:32015R0703&amp;from=RO" TargetMode="External"/><Relationship Id="rId32" Type="http://schemas.openxmlformats.org/officeDocument/2006/relationships/image" Target="media/image13.jpeg"/><Relationship Id="rId37" Type="http://schemas.openxmlformats.org/officeDocument/2006/relationships/image" Target="media/image17.png"/><Relationship Id="rId53" Type="http://schemas.openxmlformats.org/officeDocument/2006/relationships/image" Target="media/image28.jpeg"/><Relationship Id="rId58" Type="http://schemas.openxmlformats.org/officeDocument/2006/relationships/image" Target="media/image33.jpeg"/><Relationship Id="rId74" Type="http://schemas.openxmlformats.org/officeDocument/2006/relationships/oleObject" Target="embeddings/oleObject12.bin"/><Relationship Id="rId79" Type="http://schemas.openxmlformats.org/officeDocument/2006/relationships/image" Target="media/image47.jpeg"/><Relationship Id="rId5" Type="http://schemas.openxmlformats.org/officeDocument/2006/relationships/webSettings" Target="webSettings.xml"/><Relationship Id="rId90" Type="http://schemas.openxmlformats.org/officeDocument/2006/relationships/hyperlink" Target="bookmark://_bookmark5" TargetMode="External"/><Relationship Id="rId95" Type="http://schemas.openxmlformats.org/officeDocument/2006/relationships/hyperlink" Target="lex:DEA520191122421" TargetMode="External"/><Relationship Id="rId22" Type="http://schemas.openxmlformats.org/officeDocument/2006/relationships/image" Target="media/image3.jpeg"/><Relationship Id="rId27" Type="http://schemas.openxmlformats.org/officeDocument/2006/relationships/image" Target="media/image8.jpeg"/><Relationship Id="rId43" Type="http://schemas.openxmlformats.org/officeDocument/2006/relationships/image" Target="media/image20.png"/><Relationship Id="rId48" Type="http://schemas.openxmlformats.org/officeDocument/2006/relationships/image" Target="media/image23.emf"/><Relationship Id="rId64" Type="http://schemas.openxmlformats.org/officeDocument/2006/relationships/oleObject" Target="embeddings/oleObject8.bin"/><Relationship Id="rId69" Type="http://schemas.openxmlformats.org/officeDocument/2006/relationships/image" Target="media/image40.png"/><Relationship Id="rId80" Type="http://schemas.openxmlformats.org/officeDocument/2006/relationships/image" Target="media/image48.emf"/><Relationship Id="rId85" Type="http://schemas.openxmlformats.org/officeDocument/2006/relationships/hyperlink" Target="lex:LPLP20171222100" TargetMode="External"/><Relationship Id="rId12" Type="http://schemas.openxmlformats.org/officeDocument/2006/relationships/hyperlink" Target="lex:HGHG20190403207" TargetMode="External"/><Relationship Id="rId17" Type="http://schemas.openxmlformats.org/officeDocument/2006/relationships/hyperlink" Target="https://eur-lex.europa.eu/legal-content/RO/TXT/?qid=1562219730234&amp;uri=CELEX:32017R0459"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oleObject" Target="embeddings/oleObject2.bin"/><Relationship Id="rId46" Type="http://schemas.openxmlformats.org/officeDocument/2006/relationships/image" Target="media/image22.png"/><Relationship Id="rId59" Type="http://schemas.openxmlformats.org/officeDocument/2006/relationships/image" Target="media/image34.gif"/><Relationship Id="rId67" Type="http://schemas.openxmlformats.org/officeDocument/2006/relationships/image" Target="media/image39.png"/><Relationship Id="rId20" Type="http://schemas.openxmlformats.org/officeDocument/2006/relationships/hyperlink" Target="https://eur-lex.europa.eu/legal-content/RO/TXT/HTML/?uri=CELEX:32017R0460&amp;qid=1553066159310&amp;from=EN" TargetMode="External"/><Relationship Id="rId41" Type="http://schemas.openxmlformats.org/officeDocument/2006/relationships/image" Target="media/image19.png"/><Relationship Id="rId54" Type="http://schemas.openxmlformats.org/officeDocument/2006/relationships/image" Target="media/image29.jpeg"/><Relationship Id="rId62" Type="http://schemas.openxmlformats.org/officeDocument/2006/relationships/image" Target="media/image36.gif"/><Relationship Id="rId70" Type="http://schemas.openxmlformats.org/officeDocument/2006/relationships/oleObject" Target="embeddings/oleObject11.bin"/><Relationship Id="rId75" Type="http://schemas.openxmlformats.org/officeDocument/2006/relationships/image" Target="media/image44.gif"/><Relationship Id="rId83" Type="http://schemas.openxmlformats.org/officeDocument/2006/relationships/oleObject" Target="embeddings/oleObject14.bin"/><Relationship Id="rId88" Type="http://schemas.openxmlformats.org/officeDocument/2006/relationships/hyperlink" Target="bookmark://_bookmark5" TargetMode="External"/><Relationship Id="rId91" Type="http://schemas.openxmlformats.org/officeDocument/2006/relationships/hyperlink" Target="bookmark://_bookmark5" TargetMode="External"/><Relationship Id="rId96" Type="http://schemas.openxmlformats.org/officeDocument/2006/relationships/hyperlink" Target="lex:DEA520191227534" TargetMode="External"/><Relationship Id="rId1" Type="http://schemas.openxmlformats.org/officeDocument/2006/relationships/customXml" Target="../customXml/item1.xml"/><Relationship Id="rId6" Type="http://schemas.openxmlformats.org/officeDocument/2006/relationships/hyperlink" Target="https://eur-lex.europa.eu/legal-content/EN/TXT/?qid=1562650374152&amp;uri=CELEX:32015R0703" TargetMode="External"/><Relationship Id="rId15" Type="http://schemas.openxmlformats.org/officeDocument/2006/relationships/hyperlink" Target="https://eur-lex.europa.eu/legal-content/RO/TXT/HTML/?uri=CELEX:32015R0703&amp;from=RO"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oleObject" Target="embeddings/oleObject1.bin"/><Relationship Id="rId49" Type="http://schemas.openxmlformats.org/officeDocument/2006/relationships/image" Target="media/image24.emf"/><Relationship Id="rId57" Type="http://schemas.openxmlformats.org/officeDocument/2006/relationships/image" Target="media/image32.jpeg"/><Relationship Id="rId10" Type="http://schemas.openxmlformats.org/officeDocument/2006/relationships/hyperlink" Target="lex:LPLP20160527108" TargetMode="External"/><Relationship Id="rId31" Type="http://schemas.openxmlformats.org/officeDocument/2006/relationships/image" Target="media/image12.jpeg"/><Relationship Id="rId44" Type="http://schemas.openxmlformats.org/officeDocument/2006/relationships/oleObject" Target="embeddings/oleObject5.bin"/><Relationship Id="rId52" Type="http://schemas.openxmlformats.org/officeDocument/2006/relationships/image" Target="media/image27.emf"/><Relationship Id="rId60" Type="http://schemas.openxmlformats.org/officeDocument/2006/relationships/image" Target="media/image35.png"/><Relationship Id="rId65" Type="http://schemas.openxmlformats.org/officeDocument/2006/relationships/image" Target="media/image38.png"/><Relationship Id="rId73" Type="http://schemas.openxmlformats.org/officeDocument/2006/relationships/image" Target="media/image43.png"/><Relationship Id="rId78" Type="http://schemas.openxmlformats.org/officeDocument/2006/relationships/oleObject" Target="embeddings/oleObject13.bin"/><Relationship Id="rId81" Type="http://schemas.openxmlformats.org/officeDocument/2006/relationships/image" Target="media/image49.jpeg"/><Relationship Id="rId86" Type="http://schemas.openxmlformats.org/officeDocument/2006/relationships/hyperlink" Target="lex:LPLP20160527108" TargetMode="External"/><Relationship Id="rId94" Type="http://schemas.openxmlformats.org/officeDocument/2006/relationships/hyperlink" Target="lex:DEA520191122421" TargetMode="External"/><Relationship Id="rId99" Type="http://schemas.openxmlformats.org/officeDocument/2006/relationships/hyperlink" Target="lex:DEA520191227534"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qid=1594897656923&amp;uri=CELEX:32014R0312" TargetMode="External"/><Relationship Id="rId13" Type="http://schemas.openxmlformats.org/officeDocument/2006/relationships/hyperlink" Target="https://eur-lex.europa.eu/legal-content/RO/TXT/HTML/?uri=CELEX:32015R0703&amp;from=RO" TargetMode="External"/><Relationship Id="rId18" Type="http://schemas.openxmlformats.org/officeDocument/2006/relationships/hyperlink" Target="https://eur-lex.europa.eu/legal-content/RO/TXT/?qid=1562219730234&amp;uri=CELEX:32017R0459" TargetMode="External"/><Relationship Id="rId39" Type="http://schemas.openxmlformats.org/officeDocument/2006/relationships/image" Target="media/image18.png"/><Relationship Id="rId34" Type="http://schemas.openxmlformats.org/officeDocument/2006/relationships/image" Target="media/image15.jpeg"/><Relationship Id="rId50" Type="http://schemas.openxmlformats.org/officeDocument/2006/relationships/image" Target="media/image25.emf"/><Relationship Id="rId55" Type="http://schemas.openxmlformats.org/officeDocument/2006/relationships/image" Target="media/image30.jpeg"/><Relationship Id="rId76" Type="http://schemas.openxmlformats.org/officeDocument/2006/relationships/image" Target="media/image45.gif"/><Relationship Id="rId97" Type="http://schemas.openxmlformats.org/officeDocument/2006/relationships/hyperlink" Target="lex:DEA520191122421" TargetMode="External"/><Relationship Id="rId7" Type="http://schemas.openxmlformats.org/officeDocument/2006/relationships/hyperlink" Target="https://eur-lex.europa.eu/legal-content/EN/TXT/?qid=1562651284398%20&amp;uri=CELEX:32017R0459" TargetMode="External"/><Relationship Id="rId71" Type="http://schemas.openxmlformats.org/officeDocument/2006/relationships/image" Target="media/image41.emf"/><Relationship Id="rId92" Type="http://schemas.openxmlformats.org/officeDocument/2006/relationships/hyperlink" Target="lex:HGHG20190403207" TargetMode="External"/><Relationship Id="rId2" Type="http://schemas.openxmlformats.org/officeDocument/2006/relationships/numbering" Target="numbering.xml"/><Relationship Id="rId29" Type="http://schemas.openxmlformats.org/officeDocument/2006/relationships/image" Target="media/image10.jpeg"/><Relationship Id="rId24" Type="http://schemas.openxmlformats.org/officeDocument/2006/relationships/image" Target="media/image5.jpeg"/><Relationship Id="rId40" Type="http://schemas.openxmlformats.org/officeDocument/2006/relationships/oleObject" Target="embeddings/oleObject3.bin"/><Relationship Id="rId45" Type="http://schemas.openxmlformats.org/officeDocument/2006/relationships/image" Target="media/image21.gif"/><Relationship Id="rId66" Type="http://schemas.openxmlformats.org/officeDocument/2006/relationships/oleObject" Target="embeddings/oleObject9.bin"/><Relationship Id="rId87" Type="http://schemas.openxmlformats.org/officeDocument/2006/relationships/hyperlink" Target="lex:LPLP20160527108" TargetMode="External"/><Relationship Id="rId61" Type="http://schemas.openxmlformats.org/officeDocument/2006/relationships/oleObject" Target="embeddings/oleObject7.bin"/><Relationship Id="rId82" Type="http://schemas.openxmlformats.org/officeDocument/2006/relationships/image" Target="media/image50.png"/><Relationship Id="rId19" Type="http://schemas.openxmlformats.org/officeDocument/2006/relationships/hyperlink" Target="https://eur-lex.europa.eu/legal-content/RO/TXT/HTML/?uri=CELEX:32017R0460&amp;qid=1553066159310&amp;from=EN" TargetMode="External"/><Relationship Id="rId14" Type="http://schemas.openxmlformats.org/officeDocument/2006/relationships/hyperlink" Target="https://eur-lex.europa.eu/legal-content/RO/TXT/HTML/?uri=CELEX:32015R0703&amp;from=RO" TargetMode="External"/><Relationship Id="rId30" Type="http://schemas.openxmlformats.org/officeDocument/2006/relationships/image" Target="media/image11.jpeg"/><Relationship Id="rId35" Type="http://schemas.openxmlformats.org/officeDocument/2006/relationships/image" Target="media/image16.png"/><Relationship Id="rId56" Type="http://schemas.openxmlformats.org/officeDocument/2006/relationships/image" Target="media/image31.jpeg"/><Relationship Id="rId77" Type="http://schemas.openxmlformats.org/officeDocument/2006/relationships/image" Target="media/image46.png"/><Relationship Id="rId100" Type="http://schemas.openxmlformats.org/officeDocument/2006/relationships/fontTable" Target="fontTable.xml"/><Relationship Id="rId8" Type="http://schemas.openxmlformats.org/officeDocument/2006/relationships/hyperlink" Target="https://eur-lex.europa.eu/legal-content/EN/TXT/?qid=1562651147585&amp;uri=CELEX:32017R0460" TargetMode="External"/><Relationship Id="rId51" Type="http://schemas.openxmlformats.org/officeDocument/2006/relationships/image" Target="media/image26.emf"/><Relationship Id="rId72" Type="http://schemas.openxmlformats.org/officeDocument/2006/relationships/image" Target="media/image42.emf"/><Relationship Id="rId93" Type="http://schemas.openxmlformats.org/officeDocument/2006/relationships/hyperlink" Target="lex:DEA520191227534" TargetMode="External"/><Relationship Id="rId98" Type="http://schemas.openxmlformats.org/officeDocument/2006/relationships/hyperlink" Target="lex:DEA52019122753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428BD-9D5C-41A7-B3C2-7B459048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155</Pages>
  <Words>141730</Words>
  <Characters>807863</Characters>
  <Application>Microsoft Office Word</Application>
  <DocSecurity>0</DocSecurity>
  <Lines>6732</Lines>
  <Paragraphs>1895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Ilescu</dc:creator>
  <cp:keywords/>
  <dc:description/>
  <cp:lastModifiedBy>Vasiliev Denis</cp:lastModifiedBy>
  <cp:revision>5</cp:revision>
  <dcterms:created xsi:type="dcterms:W3CDTF">2025-02-27T07:47:00Z</dcterms:created>
  <dcterms:modified xsi:type="dcterms:W3CDTF">2026-04-10T08:41:00Z</dcterms:modified>
</cp:coreProperties>
</file>